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680E0B0D" w:rsidR="00E52109" w:rsidRDefault="00BB4B3F" w:rsidP="00BB4B3F">
            <w:pPr>
              <w:suppressAutoHyphens w:val="0"/>
              <w:jc w:val="right"/>
            </w:pPr>
            <w:r w:rsidRPr="00BB4B3F">
              <w:rPr>
                <w:sz w:val="40"/>
              </w:rPr>
              <w:t>ST</w:t>
            </w:r>
            <w:r>
              <w:t>/SG/AC.10/C.3/2021/</w:t>
            </w:r>
            <w:r w:rsidR="00C0571C">
              <w:t>2</w:t>
            </w:r>
            <w:r w:rsidR="00365EC4">
              <w:t>8</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40DADB0A" w:rsidR="00BB4B3F" w:rsidRDefault="00F36448" w:rsidP="00BB4B3F">
            <w:pPr>
              <w:suppressAutoHyphens w:val="0"/>
              <w:spacing w:line="240" w:lineRule="exact"/>
            </w:pPr>
            <w:r>
              <w:t>20</w:t>
            </w:r>
            <w:r w:rsidR="00E34823">
              <w:t xml:space="preserve"> </w:t>
            </w:r>
            <w:r w:rsidR="00BB4B3F">
              <w:t>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1BA98CBC" w:rsidR="00CE765B" w:rsidRDefault="00CE765B" w:rsidP="00CE765B">
      <w:pPr>
        <w:rPr>
          <w:lang w:val="en-US"/>
        </w:rPr>
      </w:pPr>
      <w:r w:rsidRPr="009E5EAE">
        <w:t>Geneva, 28 June</w:t>
      </w:r>
      <w:r>
        <w:t>-</w:t>
      </w:r>
      <w:r w:rsidRPr="009E5EAE">
        <w:t>2 July 2021</w:t>
      </w:r>
      <w:r w:rsidRPr="009E5EAE">
        <w:br/>
      </w:r>
      <w:r w:rsidRPr="009E5EAE">
        <w:rPr>
          <w:lang w:val="en-US"/>
        </w:rPr>
        <w:t xml:space="preserve">Item </w:t>
      </w:r>
      <w:r w:rsidR="00B760A1">
        <w:rPr>
          <w:lang w:val="en-US"/>
        </w:rPr>
        <w:t>4 (f)</w:t>
      </w:r>
      <w:r>
        <w:rPr>
          <w:lang w:val="en-US"/>
        </w:rPr>
        <w:t xml:space="preserve"> </w:t>
      </w:r>
      <w:r w:rsidRPr="009E5EAE">
        <w:rPr>
          <w:lang w:val="en-US"/>
        </w:rPr>
        <w:t>of the provisional agenda</w:t>
      </w:r>
    </w:p>
    <w:p w14:paraId="33DE17F0" w14:textId="168F986D" w:rsidR="002B5F9F" w:rsidRPr="00386598" w:rsidRDefault="00386598" w:rsidP="00CE765B">
      <w:pPr>
        <w:rPr>
          <w:b/>
          <w:bCs/>
        </w:rPr>
      </w:pPr>
      <w:r w:rsidRPr="00386598">
        <w:rPr>
          <w:b/>
          <w:bCs/>
        </w:rPr>
        <w:t>Electric storage systems: miscellaneous</w:t>
      </w:r>
    </w:p>
    <w:p w14:paraId="6AE1476D" w14:textId="0913BC90" w:rsidR="00B760A1" w:rsidRPr="00372A88" w:rsidRDefault="00B760A1" w:rsidP="00386598">
      <w:pPr>
        <w:pStyle w:val="HChG"/>
        <w:rPr>
          <w:lang w:val="en-US"/>
        </w:rPr>
      </w:pPr>
      <w:r>
        <w:rPr>
          <w:lang w:val="en-US"/>
        </w:rPr>
        <w:tab/>
      </w:r>
      <w:r>
        <w:rPr>
          <w:lang w:val="en-US"/>
        </w:rPr>
        <w:tab/>
        <w:t xml:space="preserve">Proposed amendments to packing </w:t>
      </w:r>
      <w:r w:rsidRPr="00386598">
        <w:t>instruction</w:t>
      </w:r>
      <w:r>
        <w:rPr>
          <w:lang w:val="en-US"/>
        </w:rPr>
        <w:t xml:space="preserve"> LP903</w:t>
      </w:r>
    </w:p>
    <w:p w14:paraId="5F7E2119" w14:textId="6141CD4E" w:rsidR="00B760A1" w:rsidRPr="00372A88" w:rsidRDefault="00B760A1" w:rsidP="00386598">
      <w:pPr>
        <w:pStyle w:val="H1G"/>
        <w:rPr>
          <w:lang w:val="en-US"/>
        </w:rPr>
      </w:pPr>
      <w:r w:rsidRPr="00372A88">
        <w:rPr>
          <w:rFonts w:cs="Arial Unicode MS"/>
          <w:lang w:val="en-US"/>
        </w:rPr>
        <w:tab/>
      </w:r>
      <w:r w:rsidRPr="00372A88">
        <w:rPr>
          <w:rFonts w:cs="Arial Unicode MS"/>
          <w:lang w:val="en-US"/>
        </w:rPr>
        <w:tab/>
      </w:r>
      <w:r w:rsidR="00C0616F">
        <w:rPr>
          <w:rFonts w:cs="Arial Unicode MS"/>
          <w:lang w:val="en-US"/>
        </w:rPr>
        <w:t>Submitted</w:t>
      </w:r>
      <w:r>
        <w:rPr>
          <w:lang w:val="en-US"/>
        </w:rPr>
        <w:t xml:space="preserve"> by PRBA – The Rechargeable Battery </w:t>
      </w:r>
      <w:r w:rsidRPr="00386598">
        <w:t>Association</w:t>
      </w:r>
      <w:r w:rsidR="00E50A8A">
        <w:rPr>
          <w:rStyle w:val="FootnoteReference"/>
        </w:rPr>
        <w:footnoteReference w:id="2"/>
      </w:r>
      <w:r w:rsidR="006D2B08" w:rsidRPr="006D2B08">
        <w:rPr>
          <w:vertAlign w:val="superscript"/>
        </w:rPr>
        <w:t>,</w:t>
      </w:r>
      <w:r w:rsidR="006D2B08">
        <w:rPr>
          <w:rStyle w:val="FootnoteReference"/>
        </w:rPr>
        <w:footnoteReference w:customMarkFollows="1" w:id="3"/>
        <w:t>**</w:t>
      </w:r>
    </w:p>
    <w:p w14:paraId="04C8A9B5" w14:textId="77777777" w:rsidR="00B760A1" w:rsidRPr="00372A88" w:rsidRDefault="00B760A1" w:rsidP="00386598">
      <w:pPr>
        <w:pStyle w:val="HChG"/>
        <w:rPr>
          <w:lang w:val="en-US"/>
        </w:rPr>
      </w:pPr>
      <w:r w:rsidRPr="00372A88">
        <w:rPr>
          <w:sz w:val="24"/>
          <w:szCs w:val="24"/>
          <w:lang w:val="en-US"/>
        </w:rPr>
        <w:tab/>
      </w:r>
      <w:r w:rsidRPr="00372A88">
        <w:rPr>
          <w:sz w:val="24"/>
          <w:szCs w:val="24"/>
          <w:lang w:val="en-US"/>
        </w:rPr>
        <w:tab/>
      </w:r>
      <w:r w:rsidRPr="00386598">
        <w:t>Introduction</w:t>
      </w:r>
    </w:p>
    <w:p w14:paraId="21232E44" w14:textId="6EAD7314" w:rsidR="00B760A1" w:rsidRPr="00372A88" w:rsidRDefault="00B760A1" w:rsidP="00B760A1">
      <w:pPr>
        <w:pStyle w:val="SingleTxtG"/>
        <w:rPr>
          <w:b/>
          <w:sz w:val="24"/>
          <w:szCs w:val="24"/>
          <w:lang w:val="en-US"/>
        </w:rPr>
      </w:pPr>
      <w:r w:rsidRPr="00372A88">
        <w:rPr>
          <w:lang w:val="en-US"/>
        </w:rPr>
        <w:tab/>
        <w:t>1.</w:t>
      </w:r>
      <w:r w:rsidRPr="00372A88">
        <w:rPr>
          <w:lang w:val="en-US"/>
        </w:rPr>
        <w:tab/>
      </w:r>
      <w:r>
        <w:rPr>
          <w:lang w:val="en-US"/>
        </w:rPr>
        <w:t xml:space="preserve">During the </w:t>
      </w:r>
      <w:r w:rsidR="00EA5636">
        <w:rPr>
          <w:lang w:val="en-US"/>
        </w:rPr>
        <w:t>fifty-seventh</w:t>
      </w:r>
      <w:r>
        <w:rPr>
          <w:lang w:val="en-US"/>
        </w:rPr>
        <w:t xml:space="preserve"> session, PRBA filed </w:t>
      </w:r>
      <w:r w:rsidR="00EA5636">
        <w:rPr>
          <w:lang w:val="en-US"/>
        </w:rPr>
        <w:t xml:space="preserve">informal document </w:t>
      </w:r>
      <w:r w:rsidRPr="00E17F52">
        <w:rPr>
          <w:lang w:val="en-US"/>
        </w:rPr>
        <w:t>INF.34</w:t>
      </w:r>
      <w:r>
        <w:rPr>
          <w:lang w:val="en-US"/>
        </w:rPr>
        <w:t xml:space="preserve"> in support of document ST/SG/AC.10/C.4/2020/52</w:t>
      </w:r>
      <w:r w:rsidR="0071305A" w:rsidRPr="0071305A">
        <w:rPr>
          <w:lang w:val="en-US"/>
        </w:rPr>
        <w:t xml:space="preserve"> </w:t>
      </w:r>
      <w:r w:rsidR="00EB33F3">
        <w:rPr>
          <w:lang w:val="en-US"/>
        </w:rPr>
        <w:t>(</w:t>
      </w:r>
      <w:r w:rsidR="0071305A">
        <w:rPr>
          <w:lang w:val="en-US"/>
        </w:rPr>
        <w:t xml:space="preserve">by </w:t>
      </w:r>
      <w:r w:rsidR="00143B2B">
        <w:rPr>
          <w:lang w:val="en-US"/>
        </w:rPr>
        <w:t xml:space="preserve">the </w:t>
      </w:r>
      <w:r w:rsidR="0071305A">
        <w:rPr>
          <w:lang w:val="en-US"/>
        </w:rPr>
        <w:t>United Kingdom</w:t>
      </w:r>
      <w:r w:rsidR="00EB33F3">
        <w:rPr>
          <w:lang w:val="en-US"/>
        </w:rPr>
        <w:t>)</w:t>
      </w:r>
      <w:r>
        <w:rPr>
          <w:lang w:val="en-US"/>
        </w:rPr>
        <w:t xml:space="preserve">, which were intended to amend </w:t>
      </w:r>
      <w:r w:rsidR="00B538B8">
        <w:rPr>
          <w:lang w:val="en-US"/>
        </w:rPr>
        <w:t xml:space="preserve">large packing instruction </w:t>
      </w:r>
      <w:r>
        <w:rPr>
          <w:lang w:val="en-US"/>
        </w:rPr>
        <w:t xml:space="preserve">LP903 to allow multiple lithium cells and batteries and multiple items of equipment containing lithium batteries to be transported in a single large packaging. While concerns were expressed by members of the Sub-Committee </w:t>
      </w:r>
      <w:r w:rsidR="001D492E">
        <w:rPr>
          <w:lang w:val="en-US"/>
        </w:rPr>
        <w:t>on</w:t>
      </w:r>
      <w:r>
        <w:rPr>
          <w:lang w:val="en-US"/>
        </w:rPr>
        <w:t xml:space="preserve"> both documents, PRBA believes </w:t>
      </w:r>
      <w:r w:rsidR="004A73C3">
        <w:rPr>
          <w:lang w:val="en-US"/>
        </w:rPr>
        <w:t xml:space="preserve">that </w:t>
      </w:r>
      <w:r>
        <w:rPr>
          <w:lang w:val="en-US"/>
        </w:rPr>
        <w:t xml:space="preserve">the progress made during the </w:t>
      </w:r>
      <w:r w:rsidR="001D0459">
        <w:rPr>
          <w:lang w:val="en-US"/>
        </w:rPr>
        <w:t>fifty-seventh</w:t>
      </w:r>
      <w:r>
        <w:rPr>
          <w:lang w:val="en-US"/>
        </w:rPr>
        <w:t xml:space="preserve"> session to amend lithium battery </w:t>
      </w:r>
      <w:r w:rsidR="005F7DD5">
        <w:rPr>
          <w:lang w:val="en-US"/>
        </w:rPr>
        <w:t>large p</w:t>
      </w:r>
      <w:r w:rsidR="005F7DD5" w:rsidRPr="00E15BEE">
        <w:rPr>
          <w:lang w:val="en-US"/>
        </w:rPr>
        <w:t xml:space="preserve">acking </w:t>
      </w:r>
      <w:r w:rsidR="005F7DD5">
        <w:rPr>
          <w:lang w:val="en-US"/>
        </w:rPr>
        <w:t>i</w:t>
      </w:r>
      <w:r w:rsidR="005F7DD5" w:rsidRPr="00E15BEE">
        <w:rPr>
          <w:lang w:val="en-US"/>
        </w:rPr>
        <w:t xml:space="preserve">nstruction </w:t>
      </w:r>
      <w:r w:rsidRPr="00E15BEE">
        <w:rPr>
          <w:lang w:val="en-US"/>
        </w:rPr>
        <w:t>LP906</w:t>
      </w:r>
      <w:r>
        <w:rPr>
          <w:lang w:val="en-US"/>
        </w:rPr>
        <w:t xml:space="preserve"> and </w:t>
      </w:r>
      <w:r w:rsidR="00BC4071">
        <w:rPr>
          <w:lang w:val="en-US"/>
        </w:rPr>
        <w:t xml:space="preserve">packing instruction </w:t>
      </w:r>
      <w:r w:rsidRPr="00E15BEE">
        <w:rPr>
          <w:lang w:val="en-US"/>
        </w:rPr>
        <w:t>P911</w:t>
      </w:r>
      <w:r>
        <w:rPr>
          <w:lang w:val="en-US"/>
        </w:rPr>
        <w:t xml:space="preserve"> and the lithium battery manufacturing data provided below should be taken into consideration for amending </w:t>
      </w:r>
      <w:r w:rsidR="00D05BF1">
        <w:rPr>
          <w:lang w:val="en-US"/>
        </w:rPr>
        <w:t xml:space="preserve">large packing instruction </w:t>
      </w:r>
      <w:r>
        <w:rPr>
          <w:lang w:val="en-US"/>
        </w:rPr>
        <w:t>LP903.</w:t>
      </w:r>
    </w:p>
    <w:p w14:paraId="5DB2B24E" w14:textId="7958074D" w:rsidR="00B760A1" w:rsidRDefault="00B760A1" w:rsidP="00B760A1">
      <w:pPr>
        <w:pStyle w:val="SingleTxtG"/>
        <w:rPr>
          <w:lang w:val="en-US"/>
        </w:rPr>
      </w:pPr>
      <w:r w:rsidRPr="00372A88">
        <w:rPr>
          <w:lang w:val="en-US"/>
        </w:rPr>
        <w:tab/>
        <w:t>2.</w:t>
      </w:r>
      <w:r w:rsidRPr="00372A88">
        <w:rPr>
          <w:lang w:val="en-US"/>
        </w:rPr>
        <w:tab/>
      </w:r>
      <w:r w:rsidRPr="00E15BEE">
        <w:rPr>
          <w:lang w:val="en-US"/>
        </w:rPr>
        <w:t>LP906</w:t>
      </w:r>
      <w:r>
        <w:rPr>
          <w:lang w:val="en-US"/>
        </w:rPr>
        <w:t xml:space="preserve"> and </w:t>
      </w:r>
      <w:r w:rsidRPr="00E15BEE">
        <w:rPr>
          <w:lang w:val="en-US"/>
        </w:rPr>
        <w:t>P911</w:t>
      </w:r>
      <w:r>
        <w:rPr>
          <w:lang w:val="en-US"/>
        </w:rPr>
        <w:t xml:space="preserve"> were developed for transporting lithium batteries “liable to rapidly disassemble, dangerously react, produce a flame, or a dangerous evolution of heat or a dangerous emission of toxic, corrosive, or flammable gases or </w:t>
      </w:r>
      <w:proofErr w:type="spellStart"/>
      <w:r>
        <w:rPr>
          <w:lang w:val="en-US"/>
        </w:rPr>
        <w:t>vapours</w:t>
      </w:r>
      <w:proofErr w:type="spellEnd"/>
      <w:r w:rsidR="00097D26">
        <w:rPr>
          <w:lang w:val="en-US"/>
        </w:rPr>
        <w:t xml:space="preserve"> </w:t>
      </w:r>
      <w:r>
        <w:rPr>
          <w:lang w:val="en-US"/>
        </w:rPr>
        <w:t xml:space="preserve">…”. The amendments adopted by the Sub-Committee during the </w:t>
      </w:r>
      <w:r w:rsidR="0082423B">
        <w:rPr>
          <w:lang w:val="en-US"/>
        </w:rPr>
        <w:t xml:space="preserve">fifty-seventh </w:t>
      </w:r>
      <w:r>
        <w:rPr>
          <w:lang w:val="en-US"/>
        </w:rPr>
        <w:t xml:space="preserve">session authorize more than one battery in </w:t>
      </w:r>
      <w:r w:rsidRPr="00852D5E">
        <w:rPr>
          <w:lang w:val="en-US"/>
        </w:rPr>
        <w:t>LP906 and P911</w:t>
      </w:r>
      <w:r>
        <w:rPr>
          <w:lang w:val="en-US"/>
        </w:rPr>
        <w:t xml:space="preserve"> provided “</w:t>
      </w:r>
      <w:r w:rsidRPr="00F113A7">
        <w:rPr>
          <w:lang w:val="en-US"/>
        </w:rPr>
        <w:t>the maximum number of batteries and items of equipment, the total maximum energy content of the batteries, and the configuration inside the package, including separations and protections of the parts, shall be considered”</w:t>
      </w:r>
      <w:r w:rsidR="002469CC">
        <w:rPr>
          <w:lang w:val="en-US"/>
        </w:rPr>
        <w:t>.</w:t>
      </w:r>
      <w:r>
        <w:rPr>
          <w:lang w:val="en-US"/>
        </w:rPr>
        <w:t xml:space="preserve"> </w:t>
      </w:r>
      <w:r w:rsidR="002469CC">
        <w:rPr>
          <w:lang w:val="en-US"/>
        </w:rPr>
        <w:t xml:space="preserve">PRBA </w:t>
      </w:r>
      <w:r>
        <w:rPr>
          <w:lang w:val="en-US"/>
        </w:rPr>
        <w:t>believe</w:t>
      </w:r>
      <w:r w:rsidR="002469CC">
        <w:rPr>
          <w:lang w:val="en-US"/>
        </w:rPr>
        <w:t>s</w:t>
      </w:r>
      <w:r>
        <w:rPr>
          <w:lang w:val="en-US"/>
        </w:rPr>
        <w:t xml:space="preserve"> a similar provision could be added to LP903 to provide an additional level of safety for packaging and shipping the large volumes of lithium cells and batteries that are expected to be manufactured over the next </w:t>
      </w:r>
      <w:r w:rsidR="00042E67">
        <w:rPr>
          <w:lang w:val="en-US"/>
        </w:rPr>
        <w:t xml:space="preserve">ten </w:t>
      </w:r>
      <w:r>
        <w:rPr>
          <w:lang w:val="en-US"/>
        </w:rPr>
        <w:t>years.</w:t>
      </w:r>
    </w:p>
    <w:p w14:paraId="61D6D361" w14:textId="77777777" w:rsidR="004C408D" w:rsidRDefault="004C408D">
      <w:pPr>
        <w:suppressAutoHyphens w:val="0"/>
        <w:kinsoku/>
        <w:overflowPunct/>
        <w:autoSpaceDE/>
        <w:autoSpaceDN/>
        <w:adjustRightInd/>
        <w:snapToGrid/>
        <w:spacing w:after="200" w:line="276" w:lineRule="auto"/>
        <w:rPr>
          <w:lang w:val="en-US"/>
        </w:rPr>
      </w:pPr>
      <w:r>
        <w:rPr>
          <w:lang w:val="en-US"/>
        </w:rPr>
        <w:br w:type="page"/>
      </w:r>
    </w:p>
    <w:p w14:paraId="45EFA0B5" w14:textId="6C2F8749" w:rsidR="004C408D" w:rsidRDefault="00C61B04" w:rsidP="00C61B04">
      <w:pPr>
        <w:pStyle w:val="SingleTxtG"/>
        <w:spacing w:before="240" w:after="240"/>
        <w:jc w:val="center"/>
        <w:rPr>
          <w:lang w:val="en-US"/>
        </w:rPr>
      </w:pPr>
      <w:r>
        <w:rPr>
          <w:lang w:val="en-US"/>
        </w:rPr>
        <w:lastRenderedPageBreak/>
        <w:t xml:space="preserve">Planned Lithium-ion Battery </w:t>
      </w:r>
      <w:proofErr w:type="spellStart"/>
      <w:r>
        <w:rPr>
          <w:lang w:val="en-US"/>
        </w:rPr>
        <w:t>Gigafactories</w:t>
      </w:r>
      <w:proofErr w:type="spellEnd"/>
      <w:r>
        <w:rPr>
          <w:lang w:val="en-US"/>
        </w:rPr>
        <w:t xml:space="preserve"> by 2028</w:t>
      </w:r>
    </w:p>
    <w:p w14:paraId="19AFF039" w14:textId="7665F02E" w:rsidR="004C408D" w:rsidRDefault="00C05B55" w:rsidP="00EA5636">
      <w:pPr>
        <w:pStyle w:val="SingleTxtG"/>
        <w:rPr>
          <w:lang w:val="en-US"/>
        </w:rPr>
      </w:pPr>
      <w:r>
        <w:rPr>
          <w:noProof/>
        </w:rPr>
        <w:drawing>
          <wp:anchor distT="0" distB="0" distL="114300" distR="114300" simplePos="0" relativeHeight="251661312" behindDoc="0" locked="0" layoutInCell="1" allowOverlap="1" wp14:anchorId="5E6514A1" wp14:editId="430CBD81">
            <wp:simplePos x="0" y="0"/>
            <wp:positionH relativeFrom="margin">
              <wp:posOffset>1089264</wp:posOffset>
            </wp:positionH>
            <wp:positionV relativeFrom="paragraph">
              <wp:posOffset>10487</wp:posOffset>
            </wp:positionV>
            <wp:extent cx="4060825" cy="2287905"/>
            <wp:effectExtent l="19050" t="19050" r="15875" b="171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0825" cy="2287905"/>
                    </a:xfrm>
                    <a:prstGeom prst="rect">
                      <a:avLst/>
                    </a:prstGeom>
                    <a:ln>
                      <a:solidFill>
                        <a:schemeClr val="accent1"/>
                      </a:solidFill>
                    </a:ln>
                  </pic:spPr>
                </pic:pic>
              </a:graphicData>
            </a:graphic>
          </wp:anchor>
        </w:drawing>
      </w:r>
      <w:r w:rsidR="00587A7A" w:rsidRPr="00587A7A">
        <w:rPr>
          <w:noProof/>
          <w:lang w:val="en-US"/>
        </w:rPr>
        <mc:AlternateContent>
          <mc:Choice Requires="wps">
            <w:drawing>
              <wp:anchor distT="45720" distB="45720" distL="114300" distR="114300" simplePos="0" relativeHeight="251665408" behindDoc="0" locked="0" layoutInCell="1" allowOverlap="1" wp14:anchorId="6B81B39A" wp14:editId="2FAE2247">
                <wp:simplePos x="0" y="0"/>
                <wp:positionH relativeFrom="margin">
                  <wp:align>center</wp:align>
                </wp:positionH>
                <wp:positionV relativeFrom="paragraph">
                  <wp:posOffset>24130</wp:posOffset>
                </wp:positionV>
                <wp:extent cx="2360930" cy="1765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6542"/>
                        </a:xfrm>
                        <a:prstGeom prst="rect">
                          <a:avLst/>
                        </a:prstGeom>
                        <a:solidFill>
                          <a:srgbClr val="FFFFFF"/>
                        </a:solidFill>
                        <a:ln w="9525">
                          <a:solidFill>
                            <a:schemeClr val="bg1"/>
                          </a:solidFill>
                          <a:miter lim="800000"/>
                          <a:headEnd/>
                          <a:tailEnd/>
                        </a:ln>
                      </wps:spPr>
                      <wps:txbx>
                        <w:txbxContent>
                          <w:p w14:paraId="2426404D" w14:textId="75A42F5C" w:rsidR="00587A7A" w:rsidRDefault="00587A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81B39A" id="_x0000_t202" coordsize="21600,21600" o:spt="202" path="m,l,21600r21600,l21600,xe">
                <v:stroke joinstyle="miter"/>
                <v:path gradientshapeok="t" o:connecttype="rect"/>
              </v:shapetype>
              <v:shape id="Text Box 2" o:spid="_x0000_s1026" type="#_x0000_t202" style="position:absolute;left:0;text-align:left;margin-left:0;margin-top:1.9pt;width:185.9pt;height:13.9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" strokecolor="white [3212]">
                <v:textbox>
                  <w:txbxContent>
                    <w:p w14:paraId="2426404D" w14:textId="75A42F5C" w:rsidR="00587A7A" w:rsidRDefault="00587A7A"/>
                  </w:txbxContent>
                </v:textbox>
                <w10:wrap type="square" anchorx="margin"/>
              </v:shape>
            </w:pict>
          </mc:Fallback>
        </mc:AlternateContent>
      </w:r>
    </w:p>
    <w:p w14:paraId="37DFD7EB" w14:textId="4627D861" w:rsidR="004C408D" w:rsidRDefault="004C408D" w:rsidP="00EA5636">
      <w:pPr>
        <w:pStyle w:val="SingleTxtG"/>
        <w:rPr>
          <w:lang w:val="en-US"/>
        </w:rPr>
      </w:pPr>
    </w:p>
    <w:p w14:paraId="292F9269" w14:textId="23BB6C5D" w:rsidR="004C408D" w:rsidRDefault="004C408D" w:rsidP="00EA5636">
      <w:pPr>
        <w:pStyle w:val="SingleTxtG"/>
        <w:rPr>
          <w:lang w:val="en-US"/>
        </w:rPr>
      </w:pPr>
    </w:p>
    <w:p w14:paraId="11D70643" w14:textId="40A7BF57" w:rsidR="004C408D" w:rsidRDefault="004C408D" w:rsidP="00EA5636">
      <w:pPr>
        <w:pStyle w:val="SingleTxtG"/>
        <w:rPr>
          <w:lang w:val="en-US"/>
        </w:rPr>
      </w:pPr>
    </w:p>
    <w:p w14:paraId="0F11B357" w14:textId="4A1E97E5" w:rsidR="004C408D" w:rsidRDefault="004C408D" w:rsidP="00EA5636">
      <w:pPr>
        <w:pStyle w:val="SingleTxtG"/>
        <w:rPr>
          <w:lang w:val="en-US"/>
        </w:rPr>
      </w:pPr>
    </w:p>
    <w:p w14:paraId="453213D7" w14:textId="3AC2BAC5" w:rsidR="00C61B04" w:rsidRDefault="00C61B04" w:rsidP="00310B7B">
      <w:pPr>
        <w:pStyle w:val="SingleTxtG"/>
        <w:spacing w:before="240"/>
        <w:rPr>
          <w:lang w:val="en-US"/>
        </w:rPr>
      </w:pPr>
    </w:p>
    <w:p w14:paraId="2CBCB469" w14:textId="7171C1B3" w:rsidR="00587A7A" w:rsidRDefault="00587A7A" w:rsidP="00310B7B">
      <w:pPr>
        <w:pStyle w:val="SingleTxtG"/>
        <w:spacing w:before="240"/>
        <w:rPr>
          <w:lang w:val="en-US"/>
        </w:rPr>
      </w:pPr>
    </w:p>
    <w:p w14:paraId="6FF3C7E3" w14:textId="77777777" w:rsidR="00587A7A" w:rsidRDefault="00587A7A" w:rsidP="00310B7B">
      <w:pPr>
        <w:pStyle w:val="SingleTxtG"/>
        <w:spacing w:before="240"/>
        <w:rPr>
          <w:lang w:val="en-US"/>
        </w:rPr>
      </w:pPr>
    </w:p>
    <w:p w14:paraId="50138A4A" w14:textId="77777777" w:rsidR="00587A7A" w:rsidRDefault="00587A7A" w:rsidP="00310B7B">
      <w:pPr>
        <w:pStyle w:val="SingleTxtG"/>
        <w:spacing w:before="240"/>
        <w:rPr>
          <w:lang w:val="en-US"/>
        </w:rPr>
      </w:pPr>
    </w:p>
    <w:p w14:paraId="4ED2A177" w14:textId="2CA8500B" w:rsidR="00B760A1" w:rsidRDefault="00587A7A" w:rsidP="00310B7B">
      <w:pPr>
        <w:pStyle w:val="SingleTxtG"/>
        <w:spacing w:before="240"/>
        <w:rPr>
          <w:lang w:val="en-US"/>
        </w:rPr>
      </w:pPr>
      <w:r>
        <w:rPr>
          <w:lang w:val="en-US"/>
        </w:rPr>
        <w:t>3.</w:t>
      </w:r>
      <w:r w:rsidR="00B760A1">
        <w:rPr>
          <w:lang w:val="en-US"/>
        </w:rPr>
        <w:tab/>
        <w:t>The lithium ion battery industry continues to grow at a rapid pace with new “</w:t>
      </w:r>
      <w:proofErr w:type="spellStart"/>
      <w:r w:rsidR="00B760A1">
        <w:rPr>
          <w:lang w:val="en-US"/>
        </w:rPr>
        <w:t>Gigafactories</w:t>
      </w:r>
      <w:proofErr w:type="spellEnd"/>
      <w:r w:rsidR="00B760A1">
        <w:rPr>
          <w:lang w:val="en-US"/>
        </w:rPr>
        <w:t xml:space="preserve">” planned in Europe, Asia, and North America. Below are data on the projected number of factories that will be constructed over the next </w:t>
      </w:r>
      <w:r w:rsidR="00042E67">
        <w:rPr>
          <w:lang w:val="en-US"/>
        </w:rPr>
        <w:t>seven</w:t>
      </w:r>
      <w:r w:rsidR="00B760A1">
        <w:rPr>
          <w:lang w:val="en-US"/>
        </w:rPr>
        <w:t xml:space="preserve"> years. These factories will </w:t>
      </w:r>
      <w:r w:rsidR="00B760A1" w:rsidRPr="0019229D">
        <w:rPr>
          <w:lang w:val="en-US"/>
        </w:rPr>
        <w:t>each</w:t>
      </w:r>
      <w:r w:rsidR="00B760A1">
        <w:rPr>
          <w:lang w:val="en-US"/>
        </w:rPr>
        <w:t xml:space="preserve"> have the capability of producing billions of cells annually for portable, industrial, and electric vehicle applications. The electric vehicle market is also expected to grow rapidly over the next </w:t>
      </w:r>
      <w:r w:rsidR="005D24A2">
        <w:rPr>
          <w:lang w:val="en-US"/>
        </w:rPr>
        <w:t>seven</w:t>
      </w:r>
      <w:r w:rsidR="00B760A1">
        <w:rPr>
          <w:lang w:val="en-US"/>
        </w:rPr>
        <w:t xml:space="preserve"> years as countries attempt to reduce their greenhouse gas emissions and address climate change. The data below show the projected growth of the electric vehicle market over the next </w:t>
      </w:r>
      <w:r w:rsidR="00C9007C">
        <w:rPr>
          <w:lang w:val="en-US"/>
        </w:rPr>
        <w:t>ten</w:t>
      </w:r>
      <w:r w:rsidR="00B760A1">
        <w:rPr>
          <w:lang w:val="en-US"/>
        </w:rPr>
        <w:t xml:space="preserve"> years.</w:t>
      </w:r>
    </w:p>
    <w:p w14:paraId="0189287A" w14:textId="77777777" w:rsidR="00B760A1" w:rsidRPr="0086362E" w:rsidRDefault="00B760A1" w:rsidP="00B760A1">
      <w:pPr>
        <w:pStyle w:val="SingleTxtG"/>
        <w:jc w:val="center"/>
        <w:rPr>
          <w:b/>
          <w:bCs/>
          <w:color w:val="8DB3E2" w:themeColor="text2" w:themeTint="66"/>
          <w:sz w:val="18"/>
          <w:szCs w:val="18"/>
          <w:lang w:val="en-US"/>
        </w:rPr>
      </w:pPr>
      <w:r w:rsidRPr="0086362E">
        <w:rPr>
          <w:b/>
          <w:bCs/>
          <w:color w:val="8DB3E2" w:themeColor="text2" w:themeTint="66"/>
          <w:sz w:val="18"/>
          <w:szCs w:val="18"/>
          <w:lang w:val="en-US"/>
        </w:rPr>
        <w:t>Projected Electric Vehicle Forecast</w:t>
      </w:r>
    </w:p>
    <w:p w14:paraId="05E2866C" w14:textId="77777777" w:rsidR="00B760A1" w:rsidRDefault="00B760A1" w:rsidP="00B760A1">
      <w:pPr>
        <w:pStyle w:val="SingleTxtG"/>
        <w:jc w:val="center"/>
        <w:rPr>
          <w:lang w:val="en-US"/>
        </w:rPr>
      </w:pPr>
      <w:r>
        <w:rPr>
          <w:noProof/>
        </w:rPr>
        <w:drawing>
          <wp:inline distT="0" distB="0" distL="0" distR="0" wp14:anchorId="2281F79D" wp14:editId="6F050EAF">
            <wp:extent cx="3996266" cy="2243780"/>
            <wp:effectExtent l="19050" t="19050" r="234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0392" cy="2251711"/>
                    </a:xfrm>
                    <a:prstGeom prst="rect">
                      <a:avLst/>
                    </a:prstGeom>
                    <a:ln>
                      <a:solidFill>
                        <a:schemeClr val="accent1"/>
                      </a:solidFill>
                    </a:ln>
                  </pic:spPr>
                </pic:pic>
              </a:graphicData>
            </a:graphic>
          </wp:inline>
        </w:drawing>
      </w:r>
    </w:p>
    <w:p w14:paraId="5E4B9641" w14:textId="407DF87F" w:rsidR="00B760A1" w:rsidRDefault="00B760A1" w:rsidP="00B760A1">
      <w:pPr>
        <w:pStyle w:val="SingleTxtG"/>
        <w:rPr>
          <w:lang w:val="en-US"/>
        </w:rPr>
      </w:pPr>
      <w:r>
        <w:rPr>
          <w:lang w:val="en-US"/>
        </w:rPr>
        <w:t>4.</w:t>
      </w:r>
      <w:r>
        <w:rPr>
          <w:lang w:val="en-US"/>
        </w:rPr>
        <w:tab/>
        <w:t xml:space="preserve">PRBA recognizes that concern has been expressed </w:t>
      </w:r>
      <w:r w:rsidR="00081672">
        <w:rPr>
          <w:lang w:val="en-US"/>
        </w:rPr>
        <w:t>on</w:t>
      </w:r>
      <w:r>
        <w:rPr>
          <w:lang w:val="en-US"/>
        </w:rPr>
        <w:t xml:space="preserve"> the use of large </w:t>
      </w:r>
      <w:proofErr w:type="spellStart"/>
      <w:r>
        <w:rPr>
          <w:lang w:val="en-US"/>
        </w:rPr>
        <w:t>packagings</w:t>
      </w:r>
      <w:proofErr w:type="spellEnd"/>
      <w:r>
        <w:rPr>
          <w:lang w:val="en-US"/>
        </w:rPr>
        <w:t xml:space="preserve"> to transport large numbers of small cells. We therefore believe the provision adopted into </w:t>
      </w:r>
      <w:r w:rsidRPr="008C646E">
        <w:rPr>
          <w:lang w:val="en-US"/>
        </w:rPr>
        <w:t xml:space="preserve">LP906 and P911 </w:t>
      </w:r>
      <w:r>
        <w:rPr>
          <w:lang w:val="en-US"/>
        </w:rPr>
        <w:t xml:space="preserve">that </w:t>
      </w:r>
      <w:proofErr w:type="gramStart"/>
      <w:r>
        <w:rPr>
          <w:lang w:val="en-US"/>
        </w:rPr>
        <w:t>takes into account</w:t>
      </w:r>
      <w:proofErr w:type="gramEnd"/>
      <w:r>
        <w:rPr>
          <w:lang w:val="en-US"/>
        </w:rPr>
        <w:t xml:space="preserve"> </w:t>
      </w:r>
      <w:r w:rsidR="00476BBD" w:rsidRPr="008C646E">
        <w:rPr>
          <w:lang w:val="en-US"/>
        </w:rPr>
        <w:t xml:space="preserve">the </w:t>
      </w:r>
      <w:r>
        <w:rPr>
          <w:lang w:val="en-US"/>
        </w:rPr>
        <w:t>“</w:t>
      </w:r>
      <w:r w:rsidRPr="008C646E">
        <w:rPr>
          <w:lang w:val="en-US"/>
        </w:rPr>
        <w:t>maximum number of batteries</w:t>
      </w:r>
      <w:r>
        <w:rPr>
          <w:lang w:val="en-US"/>
        </w:rPr>
        <w:t>”</w:t>
      </w:r>
      <w:r w:rsidRPr="008C646E">
        <w:rPr>
          <w:lang w:val="en-US"/>
        </w:rPr>
        <w:t xml:space="preserve"> </w:t>
      </w:r>
      <w:r>
        <w:rPr>
          <w:lang w:val="en-US"/>
        </w:rPr>
        <w:t>a</w:t>
      </w:r>
      <w:r w:rsidRPr="008C646E">
        <w:rPr>
          <w:lang w:val="en-US"/>
        </w:rPr>
        <w:t xml:space="preserve">nd </w:t>
      </w:r>
      <w:r>
        <w:rPr>
          <w:lang w:val="en-US"/>
        </w:rPr>
        <w:t>“</w:t>
      </w:r>
      <w:r w:rsidRPr="008C646E">
        <w:rPr>
          <w:lang w:val="en-US"/>
        </w:rPr>
        <w:t>configuration inside the package</w:t>
      </w:r>
      <w:r>
        <w:rPr>
          <w:lang w:val="en-US"/>
        </w:rPr>
        <w:t xml:space="preserve">” </w:t>
      </w:r>
      <w:r w:rsidR="000A21F7">
        <w:rPr>
          <w:lang w:val="en-US"/>
        </w:rPr>
        <w:t>sh</w:t>
      </w:r>
      <w:r>
        <w:rPr>
          <w:lang w:val="en-US"/>
        </w:rPr>
        <w:t xml:space="preserve">ould </w:t>
      </w:r>
      <w:r w:rsidR="00476BBD">
        <w:rPr>
          <w:lang w:val="en-US"/>
        </w:rPr>
        <w:t xml:space="preserve">also </w:t>
      </w:r>
      <w:r>
        <w:rPr>
          <w:lang w:val="en-US"/>
        </w:rPr>
        <w:t>be included LP903 to address these concerns.</w:t>
      </w:r>
    </w:p>
    <w:p w14:paraId="14D029B8" w14:textId="503E257D" w:rsidR="00B760A1" w:rsidRDefault="00B760A1" w:rsidP="00B760A1">
      <w:pPr>
        <w:pStyle w:val="SingleTxtG"/>
        <w:rPr>
          <w:lang w:val="en-US"/>
        </w:rPr>
      </w:pPr>
      <w:r w:rsidRPr="00372A88">
        <w:rPr>
          <w:lang w:val="en-US"/>
        </w:rPr>
        <w:tab/>
      </w:r>
      <w:r>
        <w:rPr>
          <w:lang w:val="en-US"/>
        </w:rPr>
        <w:t>5</w:t>
      </w:r>
      <w:r w:rsidRPr="00372A88">
        <w:rPr>
          <w:lang w:val="en-US"/>
        </w:rPr>
        <w:t>.</w:t>
      </w:r>
      <w:r w:rsidRPr="00372A88">
        <w:rPr>
          <w:lang w:val="en-US"/>
        </w:rPr>
        <w:tab/>
      </w:r>
      <w:r>
        <w:rPr>
          <w:lang w:val="en-US"/>
        </w:rPr>
        <w:t xml:space="preserve">PRBA also believes that authorizing large packaging of multiple lithium cells and batteries, properly isolated from one another, would pose no greater risk than numerous smaller packages containing the same number of cells when stacked on a pallet for transport - which is the method currently utilized. The use of a large packaging instead of numerous smaller packages contributes to safety by replacing </w:t>
      </w:r>
      <w:r w:rsidR="00297DA7">
        <w:rPr>
          <w:lang w:val="en-US"/>
        </w:rPr>
        <w:t xml:space="preserve">the </w:t>
      </w:r>
      <w:r>
        <w:rPr>
          <w:lang w:val="en-US"/>
        </w:rPr>
        <w:t>necessary handling of multiple small packages by the mechanical handling of a single large pac</w:t>
      </w:r>
      <w:r w:rsidRPr="00E06A5F">
        <w:rPr>
          <w:lang w:val="en-US"/>
        </w:rPr>
        <w:t>kaging. One PRBA member estimates that as many as 1000 fewer truck and rail</w:t>
      </w:r>
      <w:r>
        <w:rPr>
          <w:lang w:val="en-US"/>
        </w:rPr>
        <w:t xml:space="preserve"> </w:t>
      </w:r>
      <w:r w:rsidRPr="00E06A5F">
        <w:rPr>
          <w:lang w:val="en-US"/>
        </w:rPr>
        <w:t xml:space="preserve">shipments per year would be needed to transport their cells if </w:t>
      </w:r>
      <w:r w:rsidR="001E4904">
        <w:rPr>
          <w:lang w:val="en-US"/>
        </w:rPr>
        <w:t xml:space="preserve">the </w:t>
      </w:r>
      <w:r w:rsidRPr="00E06A5F">
        <w:rPr>
          <w:lang w:val="en-US"/>
        </w:rPr>
        <w:t>use of large packaging was authorized.</w:t>
      </w:r>
    </w:p>
    <w:p w14:paraId="2BE0072B" w14:textId="77777777" w:rsidR="00486138" w:rsidRDefault="00486138">
      <w:pPr>
        <w:suppressAutoHyphens w:val="0"/>
        <w:kinsoku/>
        <w:overflowPunct/>
        <w:autoSpaceDE/>
        <w:autoSpaceDN/>
        <w:adjustRightInd/>
        <w:snapToGrid/>
        <w:spacing w:after="200" w:line="276" w:lineRule="auto"/>
        <w:rPr>
          <w:lang w:val="en-US"/>
        </w:rPr>
      </w:pPr>
      <w:r>
        <w:rPr>
          <w:lang w:val="en-US"/>
        </w:rPr>
        <w:br w:type="page"/>
      </w:r>
    </w:p>
    <w:p w14:paraId="10DD33DD" w14:textId="72907B88" w:rsidR="00B760A1" w:rsidRPr="00372A88" w:rsidRDefault="00B760A1" w:rsidP="00B760A1">
      <w:pPr>
        <w:pStyle w:val="SingleTxtG"/>
        <w:spacing w:after="0"/>
        <w:ind w:left="1138" w:right="1138"/>
        <w:rPr>
          <w:lang w:val="en-US"/>
        </w:rPr>
      </w:pPr>
      <w:r>
        <w:rPr>
          <w:lang w:val="en-US"/>
        </w:rPr>
        <w:lastRenderedPageBreak/>
        <w:t>6.</w:t>
      </w:r>
      <w:r>
        <w:rPr>
          <w:lang w:val="en-US"/>
        </w:rPr>
        <w:tab/>
        <w:t>Th</w:t>
      </w:r>
      <w:r w:rsidR="00CE6C40">
        <w:rPr>
          <w:lang w:val="en-US"/>
        </w:rPr>
        <w:t>e</w:t>
      </w:r>
      <w:r>
        <w:rPr>
          <w:lang w:val="en-US"/>
        </w:rPr>
        <w:t xml:space="preserve"> method of using large packaging for lithium cells and batteries is not unlike the current provisions for Class 9 “safety devices” such as air bag modules (UN 3268) which include an explosives initiator, which are allowed not only in large </w:t>
      </w:r>
      <w:proofErr w:type="spellStart"/>
      <w:r>
        <w:rPr>
          <w:lang w:val="en-US"/>
        </w:rPr>
        <w:t>packagings</w:t>
      </w:r>
      <w:proofErr w:type="spellEnd"/>
      <w:r>
        <w:rPr>
          <w:lang w:val="en-US"/>
        </w:rPr>
        <w:t xml:space="preserve"> but in special handling devices to facilitate the installation of the articles at assembly plants. In a similar manner, the use of large </w:t>
      </w:r>
      <w:proofErr w:type="spellStart"/>
      <w:r>
        <w:rPr>
          <w:lang w:val="en-US"/>
        </w:rPr>
        <w:t>packagings</w:t>
      </w:r>
      <w:proofErr w:type="spellEnd"/>
      <w:r>
        <w:rPr>
          <w:lang w:val="en-US"/>
        </w:rPr>
        <w:t xml:space="preserve"> for lithium cells would ease handling and facilitate the installation of cells into large batteries that require hundreds or thousands of cells.</w:t>
      </w:r>
    </w:p>
    <w:p w14:paraId="111B6BB9" w14:textId="77777777" w:rsidR="00B760A1" w:rsidRPr="00372A88" w:rsidRDefault="00B760A1" w:rsidP="00486138">
      <w:pPr>
        <w:pStyle w:val="HChG"/>
        <w:spacing w:before="240"/>
        <w:ind w:left="1140" w:right="1140" w:hanging="1140"/>
        <w:rPr>
          <w:lang w:val="en-US"/>
        </w:rPr>
      </w:pPr>
      <w:r w:rsidRPr="00372A88">
        <w:rPr>
          <w:sz w:val="24"/>
          <w:szCs w:val="24"/>
          <w:lang w:val="en-US"/>
        </w:rPr>
        <w:tab/>
      </w:r>
      <w:r w:rsidRPr="00372A88">
        <w:rPr>
          <w:sz w:val="24"/>
          <w:szCs w:val="24"/>
          <w:lang w:val="en-US"/>
        </w:rPr>
        <w:tab/>
      </w:r>
      <w:r>
        <w:rPr>
          <w:lang w:val="en-US"/>
        </w:rPr>
        <w:t>Proposal</w:t>
      </w:r>
    </w:p>
    <w:p w14:paraId="640041CA" w14:textId="0B53FA58" w:rsidR="00B760A1" w:rsidRDefault="00B760A1" w:rsidP="00B760A1">
      <w:pPr>
        <w:pStyle w:val="SingleTxtG"/>
        <w:rPr>
          <w:lang w:val="en-US"/>
        </w:rPr>
      </w:pPr>
      <w:r>
        <w:rPr>
          <w:lang w:val="en-US"/>
        </w:rPr>
        <w:tab/>
        <w:t>7</w:t>
      </w:r>
      <w:r w:rsidRPr="00372A88">
        <w:rPr>
          <w:lang w:val="en-US"/>
        </w:rPr>
        <w:t>.</w:t>
      </w:r>
      <w:r w:rsidRPr="00372A88">
        <w:rPr>
          <w:lang w:val="en-US"/>
        </w:rPr>
        <w:tab/>
      </w:r>
      <w:r>
        <w:rPr>
          <w:lang w:val="en-US"/>
        </w:rPr>
        <w:t xml:space="preserve">PRBA proposes </w:t>
      </w:r>
      <w:r w:rsidR="00C00B5D">
        <w:rPr>
          <w:lang w:val="en-US"/>
        </w:rPr>
        <w:t xml:space="preserve">to amend in </w:t>
      </w:r>
      <w:r w:rsidR="008706E8">
        <w:rPr>
          <w:lang w:val="en-US"/>
        </w:rPr>
        <w:t xml:space="preserve">4.1.4.3 </w:t>
      </w:r>
      <w:r w:rsidR="00EA3C11">
        <w:rPr>
          <w:lang w:val="en-US"/>
        </w:rPr>
        <w:t xml:space="preserve">large packing instruction </w:t>
      </w:r>
      <w:r>
        <w:rPr>
          <w:lang w:val="en-US"/>
        </w:rPr>
        <w:t xml:space="preserve">LP903 as </w:t>
      </w:r>
      <w:r w:rsidR="00684A83">
        <w:rPr>
          <w:lang w:val="en-US"/>
        </w:rPr>
        <w:t>foll</w:t>
      </w:r>
      <w:r>
        <w:rPr>
          <w:lang w:val="en-US"/>
        </w:rPr>
        <w:t>ow</w:t>
      </w:r>
      <w:r w:rsidR="00684A83">
        <w:rPr>
          <w:lang w:val="en-US"/>
        </w:rPr>
        <w:t>s</w:t>
      </w:r>
      <w:r w:rsidR="008B57BE">
        <w:rPr>
          <w:lang w:val="en-US"/>
        </w:rPr>
        <w:t xml:space="preserve"> (</w:t>
      </w:r>
      <w:r w:rsidR="008B57BE">
        <w:t xml:space="preserve">new text is </w:t>
      </w:r>
      <w:r w:rsidR="008B57BE" w:rsidRPr="00745DCF">
        <w:rPr>
          <w:u w:val="single"/>
        </w:rPr>
        <w:t>underlined</w:t>
      </w:r>
      <w:r w:rsidR="008B57BE">
        <w:t xml:space="preserve">, deleted text is </w:t>
      </w:r>
      <w:r w:rsidR="008B57BE" w:rsidRPr="00745DCF">
        <w:rPr>
          <w:strike/>
        </w:rPr>
        <w:t>strike</w:t>
      </w:r>
      <w:r w:rsidR="008B57BE">
        <w:rPr>
          <w:strike/>
        </w:rPr>
        <w:t xml:space="preserve"> </w:t>
      </w:r>
      <w:r w:rsidR="008B57BE" w:rsidRPr="00745DCF">
        <w:rPr>
          <w:strike/>
        </w:rPr>
        <w:t>through</w:t>
      </w:r>
      <w:r w:rsidR="008B57BE">
        <w:rPr>
          <w:lang w:val="en-US"/>
        </w:rPr>
        <w:t>):</w:t>
      </w:r>
    </w:p>
    <w:p w14:paraId="2FB7B0BA" w14:textId="68003070" w:rsidR="007F7A6A" w:rsidRDefault="007F7A6A" w:rsidP="00B760A1">
      <w:pPr>
        <w:pStyle w:val="SingleTxtG"/>
        <w:rPr>
          <w:lang w:val="en-US"/>
        </w:rPr>
      </w:pPr>
      <w:r>
        <w:rPr>
          <w:lang w:val="en-US"/>
        </w:rPr>
        <w:t>“</w:t>
      </w:r>
    </w:p>
    <w:tbl>
      <w:tblPr>
        <w:tblStyle w:val="TableGrid"/>
        <w:tblW w:w="0" w:type="auto"/>
        <w:jc w:val="center"/>
        <w:tblLook w:val="04A0" w:firstRow="1" w:lastRow="0" w:firstColumn="1" w:lastColumn="0" w:noHBand="0" w:noVBand="1"/>
      </w:tblPr>
      <w:tblGrid>
        <w:gridCol w:w="539"/>
        <w:gridCol w:w="6969"/>
      </w:tblGrid>
      <w:tr w:rsidR="00B760A1" w14:paraId="2D7954BC"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67331353" w14:textId="77777777" w:rsidR="00B760A1" w:rsidRDefault="00B760A1" w:rsidP="00A44EF8">
            <w:pPr>
              <w:pStyle w:val="SingleTxtG"/>
              <w:ind w:left="418" w:right="560"/>
              <w:rPr>
                <w:b/>
              </w:rPr>
            </w:pPr>
            <w:r>
              <w:rPr>
                <w:b/>
              </w:rPr>
              <w:t>LP903                                      PACKING INSTRUCTION                                              LP903</w:t>
            </w:r>
          </w:p>
        </w:tc>
      </w:tr>
      <w:tr w:rsidR="00B760A1" w14:paraId="7FDCD825"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22B47442" w14:textId="77777777" w:rsidR="00B760A1" w:rsidRDefault="00B760A1" w:rsidP="00A44EF8">
            <w:pPr>
              <w:pStyle w:val="SingleTxtG"/>
              <w:ind w:left="418" w:right="560"/>
            </w:pPr>
            <w:r>
              <w:t>This instruction applies to UN Nos. 3090, 3091, 3480 and 3481</w:t>
            </w:r>
          </w:p>
        </w:tc>
      </w:tr>
      <w:tr w:rsidR="00B760A1" w14:paraId="27BA6266" w14:textId="77777777" w:rsidTr="00A44EF8">
        <w:trPr>
          <w:jc w:val="center"/>
        </w:trPr>
        <w:tc>
          <w:tcPr>
            <w:tcW w:w="7508" w:type="dxa"/>
            <w:gridSpan w:val="2"/>
            <w:tcBorders>
              <w:top w:val="single" w:sz="4" w:space="0" w:color="auto"/>
              <w:left w:val="single" w:sz="4" w:space="0" w:color="auto"/>
              <w:bottom w:val="nil"/>
              <w:right w:val="single" w:sz="4" w:space="0" w:color="auto"/>
            </w:tcBorders>
            <w:hideMark/>
          </w:tcPr>
          <w:p w14:paraId="565D1148" w14:textId="77777777" w:rsidR="00B760A1" w:rsidRPr="008A10E9" w:rsidRDefault="00B760A1" w:rsidP="00A44EF8">
            <w:pPr>
              <w:pStyle w:val="SingleTxtG"/>
              <w:ind w:left="418" w:right="560"/>
            </w:pPr>
            <w:r w:rsidRPr="008A10E9">
              <w:t xml:space="preserve">The following large </w:t>
            </w:r>
            <w:proofErr w:type="spellStart"/>
            <w:r w:rsidRPr="008A10E9">
              <w:t>packagings</w:t>
            </w:r>
            <w:proofErr w:type="spellEnd"/>
            <w:r w:rsidRPr="008A10E9">
              <w:t xml:space="preserve"> are authorized for </w:t>
            </w:r>
            <w:r w:rsidRPr="008A10E9">
              <w:rPr>
                <w:u w:val="single"/>
              </w:rPr>
              <w:t>cells,</w:t>
            </w:r>
            <w:r w:rsidRPr="008A10E9">
              <w:t xml:space="preserve"> </w:t>
            </w:r>
            <w:r w:rsidRPr="008A10E9">
              <w:rPr>
                <w:strike/>
              </w:rPr>
              <w:t>a single</w:t>
            </w:r>
            <w:r w:rsidRPr="008A10E9">
              <w:t xml:space="preserve"> </w:t>
            </w:r>
            <w:proofErr w:type="spellStart"/>
            <w:r w:rsidRPr="008A10E9">
              <w:t>batter</w:t>
            </w:r>
            <w:r w:rsidRPr="008A10E9">
              <w:rPr>
                <w:strike/>
              </w:rPr>
              <w:t>y</w:t>
            </w:r>
            <w:r w:rsidRPr="008A10E9">
              <w:rPr>
                <w:u w:val="single"/>
              </w:rPr>
              <w:t>ies</w:t>
            </w:r>
            <w:proofErr w:type="spellEnd"/>
            <w:r w:rsidRPr="008A10E9">
              <w:t xml:space="preserve"> and for </w:t>
            </w:r>
            <w:r w:rsidRPr="008A10E9">
              <w:rPr>
                <w:strike/>
              </w:rPr>
              <w:t>a single item of</w:t>
            </w:r>
            <w:r w:rsidRPr="008A10E9">
              <w:t xml:space="preserve"> equipment containing batteries, provided that the general provisions of </w:t>
            </w:r>
            <w:r w:rsidRPr="008A10E9">
              <w:rPr>
                <w:b/>
              </w:rPr>
              <w:t>4.1.1</w:t>
            </w:r>
            <w:r w:rsidRPr="008A10E9">
              <w:t xml:space="preserve"> and </w:t>
            </w:r>
            <w:r w:rsidRPr="008A10E9">
              <w:rPr>
                <w:b/>
              </w:rPr>
              <w:t>4.1.3</w:t>
            </w:r>
            <w:r w:rsidRPr="008A10E9">
              <w:t xml:space="preserve"> are met:</w:t>
            </w:r>
          </w:p>
          <w:p w14:paraId="4B6CCB27" w14:textId="77777777" w:rsidR="00B760A1" w:rsidRPr="008A10E9" w:rsidRDefault="00B760A1" w:rsidP="00A44EF8">
            <w:pPr>
              <w:pStyle w:val="SingleTxtG"/>
              <w:ind w:left="418" w:right="560"/>
            </w:pPr>
            <w:r w:rsidRPr="008A10E9">
              <w:t xml:space="preserve">Rigid large </w:t>
            </w:r>
            <w:proofErr w:type="spellStart"/>
            <w:r w:rsidRPr="008A10E9">
              <w:t>packagings</w:t>
            </w:r>
            <w:proofErr w:type="spellEnd"/>
            <w:r w:rsidRPr="008A10E9">
              <w:t xml:space="preserve"> conforming to the packing group II performance level, made of:</w:t>
            </w:r>
          </w:p>
        </w:tc>
      </w:tr>
      <w:tr w:rsidR="00B760A1" w14:paraId="4C73BE75" w14:textId="77777777" w:rsidTr="00A44EF8">
        <w:trPr>
          <w:jc w:val="center"/>
        </w:trPr>
        <w:tc>
          <w:tcPr>
            <w:tcW w:w="539" w:type="dxa"/>
            <w:tcBorders>
              <w:top w:val="nil"/>
              <w:left w:val="single" w:sz="4" w:space="0" w:color="auto"/>
              <w:bottom w:val="nil"/>
              <w:right w:val="nil"/>
            </w:tcBorders>
          </w:tcPr>
          <w:p w14:paraId="345DA49E" w14:textId="77777777" w:rsidR="00B760A1" w:rsidRPr="008A10E9" w:rsidRDefault="00B760A1" w:rsidP="00A44EF8">
            <w:pPr>
              <w:pStyle w:val="SingleTxtG"/>
              <w:ind w:right="560"/>
            </w:pPr>
          </w:p>
        </w:tc>
        <w:tc>
          <w:tcPr>
            <w:tcW w:w="6969" w:type="dxa"/>
            <w:tcBorders>
              <w:top w:val="nil"/>
              <w:left w:val="nil"/>
              <w:bottom w:val="nil"/>
              <w:right w:val="single" w:sz="4" w:space="0" w:color="auto"/>
            </w:tcBorders>
            <w:hideMark/>
          </w:tcPr>
          <w:p w14:paraId="078118C5" w14:textId="77777777" w:rsidR="00B760A1" w:rsidRPr="008A10E9" w:rsidRDefault="00B760A1" w:rsidP="00A44EF8">
            <w:pPr>
              <w:pStyle w:val="SingleTxtG"/>
              <w:ind w:left="587" w:right="560"/>
            </w:pPr>
            <w:r w:rsidRPr="008A10E9">
              <w:t>steel (50A</w:t>
            </w:r>
            <w:proofErr w:type="gramStart"/>
            <w:r w:rsidRPr="008A10E9">
              <w:t>);</w:t>
            </w:r>
            <w:proofErr w:type="gramEnd"/>
          </w:p>
          <w:p w14:paraId="7E9FE919" w14:textId="77777777" w:rsidR="00B760A1" w:rsidRPr="008A10E9" w:rsidRDefault="00B760A1" w:rsidP="00A44EF8">
            <w:pPr>
              <w:pStyle w:val="SingleTxtG"/>
              <w:ind w:left="587" w:right="560"/>
            </w:pPr>
            <w:proofErr w:type="spellStart"/>
            <w:r w:rsidRPr="008A10E9">
              <w:t>aluminium</w:t>
            </w:r>
            <w:proofErr w:type="spellEnd"/>
            <w:r w:rsidRPr="008A10E9">
              <w:t xml:space="preserve"> (50B</w:t>
            </w:r>
            <w:proofErr w:type="gramStart"/>
            <w:r w:rsidRPr="008A10E9">
              <w:t>);</w:t>
            </w:r>
            <w:proofErr w:type="gramEnd"/>
          </w:p>
          <w:p w14:paraId="57BE5260" w14:textId="77777777" w:rsidR="00B760A1" w:rsidRPr="008A10E9" w:rsidRDefault="00B760A1" w:rsidP="00A44EF8">
            <w:pPr>
              <w:pStyle w:val="SingleTxtG"/>
              <w:ind w:left="587" w:right="560"/>
            </w:pPr>
            <w:r w:rsidRPr="008A10E9">
              <w:t xml:space="preserve">metal other than steel or </w:t>
            </w:r>
            <w:proofErr w:type="spellStart"/>
            <w:r w:rsidRPr="008A10E9">
              <w:t>aluminium</w:t>
            </w:r>
            <w:proofErr w:type="spellEnd"/>
            <w:r w:rsidRPr="008A10E9">
              <w:t xml:space="preserve"> (50N</w:t>
            </w:r>
            <w:proofErr w:type="gramStart"/>
            <w:r w:rsidRPr="008A10E9">
              <w:t>);</w:t>
            </w:r>
            <w:proofErr w:type="gramEnd"/>
          </w:p>
          <w:p w14:paraId="3B6B151A" w14:textId="77777777" w:rsidR="00B760A1" w:rsidRPr="008A10E9" w:rsidRDefault="00B760A1" w:rsidP="00A44EF8">
            <w:pPr>
              <w:pStyle w:val="SingleTxtG"/>
              <w:ind w:left="587" w:right="560"/>
            </w:pPr>
            <w:r w:rsidRPr="008A10E9">
              <w:t>rigid plastics (50H</w:t>
            </w:r>
            <w:proofErr w:type="gramStart"/>
            <w:r w:rsidRPr="008A10E9">
              <w:t>);</w:t>
            </w:r>
            <w:proofErr w:type="gramEnd"/>
          </w:p>
          <w:p w14:paraId="16155353" w14:textId="77777777" w:rsidR="00B760A1" w:rsidRPr="008A10E9" w:rsidRDefault="00B760A1" w:rsidP="00A44EF8">
            <w:pPr>
              <w:pStyle w:val="SingleTxtG"/>
              <w:ind w:left="587" w:right="560"/>
            </w:pPr>
            <w:r w:rsidRPr="008A10E9">
              <w:t>natural wood (50C</w:t>
            </w:r>
            <w:proofErr w:type="gramStart"/>
            <w:r w:rsidRPr="008A10E9">
              <w:t>);</w:t>
            </w:r>
            <w:proofErr w:type="gramEnd"/>
          </w:p>
          <w:p w14:paraId="4B2A5890" w14:textId="77777777" w:rsidR="00B760A1" w:rsidRPr="008A10E9" w:rsidRDefault="00B760A1" w:rsidP="00A44EF8">
            <w:pPr>
              <w:pStyle w:val="SingleTxtG"/>
              <w:ind w:left="587" w:right="560"/>
            </w:pPr>
            <w:r w:rsidRPr="008A10E9">
              <w:t>plywood (50D</w:t>
            </w:r>
            <w:proofErr w:type="gramStart"/>
            <w:r w:rsidRPr="008A10E9">
              <w:t>);</w:t>
            </w:r>
            <w:proofErr w:type="gramEnd"/>
          </w:p>
          <w:p w14:paraId="32947C1B" w14:textId="77777777" w:rsidR="00B760A1" w:rsidRPr="008A10E9" w:rsidRDefault="00B760A1" w:rsidP="00A44EF8">
            <w:pPr>
              <w:pStyle w:val="SingleTxtG"/>
              <w:ind w:left="587" w:right="560"/>
            </w:pPr>
            <w:r w:rsidRPr="008A10E9">
              <w:t>reconstituted wood (50F</w:t>
            </w:r>
            <w:proofErr w:type="gramStart"/>
            <w:r w:rsidRPr="008A10E9">
              <w:t>);</w:t>
            </w:r>
            <w:proofErr w:type="gramEnd"/>
          </w:p>
          <w:p w14:paraId="0569F1F4" w14:textId="77777777" w:rsidR="00B760A1" w:rsidRPr="008A10E9" w:rsidRDefault="00B760A1" w:rsidP="00A44EF8">
            <w:pPr>
              <w:pStyle w:val="SingleTxtG"/>
              <w:ind w:left="587" w:right="560"/>
            </w:pPr>
            <w:r w:rsidRPr="008A10E9">
              <w:t xml:space="preserve">rigid </w:t>
            </w:r>
            <w:proofErr w:type="spellStart"/>
            <w:r w:rsidRPr="008A10E9">
              <w:t>fibreboard</w:t>
            </w:r>
            <w:proofErr w:type="spellEnd"/>
            <w:r w:rsidRPr="008A10E9">
              <w:t xml:space="preserve"> (50G).</w:t>
            </w:r>
          </w:p>
        </w:tc>
      </w:tr>
      <w:tr w:rsidR="00B760A1" w14:paraId="370BE4A7" w14:textId="77777777" w:rsidTr="00A44EF8">
        <w:trPr>
          <w:jc w:val="center"/>
        </w:trPr>
        <w:tc>
          <w:tcPr>
            <w:tcW w:w="7508" w:type="dxa"/>
            <w:gridSpan w:val="2"/>
            <w:tcBorders>
              <w:top w:val="nil"/>
              <w:left w:val="single" w:sz="4" w:space="0" w:color="auto"/>
              <w:bottom w:val="single" w:sz="4" w:space="0" w:color="auto"/>
              <w:right w:val="single" w:sz="4" w:space="0" w:color="auto"/>
            </w:tcBorders>
            <w:hideMark/>
          </w:tcPr>
          <w:p w14:paraId="0F5E7DC7" w14:textId="77777777" w:rsidR="00B760A1" w:rsidRPr="008A10E9" w:rsidRDefault="00B760A1" w:rsidP="00A44EF8">
            <w:pPr>
              <w:pStyle w:val="SingleTxtG"/>
              <w:ind w:left="559" w:right="560"/>
            </w:pPr>
            <w:r w:rsidRPr="008A10E9">
              <w:rPr>
                <w:strike/>
              </w:rPr>
              <w:t>The</w:t>
            </w:r>
            <w:r w:rsidRPr="008A10E9">
              <w:t xml:space="preserve"> </w:t>
            </w:r>
            <w:r w:rsidRPr="008A10E9">
              <w:rPr>
                <w:u w:val="single"/>
              </w:rPr>
              <w:t>Each</w:t>
            </w:r>
            <w:r w:rsidRPr="008A10E9">
              <w:t xml:space="preserve"> </w:t>
            </w:r>
            <w:r w:rsidRPr="008A10E9">
              <w:rPr>
                <w:u w:val="single"/>
              </w:rPr>
              <w:t xml:space="preserve">cell, </w:t>
            </w:r>
            <w:r w:rsidRPr="008A10E9">
              <w:t xml:space="preserve">battery or </w:t>
            </w:r>
            <w:r w:rsidRPr="008A10E9">
              <w:rPr>
                <w:strike/>
              </w:rPr>
              <w:t xml:space="preserve">the </w:t>
            </w:r>
            <w:r w:rsidRPr="008A10E9">
              <w:rPr>
                <w:u w:val="single"/>
              </w:rPr>
              <w:t xml:space="preserve">piece of </w:t>
            </w:r>
            <w:r w:rsidRPr="008A10E9">
              <w:t xml:space="preserve">equipment shall be </w:t>
            </w:r>
            <w:r w:rsidRPr="008A10E9">
              <w:rPr>
                <w:u w:val="single"/>
              </w:rPr>
              <w:t xml:space="preserve">wrapped or packed in an inner packaging and the outer packaging provided with dividers or partitions so that each battery or piece of equipment is separated to ensure </w:t>
            </w:r>
            <w:r w:rsidRPr="008A10E9">
              <w:rPr>
                <w:strike/>
              </w:rPr>
              <w:t xml:space="preserve">packed so </w:t>
            </w:r>
            <w:r w:rsidRPr="008A10E9">
              <w:t xml:space="preserve">that the </w:t>
            </w:r>
            <w:r w:rsidRPr="008A10E9">
              <w:rPr>
                <w:u w:val="single"/>
              </w:rPr>
              <w:t xml:space="preserve">cell, </w:t>
            </w:r>
            <w:r w:rsidRPr="008A10E9">
              <w:t>battery or the equipment is protected against damage that may be caused by its movement of placement within the large packaging.</w:t>
            </w:r>
          </w:p>
        </w:tc>
      </w:tr>
      <w:tr w:rsidR="00B760A1" w14:paraId="1271EDB8"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5E4FBEB2" w14:textId="77777777" w:rsidR="00B760A1" w:rsidRPr="008A10E9" w:rsidRDefault="00B760A1" w:rsidP="00A44EF8">
            <w:pPr>
              <w:pStyle w:val="SingleTxtG"/>
              <w:ind w:left="559" w:right="560"/>
              <w:rPr>
                <w:b/>
              </w:rPr>
            </w:pPr>
            <w:r w:rsidRPr="008A10E9">
              <w:rPr>
                <w:b/>
              </w:rPr>
              <w:t>Additional requirement:</w:t>
            </w:r>
          </w:p>
          <w:p w14:paraId="34539F50" w14:textId="77777777" w:rsidR="00B760A1" w:rsidRPr="008A10E9" w:rsidRDefault="00B760A1" w:rsidP="00A44EF8">
            <w:pPr>
              <w:pStyle w:val="SingleTxtG"/>
              <w:ind w:left="559" w:right="560"/>
            </w:pPr>
            <w:r w:rsidRPr="008A10E9">
              <w:t>Batteries shall be protected against short circuit.</w:t>
            </w:r>
          </w:p>
          <w:p w14:paraId="07138214" w14:textId="77777777" w:rsidR="00B760A1" w:rsidRPr="008A10E9" w:rsidRDefault="00B760A1" w:rsidP="00A44EF8">
            <w:pPr>
              <w:pStyle w:val="SingleTxtG"/>
              <w:ind w:left="559" w:right="560"/>
              <w:rPr>
                <w:u w:val="single"/>
              </w:rPr>
            </w:pPr>
            <w:r w:rsidRPr="008A10E9">
              <w:rPr>
                <w:u w:val="single"/>
              </w:rPr>
              <w:t>The maximum number of cells and batteries and items of equipment, the total maximum energy content of the batteries, and the configuration inside the package, including separations and protections of the parts, shall be considered.</w:t>
            </w:r>
          </w:p>
        </w:tc>
      </w:tr>
    </w:tbl>
    <w:p w14:paraId="4940AD38" w14:textId="1341A041" w:rsidR="00E061BE" w:rsidRDefault="007F7A6A" w:rsidP="007F7A6A">
      <w:pPr>
        <w:tabs>
          <w:tab w:val="left" w:pos="8505"/>
        </w:tabs>
        <w:rPr>
          <w:u w:val="single"/>
        </w:rPr>
      </w:pPr>
      <w:r>
        <w:rPr>
          <w:lang w:val="en-US"/>
        </w:rPr>
        <w:tab/>
      </w:r>
      <w:r w:rsidR="00E061BE">
        <w:rPr>
          <w:lang w:val="en-US"/>
        </w:rPr>
        <w:t>”</w:t>
      </w:r>
    </w:p>
    <w:p w14:paraId="37B96504" w14:textId="0D13BCDA" w:rsidR="00B760A1" w:rsidRDefault="00B760A1" w:rsidP="00B760A1">
      <w:pPr>
        <w:spacing w:before="240"/>
        <w:jc w:val="center"/>
        <w:rPr>
          <w:u w:val="single"/>
        </w:rPr>
      </w:pPr>
      <w:r>
        <w:rPr>
          <w:u w:val="single"/>
        </w:rPr>
        <w:tab/>
      </w:r>
      <w:r>
        <w:rPr>
          <w:u w:val="single"/>
        </w:rPr>
        <w:tab/>
      </w:r>
      <w:r>
        <w:rPr>
          <w:u w:val="single"/>
        </w:rPr>
        <w:tab/>
      </w:r>
    </w:p>
    <w:sectPr w:rsidR="00B760A1" w:rsidSect="00BB4B3F">
      <w:headerReference w:type="even" r:id="rId14"/>
      <w:headerReference w:type="default" r:id="rId15"/>
      <w:footerReference w:type="even" r:id="rId16"/>
      <w:footerReference w:type="defaul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4B8A" w14:textId="77777777" w:rsidR="00C70FF7" w:rsidRPr="00C47B2E" w:rsidRDefault="00C70FF7" w:rsidP="00C47B2E">
      <w:pPr>
        <w:pStyle w:val="Footer"/>
      </w:pPr>
    </w:p>
  </w:endnote>
  <w:endnote w:type="continuationSeparator" w:id="0">
    <w:p w14:paraId="330BE27F" w14:textId="77777777" w:rsidR="00C70FF7" w:rsidRPr="00C47B2E" w:rsidRDefault="00C70FF7" w:rsidP="00C47B2E">
      <w:pPr>
        <w:pStyle w:val="Footer"/>
      </w:pPr>
    </w:p>
  </w:endnote>
  <w:endnote w:type="continuationNotice" w:id="1">
    <w:p w14:paraId="250029AC" w14:textId="77777777" w:rsidR="00C70FF7" w:rsidRPr="00C47B2E" w:rsidRDefault="00C70F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244C8F">
    <w:pPr>
      <w:pStyle w:val="Footer"/>
      <w:tabs>
        <w:tab w:val="left" w:pos="5775"/>
        <w:tab w:val="right" w:pos="9598"/>
        <w:tab w:val="right" w:pos="9638"/>
      </w:tabs>
      <w:jc w:val="right"/>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A74E" w14:textId="77777777" w:rsidR="00C70FF7" w:rsidRPr="00C47B2E" w:rsidRDefault="00C70FF7" w:rsidP="00C47B2E">
      <w:pPr>
        <w:tabs>
          <w:tab w:val="right" w:pos="2155"/>
        </w:tabs>
        <w:spacing w:after="80" w:line="240" w:lineRule="auto"/>
        <w:ind w:left="680"/>
      </w:pPr>
      <w:r>
        <w:rPr>
          <w:u w:val="single"/>
        </w:rPr>
        <w:tab/>
      </w:r>
    </w:p>
  </w:footnote>
  <w:footnote w:type="continuationSeparator" w:id="0">
    <w:p w14:paraId="1E25B1D0" w14:textId="77777777" w:rsidR="00C70FF7" w:rsidRPr="00C47B2E" w:rsidRDefault="00C70FF7" w:rsidP="005E716E">
      <w:pPr>
        <w:tabs>
          <w:tab w:val="right" w:pos="2155"/>
        </w:tabs>
        <w:spacing w:after="80" w:line="240" w:lineRule="auto"/>
        <w:ind w:left="680"/>
      </w:pPr>
      <w:r>
        <w:rPr>
          <w:u w:val="single"/>
        </w:rPr>
        <w:tab/>
      </w:r>
    </w:p>
  </w:footnote>
  <w:footnote w:type="continuationNotice" w:id="1">
    <w:p w14:paraId="100077E5" w14:textId="77777777" w:rsidR="00C70FF7" w:rsidRPr="00C47B2E" w:rsidRDefault="00C70FF7" w:rsidP="00C47B2E">
      <w:pPr>
        <w:pStyle w:val="Footer"/>
      </w:pPr>
    </w:p>
  </w:footnote>
  <w:footnote w:id="2">
    <w:p w14:paraId="75D77A53" w14:textId="5DF171A4" w:rsidR="00E50A8A" w:rsidRPr="00E50A8A" w:rsidRDefault="00E50A8A" w:rsidP="00E50A8A">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 w:id="3">
    <w:p w14:paraId="1BB63C9F" w14:textId="046F2BE7" w:rsidR="00A82428" w:rsidRPr="00A82428" w:rsidRDefault="006D2B08" w:rsidP="00D5083E">
      <w:pPr>
        <w:tabs>
          <w:tab w:val="left" w:pos="1418"/>
        </w:tabs>
        <w:ind w:left="1134"/>
        <w:rPr>
          <w:rFonts w:asciiTheme="majorBidi" w:hAnsiTheme="majorBidi" w:cstheme="majorBidi"/>
          <w:sz w:val="18"/>
          <w:szCs w:val="18"/>
        </w:rPr>
      </w:pPr>
      <w:r>
        <w:rPr>
          <w:rStyle w:val="FootnoteReference"/>
        </w:rPr>
        <w:t>**</w:t>
      </w:r>
      <w:r>
        <w:t xml:space="preserve"> </w:t>
      </w:r>
      <w:r w:rsidR="00D5083E">
        <w:tab/>
      </w:r>
      <w:r w:rsidR="00A82428" w:rsidRPr="00A82428">
        <w:rPr>
          <w:rStyle w:val="Strong"/>
          <w:rFonts w:asciiTheme="majorBidi" w:hAnsiTheme="majorBidi" w:cstheme="majorBidi"/>
          <w:b w:val="0"/>
          <w:bCs w:val="0"/>
          <w:color w:val="383838"/>
          <w:sz w:val="18"/>
          <w:szCs w:val="18"/>
          <w:bdr w:val="none" w:sz="0" w:space="0" w:color="auto" w:frame="1"/>
          <w:shd w:val="clear" w:color="auto" w:fill="FFFFFF"/>
        </w:rPr>
        <w:t>This document was scheduled for publication after the standard publication date owing to circumstances beyond the submitter's control. </w:t>
      </w:r>
    </w:p>
    <w:p w14:paraId="346E1AC7" w14:textId="394066CB" w:rsidR="006D2B08" w:rsidRPr="00A82428" w:rsidRDefault="006D2B08">
      <w:pPr>
        <w:pStyle w:val="FootnoteText"/>
        <w:rPr>
          <w:rFonts w:asciiTheme="majorBidi" w:hAnsiTheme="majorBidi" w:cstheme="majorBidi"/>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4AD8E62F" w:rsidR="00BB4B3F" w:rsidRPr="008277A9" w:rsidRDefault="008277A9" w:rsidP="00506EAA">
    <w:pPr>
      <w:pStyle w:val="Header"/>
      <w:rPr>
        <w:lang w:val="fr-CH"/>
      </w:rPr>
    </w:pPr>
    <w:r>
      <w:rPr>
        <w:lang w:val="fr-CH"/>
      </w:rPr>
      <w:t>ST/SG/AC.10/C.3/2021/</w:t>
    </w:r>
    <w:r w:rsidR="00244C8F">
      <w:rPr>
        <w:lang w:val="fr-CH"/>
      </w:rPr>
      <w:t>2</w:t>
    </w:r>
    <w:r w:rsidR="0061407A">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64F7327F" w:rsidR="00D94B05" w:rsidRPr="00244C8F" w:rsidRDefault="00244C8F" w:rsidP="00BB4B3F">
    <w:pPr>
      <w:pStyle w:val="Header"/>
      <w:jc w:val="right"/>
      <w:rPr>
        <w:lang w:val="fr-CH"/>
      </w:rPr>
    </w:pPr>
    <w:r>
      <w:rPr>
        <w:lang w:val="fr-CH"/>
      </w:rPr>
      <w:t>ST/SG/AC.10/C.3/2021/2</w:t>
    </w:r>
    <w:r w:rsidR="0061407A">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63724"/>
    <w:multiLevelType w:val="hybridMultilevel"/>
    <w:tmpl w:val="3AB0BBCC"/>
    <w:lvl w:ilvl="0" w:tplc="11D2097C">
      <w:start w:val="1"/>
      <w:numFmt w:val="decimal"/>
      <w:pStyle w:val="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1"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C6C1B"/>
    <w:multiLevelType w:val="hybridMultilevel"/>
    <w:tmpl w:val="85E2CF46"/>
    <w:lvl w:ilvl="0" w:tplc="2A8A7C1E">
      <w:start w:val="1"/>
      <w:numFmt w:val="decimal"/>
      <w:pStyle w:val="pointsub"/>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548796A"/>
    <w:multiLevelType w:val="hybridMultilevel"/>
    <w:tmpl w:val="831EBB98"/>
    <w:lvl w:ilvl="0" w:tplc="CFAED492">
      <w:start w:val="1"/>
      <w:numFmt w:val="decimal"/>
      <w:lvlText w:val="%1."/>
      <w:lvlJc w:val="left"/>
      <w:pPr>
        <w:ind w:left="1495" w:hanging="360"/>
      </w:p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start w:val="1"/>
      <w:numFmt w:val="lowerRoman"/>
      <w:lvlText w:val="%6."/>
      <w:lvlJc w:val="right"/>
      <w:pPr>
        <w:ind w:left="5095" w:hanging="180"/>
      </w:pPr>
    </w:lvl>
    <w:lvl w:ilvl="6" w:tplc="0407000F">
      <w:start w:val="1"/>
      <w:numFmt w:val="decimal"/>
      <w:lvlText w:val="%7."/>
      <w:lvlJc w:val="left"/>
      <w:pPr>
        <w:ind w:left="5815" w:hanging="360"/>
      </w:pPr>
    </w:lvl>
    <w:lvl w:ilvl="7" w:tplc="04070019">
      <w:start w:val="1"/>
      <w:numFmt w:val="lowerLetter"/>
      <w:lvlText w:val="%8."/>
      <w:lvlJc w:val="left"/>
      <w:pPr>
        <w:ind w:left="6535" w:hanging="360"/>
      </w:pPr>
    </w:lvl>
    <w:lvl w:ilvl="8" w:tplc="0407001B">
      <w:start w:val="1"/>
      <w:numFmt w:val="lowerRoman"/>
      <w:lvlText w:val="%9."/>
      <w:lvlJc w:val="right"/>
      <w:pPr>
        <w:ind w:left="7255"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127D7B"/>
    <w:multiLevelType w:val="hybridMultilevel"/>
    <w:tmpl w:val="71C61398"/>
    <w:lvl w:ilvl="0" w:tplc="23E803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67F16"/>
    <w:multiLevelType w:val="hybridMultilevel"/>
    <w:tmpl w:val="53E87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B3046"/>
    <w:multiLevelType w:val="hybridMultilevel"/>
    <w:tmpl w:val="2C5E66CA"/>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B40EEBEA">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0"/>
  </w:num>
  <w:num w:numId="4">
    <w:abstractNumId w:val="14"/>
  </w:num>
  <w:num w:numId="5">
    <w:abstractNumId w:val="16"/>
  </w:num>
  <w:num w:numId="6">
    <w:abstractNumId w:val="20"/>
  </w:num>
  <w:num w:numId="7">
    <w:abstractNumId w:val="5"/>
  </w:num>
  <w:num w:numId="8">
    <w:abstractNumId w:val="2"/>
  </w:num>
  <w:num w:numId="9">
    <w:abstractNumId w:val="17"/>
  </w:num>
  <w:num w:numId="10">
    <w:abstractNumId w:val="2"/>
  </w:num>
  <w:num w:numId="11">
    <w:abstractNumId w:val="17"/>
  </w:num>
  <w:num w:numId="12">
    <w:abstractNumId w:val="4"/>
  </w:num>
  <w:num w:numId="13">
    <w:abstractNumId w:val="4"/>
  </w:num>
  <w:num w:numId="14">
    <w:abstractNumId w:val="6"/>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018B1"/>
    <w:rsid w:val="00042E67"/>
    <w:rsid w:val="00046E92"/>
    <w:rsid w:val="0005027B"/>
    <w:rsid w:val="00063C90"/>
    <w:rsid w:val="0007132F"/>
    <w:rsid w:val="000715C9"/>
    <w:rsid w:val="00081672"/>
    <w:rsid w:val="00097D26"/>
    <w:rsid w:val="000A21F7"/>
    <w:rsid w:val="000E2F51"/>
    <w:rsid w:val="00101B98"/>
    <w:rsid w:val="00101C30"/>
    <w:rsid w:val="00143697"/>
    <w:rsid w:val="00143B2B"/>
    <w:rsid w:val="001514D1"/>
    <w:rsid w:val="0019229D"/>
    <w:rsid w:val="00195BDA"/>
    <w:rsid w:val="001A6089"/>
    <w:rsid w:val="001B6E71"/>
    <w:rsid w:val="001D0459"/>
    <w:rsid w:val="001D492E"/>
    <w:rsid w:val="001E4904"/>
    <w:rsid w:val="002141FB"/>
    <w:rsid w:val="00226196"/>
    <w:rsid w:val="00231084"/>
    <w:rsid w:val="0023108C"/>
    <w:rsid w:val="0024365B"/>
    <w:rsid w:val="00244C8F"/>
    <w:rsid w:val="002469CC"/>
    <w:rsid w:val="00247E2C"/>
    <w:rsid w:val="0025062B"/>
    <w:rsid w:val="002842BF"/>
    <w:rsid w:val="002861D4"/>
    <w:rsid w:val="00292542"/>
    <w:rsid w:val="00297DA7"/>
    <w:rsid w:val="002A32CB"/>
    <w:rsid w:val="002B5F9F"/>
    <w:rsid w:val="002C090B"/>
    <w:rsid w:val="002D5B2C"/>
    <w:rsid w:val="002D6C53"/>
    <w:rsid w:val="002D73EF"/>
    <w:rsid w:val="002E426F"/>
    <w:rsid w:val="002E7570"/>
    <w:rsid w:val="002F4DFC"/>
    <w:rsid w:val="002F5595"/>
    <w:rsid w:val="003003A2"/>
    <w:rsid w:val="00310B7B"/>
    <w:rsid w:val="00322408"/>
    <w:rsid w:val="00334F6A"/>
    <w:rsid w:val="00342AC8"/>
    <w:rsid w:val="00343302"/>
    <w:rsid w:val="0035258E"/>
    <w:rsid w:val="00365EC4"/>
    <w:rsid w:val="00376551"/>
    <w:rsid w:val="00380668"/>
    <w:rsid w:val="00386598"/>
    <w:rsid w:val="003979DE"/>
    <w:rsid w:val="003B4550"/>
    <w:rsid w:val="003D2A18"/>
    <w:rsid w:val="00400679"/>
    <w:rsid w:val="00413386"/>
    <w:rsid w:val="00415ECE"/>
    <w:rsid w:val="00422939"/>
    <w:rsid w:val="00461253"/>
    <w:rsid w:val="00476BBD"/>
    <w:rsid w:val="004858F5"/>
    <w:rsid w:val="00486138"/>
    <w:rsid w:val="0049299A"/>
    <w:rsid w:val="00497AD2"/>
    <w:rsid w:val="004A2814"/>
    <w:rsid w:val="004A2927"/>
    <w:rsid w:val="004A73C3"/>
    <w:rsid w:val="004C0622"/>
    <w:rsid w:val="004C408D"/>
    <w:rsid w:val="004D3C91"/>
    <w:rsid w:val="004E54BD"/>
    <w:rsid w:val="004F0A47"/>
    <w:rsid w:val="005042C2"/>
    <w:rsid w:val="00506EAA"/>
    <w:rsid w:val="005319A8"/>
    <w:rsid w:val="00587A7A"/>
    <w:rsid w:val="00594052"/>
    <w:rsid w:val="005D24A2"/>
    <w:rsid w:val="005E716E"/>
    <w:rsid w:val="005F6963"/>
    <w:rsid w:val="005F7DD5"/>
    <w:rsid w:val="0061137D"/>
    <w:rsid w:val="0061407A"/>
    <w:rsid w:val="006476E1"/>
    <w:rsid w:val="006579F5"/>
    <w:rsid w:val="006604DF"/>
    <w:rsid w:val="00666AB7"/>
    <w:rsid w:val="00671529"/>
    <w:rsid w:val="0067327E"/>
    <w:rsid w:val="00684A83"/>
    <w:rsid w:val="00693E83"/>
    <w:rsid w:val="006A6D7D"/>
    <w:rsid w:val="006D2B08"/>
    <w:rsid w:val="0070489D"/>
    <w:rsid w:val="00704CF9"/>
    <w:rsid w:val="0071305A"/>
    <w:rsid w:val="007268F9"/>
    <w:rsid w:val="00750282"/>
    <w:rsid w:val="00752DB5"/>
    <w:rsid w:val="00764440"/>
    <w:rsid w:val="0077101B"/>
    <w:rsid w:val="00774190"/>
    <w:rsid w:val="007A3860"/>
    <w:rsid w:val="007A5E70"/>
    <w:rsid w:val="007C52B0"/>
    <w:rsid w:val="007C6033"/>
    <w:rsid w:val="007F5DB9"/>
    <w:rsid w:val="007F7A6A"/>
    <w:rsid w:val="00800902"/>
    <w:rsid w:val="0080120F"/>
    <w:rsid w:val="00804286"/>
    <w:rsid w:val="008106A0"/>
    <w:rsid w:val="008147C8"/>
    <w:rsid w:val="0081753A"/>
    <w:rsid w:val="0082423B"/>
    <w:rsid w:val="008277A9"/>
    <w:rsid w:val="00857D23"/>
    <w:rsid w:val="008635C9"/>
    <w:rsid w:val="0086453C"/>
    <w:rsid w:val="0086502B"/>
    <w:rsid w:val="008706E8"/>
    <w:rsid w:val="00872F75"/>
    <w:rsid w:val="00877A74"/>
    <w:rsid w:val="008A10E9"/>
    <w:rsid w:val="008B57BE"/>
    <w:rsid w:val="008D28D7"/>
    <w:rsid w:val="008E3965"/>
    <w:rsid w:val="008F28BA"/>
    <w:rsid w:val="009411B4"/>
    <w:rsid w:val="00946F1D"/>
    <w:rsid w:val="00951D7E"/>
    <w:rsid w:val="00963AA3"/>
    <w:rsid w:val="009C51A6"/>
    <w:rsid w:val="009D0139"/>
    <w:rsid w:val="009D717D"/>
    <w:rsid w:val="009F5CDC"/>
    <w:rsid w:val="00A072D7"/>
    <w:rsid w:val="00A16EDF"/>
    <w:rsid w:val="00A3392E"/>
    <w:rsid w:val="00A44EF8"/>
    <w:rsid w:val="00A775CF"/>
    <w:rsid w:val="00A82428"/>
    <w:rsid w:val="00AC7277"/>
    <w:rsid w:val="00AD1A9C"/>
    <w:rsid w:val="00AF5DE1"/>
    <w:rsid w:val="00B05673"/>
    <w:rsid w:val="00B06045"/>
    <w:rsid w:val="00B1322F"/>
    <w:rsid w:val="00B206DD"/>
    <w:rsid w:val="00B21719"/>
    <w:rsid w:val="00B24D6F"/>
    <w:rsid w:val="00B379EF"/>
    <w:rsid w:val="00B52EF4"/>
    <w:rsid w:val="00B538B8"/>
    <w:rsid w:val="00B61F22"/>
    <w:rsid w:val="00B760A1"/>
    <w:rsid w:val="00B777AD"/>
    <w:rsid w:val="00B97065"/>
    <w:rsid w:val="00BA5C52"/>
    <w:rsid w:val="00BB4B3F"/>
    <w:rsid w:val="00BC4071"/>
    <w:rsid w:val="00BF1145"/>
    <w:rsid w:val="00BF618A"/>
    <w:rsid w:val="00C00B5D"/>
    <w:rsid w:val="00C03015"/>
    <w:rsid w:val="00C0358D"/>
    <w:rsid w:val="00C0571C"/>
    <w:rsid w:val="00C05B55"/>
    <w:rsid w:val="00C0616F"/>
    <w:rsid w:val="00C17BEF"/>
    <w:rsid w:val="00C20100"/>
    <w:rsid w:val="00C35A27"/>
    <w:rsid w:val="00C4597B"/>
    <w:rsid w:val="00C47B2E"/>
    <w:rsid w:val="00C61B04"/>
    <w:rsid w:val="00C70FF7"/>
    <w:rsid w:val="00C77720"/>
    <w:rsid w:val="00C9007C"/>
    <w:rsid w:val="00CA4EBC"/>
    <w:rsid w:val="00CC61C7"/>
    <w:rsid w:val="00CD1739"/>
    <w:rsid w:val="00CE015E"/>
    <w:rsid w:val="00CE6C40"/>
    <w:rsid w:val="00CE765B"/>
    <w:rsid w:val="00D0105B"/>
    <w:rsid w:val="00D03A58"/>
    <w:rsid w:val="00D05BF1"/>
    <w:rsid w:val="00D06BB8"/>
    <w:rsid w:val="00D4745A"/>
    <w:rsid w:val="00D5083E"/>
    <w:rsid w:val="00D63CD2"/>
    <w:rsid w:val="00D70673"/>
    <w:rsid w:val="00D866F2"/>
    <w:rsid w:val="00D87DC2"/>
    <w:rsid w:val="00D92B48"/>
    <w:rsid w:val="00D92BDA"/>
    <w:rsid w:val="00D94B05"/>
    <w:rsid w:val="00D950FF"/>
    <w:rsid w:val="00DE4318"/>
    <w:rsid w:val="00DF5370"/>
    <w:rsid w:val="00E02C2B"/>
    <w:rsid w:val="00E061BE"/>
    <w:rsid w:val="00E210BF"/>
    <w:rsid w:val="00E21C27"/>
    <w:rsid w:val="00E26BCF"/>
    <w:rsid w:val="00E316CA"/>
    <w:rsid w:val="00E34823"/>
    <w:rsid w:val="00E50A8A"/>
    <w:rsid w:val="00E52109"/>
    <w:rsid w:val="00E61734"/>
    <w:rsid w:val="00E6532B"/>
    <w:rsid w:val="00E75317"/>
    <w:rsid w:val="00E977F5"/>
    <w:rsid w:val="00EA3C11"/>
    <w:rsid w:val="00EA5636"/>
    <w:rsid w:val="00EB33F3"/>
    <w:rsid w:val="00EC0CE6"/>
    <w:rsid w:val="00EC7C1D"/>
    <w:rsid w:val="00ED6C48"/>
    <w:rsid w:val="00EE3045"/>
    <w:rsid w:val="00EE659A"/>
    <w:rsid w:val="00EF34D3"/>
    <w:rsid w:val="00F1369C"/>
    <w:rsid w:val="00F36448"/>
    <w:rsid w:val="00F560A2"/>
    <w:rsid w:val="00F65F5D"/>
    <w:rsid w:val="00F84767"/>
    <w:rsid w:val="00F84898"/>
    <w:rsid w:val="00F86A3A"/>
    <w:rsid w:val="00F93813"/>
    <w:rsid w:val="00FC5146"/>
    <w:rsid w:val="00FF6B3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qFormat/>
    <w:locked/>
    <w:rsid w:val="0086502B"/>
    <w:rPr>
      <w:b/>
      <w:sz w:val="28"/>
    </w:rPr>
  </w:style>
  <w:style w:type="character" w:customStyle="1" w:styleId="SingleTxtGChar">
    <w:name w:val="_ Single Txt_G Char"/>
    <w:link w:val="SingleTxtG"/>
    <w:qFormat/>
    <w:rsid w:val="0086502B"/>
  </w:style>
  <w:style w:type="paragraph" w:styleId="ListParagraph">
    <w:name w:val="List Paragraph"/>
    <w:basedOn w:val="Normal"/>
    <w:uiPriority w:val="34"/>
    <w:qFormat/>
    <w:rsid w:val="0086502B"/>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qFormat/>
    <w:locked/>
    <w:rsid w:val="00E977F5"/>
  </w:style>
  <w:style w:type="paragraph" w:customStyle="1" w:styleId="point">
    <w:name w:val="point"/>
    <w:basedOn w:val="ListParagraph"/>
    <w:qFormat/>
    <w:rsid w:val="00E977F5"/>
    <w:pPr>
      <w:widowControl w:val="0"/>
      <w:numPr>
        <w:numId w:val="16"/>
      </w:numPr>
      <w:suppressAutoHyphens w:val="0"/>
      <w:overflowPunct w:val="0"/>
      <w:autoSpaceDE w:val="0"/>
      <w:autoSpaceDN w:val="0"/>
      <w:adjustRightInd w:val="0"/>
      <w:spacing w:before="120" w:after="120" w:line="240" w:lineRule="auto"/>
      <w:contextualSpacing w:val="0"/>
      <w:jc w:val="both"/>
    </w:pPr>
    <w:rPr>
      <w:color w:val="00000A"/>
      <w:sz w:val="22"/>
      <w:szCs w:val="22"/>
      <w:lang w:val="en-US"/>
    </w:rPr>
  </w:style>
  <w:style w:type="paragraph" w:customStyle="1" w:styleId="pointsub">
    <w:name w:val="pointsub"/>
    <w:basedOn w:val="ListParagraph"/>
    <w:qFormat/>
    <w:rsid w:val="00E977F5"/>
    <w:pPr>
      <w:widowControl w:val="0"/>
      <w:numPr>
        <w:numId w:val="17"/>
      </w:numPr>
      <w:suppressAutoHyphens w:val="0"/>
      <w:overflowPunct w:val="0"/>
      <w:autoSpaceDE w:val="0"/>
      <w:autoSpaceDN w:val="0"/>
      <w:adjustRightInd w:val="0"/>
      <w:spacing w:before="120" w:after="120" w:line="240" w:lineRule="auto"/>
      <w:ind w:left="1797" w:hanging="357"/>
      <w:contextualSpacing w:val="0"/>
      <w:jc w:val="both"/>
    </w:pPr>
    <w:rPr>
      <w:color w:val="00000A"/>
      <w:sz w:val="22"/>
      <w:szCs w:val="22"/>
      <w:lang w:val="en-US"/>
    </w:rPr>
  </w:style>
  <w:style w:type="character" w:styleId="UnresolvedMention">
    <w:name w:val="Unresolved Mention"/>
    <w:basedOn w:val="DefaultParagraphFont"/>
    <w:uiPriority w:val="99"/>
    <w:semiHidden/>
    <w:unhideWhenUsed/>
    <w:rsid w:val="0086453C"/>
    <w:rPr>
      <w:color w:val="605E5C"/>
      <w:shd w:val="clear" w:color="auto" w:fill="E1DFDD"/>
    </w:rPr>
  </w:style>
  <w:style w:type="paragraph" w:customStyle="1" w:styleId="Default">
    <w:name w:val="Default"/>
    <w:rsid w:val="00FC5146"/>
    <w:pPr>
      <w:autoSpaceDE w:val="0"/>
      <w:autoSpaceDN w:val="0"/>
      <w:adjustRightInd w:val="0"/>
      <w:spacing w:after="0" w:line="240" w:lineRule="auto"/>
    </w:pPr>
    <w:rPr>
      <w:rFonts w:eastAsia="Times New Roman"/>
      <w:color w:val="000000"/>
      <w:sz w:val="24"/>
      <w:szCs w:val="24"/>
      <w:lang w:val="en-US" w:eastAsia="en-GB"/>
    </w:rPr>
  </w:style>
  <w:style w:type="character" w:styleId="Strong">
    <w:name w:val="Strong"/>
    <w:basedOn w:val="DefaultParagraphFont"/>
    <w:uiPriority w:val="22"/>
    <w:qFormat/>
    <w:rsid w:val="00A8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024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3627338">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367483511">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 w:id="19637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3.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166</TotalTime>
  <Pages>3</Pages>
  <Words>893</Words>
  <Characters>5093</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70</cp:revision>
  <dcterms:created xsi:type="dcterms:W3CDTF">2021-04-10T10:04:00Z</dcterms:created>
  <dcterms:modified xsi:type="dcterms:W3CDTF">2021-04-20T09:13:00Z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