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233BB22F" w:rsidR="00E52109" w:rsidRDefault="00665C12" w:rsidP="00665C12">
            <w:pPr>
              <w:suppressAutoHyphens w:val="0"/>
              <w:jc w:val="right"/>
            </w:pPr>
            <w:r w:rsidRPr="00665C12">
              <w:rPr>
                <w:sz w:val="40"/>
              </w:rPr>
              <w:t>ST</w:t>
            </w:r>
            <w:r>
              <w:t>/SG/AC.10/C.3/2021/1</w:t>
            </w:r>
            <w:r w:rsidR="00A16541">
              <w:t>7</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4A963117" w:rsidR="00665C12" w:rsidRDefault="00620ABE" w:rsidP="00665C12">
            <w:pPr>
              <w:suppressAutoHyphens w:val="0"/>
              <w:spacing w:line="240" w:lineRule="exact"/>
            </w:pPr>
            <w:r>
              <w:t>1</w:t>
            </w:r>
            <w:r w:rsidR="000567C4">
              <w:t>6</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6B7DE1BD"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222A0E">
        <w:rPr>
          <w:lang w:val="en-US"/>
        </w:rPr>
        <w:t>3</w:t>
      </w:r>
      <w:r>
        <w:rPr>
          <w:lang w:val="en-US"/>
        </w:rPr>
        <w:t xml:space="preserve"> </w:t>
      </w:r>
      <w:r w:rsidRPr="009E5EAE">
        <w:rPr>
          <w:lang w:val="en-US"/>
        </w:rPr>
        <w:t>of the provisional agenda</w:t>
      </w:r>
    </w:p>
    <w:p w14:paraId="0BB94162" w14:textId="532E930B" w:rsidR="00773D2D" w:rsidRDefault="008C50E6" w:rsidP="00FE6284">
      <w:pPr>
        <w:rPr>
          <w:b/>
          <w:bCs/>
        </w:rPr>
      </w:pPr>
      <w:r w:rsidRPr="008C50E6">
        <w:rPr>
          <w:b/>
          <w:bCs/>
        </w:rPr>
        <w:t xml:space="preserve">Listing, </w:t>
      </w:r>
      <w:proofErr w:type="gramStart"/>
      <w:r w:rsidRPr="008C50E6">
        <w:rPr>
          <w:b/>
          <w:bCs/>
        </w:rPr>
        <w:t>classification</w:t>
      </w:r>
      <w:proofErr w:type="gramEnd"/>
      <w:r w:rsidRPr="008C50E6">
        <w:rPr>
          <w:b/>
          <w:bCs/>
        </w:rPr>
        <w:t xml:space="preserve"> and packing</w:t>
      </w:r>
    </w:p>
    <w:p w14:paraId="1ABF23CA" w14:textId="2D54E375" w:rsidR="0024030A" w:rsidRDefault="0024030A" w:rsidP="0024030A">
      <w:pPr>
        <w:pStyle w:val="HChG"/>
        <w:ind w:leftChars="587" w:left="1182" w:hangingChars="3" w:hanging="8"/>
        <w:jc w:val="both"/>
      </w:pPr>
      <w:r>
        <w:rPr>
          <w:rFonts w:hint="eastAsia"/>
        </w:rPr>
        <w:t>Prop</w:t>
      </w:r>
      <w:r>
        <w:t>osal to amend SP</w:t>
      </w:r>
      <w:r w:rsidR="00F101D0">
        <w:t xml:space="preserve"> </w:t>
      </w:r>
      <w:r>
        <w:t>366, making it also adjust to Gallium contained in manufactured articles</w:t>
      </w:r>
    </w:p>
    <w:p w14:paraId="31CCBAE0" w14:textId="3D5B7A5E" w:rsidR="0024030A" w:rsidRPr="00335FA3" w:rsidRDefault="00596699" w:rsidP="00596699">
      <w:pPr>
        <w:pStyle w:val="H1G"/>
      </w:pPr>
      <w:r>
        <w:tab/>
      </w:r>
      <w:r>
        <w:tab/>
      </w:r>
      <w:r w:rsidR="0024030A" w:rsidRPr="00335FA3">
        <w:t>Transmitted by the expert from China</w:t>
      </w:r>
      <w:r w:rsidR="00E80235">
        <w:rPr>
          <w:rStyle w:val="FootnoteReference"/>
        </w:rPr>
        <w:footnoteReference w:id="2"/>
      </w:r>
    </w:p>
    <w:p w14:paraId="1629E996" w14:textId="77777777" w:rsidR="0024030A" w:rsidRPr="005801E9" w:rsidRDefault="0024030A" w:rsidP="0024030A">
      <w:pPr>
        <w:pStyle w:val="HChG"/>
      </w:pPr>
      <w:r w:rsidRPr="005801E9">
        <w:tab/>
      </w:r>
      <w:r w:rsidRPr="005801E9">
        <w:tab/>
      </w:r>
      <w:r>
        <w:t>Introduction</w:t>
      </w:r>
    </w:p>
    <w:p w14:paraId="60F2DA89" w14:textId="160EC1ED" w:rsidR="0024030A" w:rsidRPr="007B0507" w:rsidRDefault="00596699" w:rsidP="00596699">
      <w:pPr>
        <w:pStyle w:val="SingleTxtG"/>
        <w:rPr>
          <w:iCs/>
        </w:rPr>
      </w:pPr>
      <w:r>
        <w:tab/>
        <w:t>1.</w:t>
      </w:r>
      <w:r>
        <w:tab/>
      </w:r>
      <w:r w:rsidR="0024030A" w:rsidRPr="008F4901">
        <w:t xml:space="preserve">Mercury is a silvery white metal, which </w:t>
      </w:r>
      <w:r w:rsidR="0024030A">
        <w:t>is a corrosive substance with the subsidiary hazard of toxicity</w:t>
      </w:r>
      <w:r w:rsidR="0024030A" w:rsidRPr="008F4901">
        <w:t xml:space="preserve">. It is </w:t>
      </w:r>
      <w:r w:rsidR="0024030A">
        <w:t>assigned to the entry</w:t>
      </w:r>
      <w:r w:rsidR="0024030A" w:rsidRPr="008F4901">
        <w:t xml:space="preserve"> UN 2809 in the </w:t>
      </w:r>
      <w:r w:rsidR="0024030A">
        <w:t xml:space="preserve">Dangerous Goods List of the </w:t>
      </w:r>
      <w:r w:rsidR="007B0507">
        <w:t xml:space="preserve">UN </w:t>
      </w:r>
      <w:r w:rsidR="0024030A" w:rsidRPr="007B0507">
        <w:rPr>
          <w:iCs/>
        </w:rPr>
        <w:t>Model Regulations.</w:t>
      </w:r>
      <w:r w:rsidR="00B00CC6">
        <w:rPr>
          <w:iCs/>
        </w:rPr>
        <w:t xml:space="preserve"> At its thirty-eight</w:t>
      </w:r>
      <w:r w:rsidR="00B00CC6" w:rsidRPr="007B0507">
        <w:rPr>
          <w:iCs/>
        </w:rPr>
        <w:t xml:space="preserve">h session </w:t>
      </w:r>
      <w:r w:rsidR="00B00CC6">
        <w:rPr>
          <w:iCs/>
        </w:rPr>
        <w:t>i</w:t>
      </w:r>
      <w:r w:rsidR="0024030A" w:rsidRPr="007B0507">
        <w:rPr>
          <w:iCs/>
        </w:rPr>
        <w:t xml:space="preserve">n 2010, the Sub-Committee </w:t>
      </w:r>
      <w:r w:rsidR="00066F5E" w:rsidRPr="00066F5E">
        <w:rPr>
          <w:iCs/>
        </w:rPr>
        <w:t>of Experts on the Transport of Dangerous Goods</w:t>
      </w:r>
      <w:r w:rsidR="002415CA" w:rsidRPr="007B0507">
        <w:rPr>
          <w:iCs/>
        </w:rPr>
        <w:t xml:space="preserve"> </w:t>
      </w:r>
      <w:r w:rsidR="0024030A" w:rsidRPr="007B0507">
        <w:rPr>
          <w:iCs/>
        </w:rPr>
        <w:t>a</w:t>
      </w:r>
      <w:r w:rsidR="00066F5E">
        <w:rPr>
          <w:iCs/>
        </w:rPr>
        <w:t>dopt</w:t>
      </w:r>
      <w:r w:rsidR="0024030A" w:rsidRPr="007B0507">
        <w:rPr>
          <w:iCs/>
        </w:rPr>
        <w:t>ed a new entry UN</w:t>
      </w:r>
      <w:r w:rsidR="00FD67FE">
        <w:rPr>
          <w:iCs/>
        </w:rPr>
        <w:t xml:space="preserve"> </w:t>
      </w:r>
      <w:r w:rsidR="0024030A" w:rsidRPr="007B0507">
        <w:rPr>
          <w:iCs/>
        </w:rPr>
        <w:t xml:space="preserve">3506, Mercury contained in manufactured articles, and the related </w:t>
      </w:r>
      <w:r w:rsidR="00DC7FEF">
        <w:rPr>
          <w:iCs/>
        </w:rPr>
        <w:t xml:space="preserve">special provision </w:t>
      </w:r>
      <w:r w:rsidR="0024030A" w:rsidRPr="007B0507">
        <w:rPr>
          <w:iCs/>
        </w:rPr>
        <w:t>SP</w:t>
      </w:r>
      <w:r w:rsidR="00DC7FEF">
        <w:rPr>
          <w:iCs/>
        </w:rPr>
        <w:t xml:space="preserve"> </w:t>
      </w:r>
      <w:r w:rsidR="0024030A" w:rsidRPr="007B0507">
        <w:rPr>
          <w:iCs/>
        </w:rPr>
        <w:t>366, so that mercury-containing articles meeting the requirements in SP</w:t>
      </w:r>
      <w:r w:rsidR="00DC7FEF">
        <w:rPr>
          <w:iCs/>
        </w:rPr>
        <w:t xml:space="preserve"> </w:t>
      </w:r>
      <w:r w:rsidR="0024030A" w:rsidRPr="007B0507">
        <w:rPr>
          <w:iCs/>
        </w:rPr>
        <w:t xml:space="preserve">366 are not subject to the </w:t>
      </w:r>
      <w:r w:rsidR="00FD67FE">
        <w:rPr>
          <w:iCs/>
        </w:rPr>
        <w:t xml:space="preserve">UN </w:t>
      </w:r>
      <w:r w:rsidR="0024030A" w:rsidRPr="007B0507">
        <w:rPr>
          <w:iCs/>
        </w:rPr>
        <w:t>Model Regulations.</w:t>
      </w:r>
    </w:p>
    <w:p w14:paraId="5FB698B4" w14:textId="6CCB92E5" w:rsidR="0024030A" w:rsidRDefault="00596699" w:rsidP="00596699">
      <w:pPr>
        <w:pStyle w:val="SingleTxtG"/>
      </w:pPr>
      <w:r>
        <w:tab/>
        <w:t>2.</w:t>
      </w:r>
      <w:r>
        <w:tab/>
      </w:r>
      <w:r w:rsidR="0024030A" w:rsidRPr="00FD6C2D">
        <w:t xml:space="preserve">Considering the </w:t>
      </w:r>
      <w:r w:rsidR="0024030A">
        <w:t>harm</w:t>
      </w:r>
      <w:r w:rsidR="0024030A" w:rsidRPr="00FD6C2D">
        <w:t xml:space="preserve"> of mercury</w:t>
      </w:r>
      <w:r w:rsidR="00F71F76">
        <w:t>,</w:t>
      </w:r>
      <w:r w:rsidR="0024030A" w:rsidRPr="00FD6C2D">
        <w:t xml:space="preserve"> </w:t>
      </w:r>
      <w:r w:rsidR="0024030A">
        <w:t>as well as</w:t>
      </w:r>
      <w:r w:rsidR="0024030A" w:rsidRPr="00FD6C2D">
        <w:t xml:space="preserve"> its compounds</w:t>
      </w:r>
      <w:r w:rsidR="0024030A">
        <w:t>,</w:t>
      </w:r>
      <w:r w:rsidR="0024030A" w:rsidRPr="00FD6C2D">
        <w:t xml:space="preserve"> </w:t>
      </w:r>
      <w:r w:rsidR="0024030A">
        <w:t>on</w:t>
      </w:r>
      <w:r w:rsidR="0024030A" w:rsidRPr="00FD6C2D">
        <w:t xml:space="preserve"> human health and the environment, </w:t>
      </w:r>
      <w:r w:rsidR="0024030A" w:rsidRPr="00596699">
        <w:t>the</w:t>
      </w:r>
      <w:r w:rsidR="0024030A" w:rsidRPr="00FD6C2D">
        <w:t xml:space="preserve"> Council of the United Nations Environment Programme (UNEP) adopted the </w:t>
      </w:r>
      <w:r w:rsidR="0024030A" w:rsidRPr="004534D2">
        <w:rPr>
          <w:i/>
        </w:rPr>
        <w:t>Minamata Convention on Mercury</w:t>
      </w:r>
      <w:r w:rsidR="0024030A" w:rsidRPr="00FD6C2D">
        <w:t xml:space="preserve"> in 2013 to reduce mercury emissions. Since the </w:t>
      </w:r>
      <w:r w:rsidR="003E0565">
        <w:rPr>
          <w:iCs/>
        </w:rPr>
        <w:t>c</w:t>
      </w:r>
      <w:r w:rsidR="0024030A" w:rsidRPr="003E0565">
        <w:rPr>
          <w:iCs/>
        </w:rPr>
        <w:t>onvention</w:t>
      </w:r>
      <w:r w:rsidR="0024030A" w:rsidRPr="00FD6C2D">
        <w:t xml:space="preserve"> came into effect in August 2017, the production, import and export of mercury</w:t>
      </w:r>
      <w:r w:rsidR="0024030A">
        <w:t>-</w:t>
      </w:r>
      <w:r w:rsidR="0024030A" w:rsidRPr="00462DBF">
        <w:t xml:space="preserve"> </w:t>
      </w:r>
      <w:r w:rsidR="0024030A" w:rsidRPr="00FD6C2D">
        <w:t xml:space="preserve">containing products have been greatly restricted. </w:t>
      </w:r>
      <w:proofErr w:type="gramStart"/>
      <w:r w:rsidR="0024030A" w:rsidRPr="00FD6C2D">
        <w:t>In order to</w:t>
      </w:r>
      <w:proofErr w:type="gramEnd"/>
      <w:r w:rsidR="0024030A" w:rsidRPr="00FD6C2D">
        <w:t xml:space="preserve"> comply with the </w:t>
      </w:r>
      <w:r w:rsidR="008602A5">
        <w:rPr>
          <w:iCs/>
        </w:rPr>
        <w:t>c</w:t>
      </w:r>
      <w:r w:rsidR="0024030A" w:rsidRPr="008602A5">
        <w:rPr>
          <w:iCs/>
        </w:rPr>
        <w:t>onvention</w:t>
      </w:r>
      <w:r w:rsidR="0024030A" w:rsidRPr="00FD6C2D">
        <w:t>, the world is actively looking for</w:t>
      </w:r>
      <w:r w:rsidR="0024030A">
        <w:t xml:space="preserve"> substitutes</w:t>
      </w:r>
      <w:r w:rsidR="0024030A" w:rsidRPr="00FD6C2D">
        <w:t xml:space="preserve"> to mercury</w:t>
      </w:r>
      <w:r w:rsidR="0024030A">
        <w:t>-</w:t>
      </w:r>
      <w:r w:rsidR="0024030A" w:rsidRPr="00FD6C2D">
        <w:t>containing products.</w:t>
      </w:r>
    </w:p>
    <w:p w14:paraId="7B0D108C" w14:textId="0F011998" w:rsidR="0024030A" w:rsidRPr="007F18C1" w:rsidRDefault="00734141" w:rsidP="00734141">
      <w:pPr>
        <w:pStyle w:val="SingleTxtG"/>
      </w:pPr>
      <w:r w:rsidRPr="006B1800">
        <w:tab/>
        <w:t>3.</w:t>
      </w:r>
      <w:r w:rsidRPr="006B1800">
        <w:tab/>
      </w:r>
      <w:r w:rsidR="0024030A" w:rsidRPr="006B1800">
        <w:t xml:space="preserve">Gallium is a silvery white metal, corrosive to some other metals. The entry for gallium in the </w:t>
      </w:r>
      <w:r w:rsidR="00EE5E15">
        <w:t xml:space="preserve">UN </w:t>
      </w:r>
      <w:r w:rsidR="0024030A" w:rsidRPr="006B1800">
        <w:t>Model Regulations is UN</w:t>
      </w:r>
      <w:r w:rsidR="00B412AE">
        <w:t xml:space="preserve"> </w:t>
      </w:r>
      <w:r w:rsidR="0024030A" w:rsidRPr="006B1800">
        <w:t xml:space="preserve">2803, which shares the same </w:t>
      </w:r>
      <w:r w:rsidR="007A4FA7">
        <w:t>limited quantities (</w:t>
      </w:r>
      <w:r w:rsidR="0024030A" w:rsidRPr="006B1800">
        <w:t>LQ</w:t>
      </w:r>
      <w:r w:rsidR="007A4FA7">
        <w:t>)</w:t>
      </w:r>
      <w:r w:rsidR="0024030A" w:rsidRPr="006B1800">
        <w:rPr>
          <w:rFonts w:hint="eastAsia"/>
        </w:rPr>
        <w:t>,</w:t>
      </w:r>
      <w:r w:rsidR="0024030A" w:rsidRPr="006B1800">
        <w:t xml:space="preserve"> </w:t>
      </w:r>
      <w:r w:rsidR="008562F6">
        <w:t>ex</w:t>
      </w:r>
      <w:r w:rsidR="00E60F21">
        <w:t>c</w:t>
      </w:r>
      <w:r w:rsidR="008562F6">
        <w:t>ep</w:t>
      </w:r>
      <w:r w:rsidR="00041F99">
        <w:t>ted quantities (</w:t>
      </w:r>
      <w:r w:rsidR="0024030A" w:rsidRPr="006B1800">
        <w:rPr>
          <w:rFonts w:hint="eastAsia"/>
        </w:rPr>
        <w:t>E</w:t>
      </w:r>
      <w:r w:rsidR="0024030A" w:rsidRPr="006B1800">
        <w:t>Q</w:t>
      </w:r>
      <w:r w:rsidR="00041F99">
        <w:t>)</w:t>
      </w:r>
      <w:r w:rsidR="0024030A" w:rsidRPr="006B1800">
        <w:t xml:space="preserve"> </w:t>
      </w:r>
      <w:r w:rsidR="0024030A" w:rsidRPr="006B1800">
        <w:rPr>
          <w:rFonts w:hint="eastAsia"/>
        </w:rPr>
        <w:t>and</w:t>
      </w:r>
      <w:r w:rsidR="0024030A" w:rsidRPr="006B1800">
        <w:t xml:space="preserve"> packing instruction P800 with UN</w:t>
      </w:r>
      <w:r w:rsidR="000E4CBA">
        <w:t xml:space="preserve"> </w:t>
      </w:r>
      <w:r w:rsidR="0024030A" w:rsidRPr="006B1800">
        <w:t>2809, mercury.</w:t>
      </w:r>
      <w:r w:rsidR="0024030A" w:rsidRPr="00B412AE">
        <w:t xml:space="preserve"> </w:t>
      </w:r>
      <w:r w:rsidR="0024030A" w:rsidRPr="006B1800">
        <w:t xml:space="preserve">Gallium has a relatively low melting point, and some gallium-based alloys are liquid at room temperature, so it is regarded as an ideal substitute for mercury in some fields. Compared with articles containing mercury, those containing gallium are much more environmentally friendly and less hazardous. Even in the event of accidental release, liquid metallic gallium will be quickly oxidized into solid state in the air, instead of volatilizing and polluting the environment. At </w:t>
      </w:r>
      <w:r w:rsidR="00ED34FB">
        <w:t xml:space="preserve">the </w:t>
      </w:r>
      <w:r w:rsidR="0024030A" w:rsidRPr="006B1800">
        <w:t xml:space="preserve">present, products such as mercury-free gallium thermometers and gallium UV lamps have been widely used all over </w:t>
      </w:r>
      <w:r w:rsidR="00702220">
        <w:t xml:space="preserve">the </w:t>
      </w:r>
      <w:r w:rsidR="0024030A" w:rsidRPr="006B1800">
        <w:t>world, especially in Europe and North America. It can be predicted that, in the future, gallium-containing substitutes for mercury-containing products should have broader applications. However, unlike SP</w:t>
      </w:r>
      <w:r w:rsidR="0052534A">
        <w:t xml:space="preserve"> </w:t>
      </w:r>
      <w:r w:rsidR="0024030A" w:rsidRPr="006B1800">
        <w:t xml:space="preserve">366 for mercury-containing articles, there is </w:t>
      </w:r>
      <w:r w:rsidR="00D17ED6" w:rsidRPr="006B1800">
        <w:t xml:space="preserve">currently </w:t>
      </w:r>
      <w:r w:rsidR="0024030A" w:rsidRPr="006B1800">
        <w:t xml:space="preserve">no exemption to any gallium-containing articles in the </w:t>
      </w:r>
      <w:r w:rsidR="00D17ED6">
        <w:t xml:space="preserve">UN </w:t>
      </w:r>
      <w:r w:rsidR="0024030A" w:rsidRPr="006B1800">
        <w:t xml:space="preserve">Model </w:t>
      </w:r>
      <w:r w:rsidR="0024030A" w:rsidRPr="006B1800">
        <w:lastRenderedPageBreak/>
        <w:t>Regulations. This</w:t>
      </w:r>
      <w:r w:rsidR="0024030A" w:rsidRPr="007F18C1">
        <w:t xml:space="preserve"> increases the difficulty of transportation of gallium</w:t>
      </w:r>
      <w:r w:rsidR="0024030A">
        <w:t>-</w:t>
      </w:r>
      <w:r w:rsidR="0024030A" w:rsidRPr="007F18C1">
        <w:t>containing products and</w:t>
      </w:r>
      <w:r w:rsidR="0024030A">
        <w:t>, to some degree,</w:t>
      </w:r>
      <w:r w:rsidR="0024030A" w:rsidRPr="007F18C1">
        <w:t xml:space="preserve"> </w:t>
      </w:r>
      <w:r w:rsidR="0024030A">
        <w:t>discourage</w:t>
      </w:r>
      <w:r w:rsidR="0024030A" w:rsidRPr="007F18C1">
        <w:t>s the development of these substitutes for mercury</w:t>
      </w:r>
      <w:r w:rsidR="0024030A">
        <w:t>-</w:t>
      </w:r>
      <w:r w:rsidR="0024030A" w:rsidRPr="007F18C1">
        <w:t xml:space="preserve">containing products, which is contrary to the </w:t>
      </w:r>
      <w:r w:rsidR="0024030A">
        <w:t xml:space="preserve">philosophy </w:t>
      </w:r>
      <w:r w:rsidR="0024030A" w:rsidRPr="007F18C1">
        <w:t>of</w:t>
      </w:r>
      <w:r w:rsidR="0024030A" w:rsidRPr="004534D2">
        <w:rPr>
          <w:i/>
        </w:rPr>
        <w:t xml:space="preserve"> Minamata Convention</w:t>
      </w:r>
      <w:r w:rsidR="0024030A" w:rsidRPr="007F18C1">
        <w:t>.</w:t>
      </w:r>
    </w:p>
    <w:p w14:paraId="3F40BEEC" w14:textId="506C84FA" w:rsidR="0024030A" w:rsidRDefault="00734141" w:rsidP="00734141">
      <w:pPr>
        <w:pStyle w:val="SingleTxtG"/>
      </w:pPr>
      <w:r>
        <w:tab/>
        <w:t>4.</w:t>
      </w:r>
      <w:r>
        <w:tab/>
      </w:r>
      <w:r w:rsidR="0024030A">
        <w:t xml:space="preserve">It is stated in special provision A69 of the </w:t>
      </w:r>
      <w:r w:rsidR="00E1324D">
        <w:t xml:space="preserve">International Civil Aviation Organization </w:t>
      </w:r>
      <w:r w:rsidR="00397076">
        <w:t>(</w:t>
      </w:r>
      <w:r w:rsidR="0024030A">
        <w:t>ICAO</w:t>
      </w:r>
      <w:r w:rsidR="00397076" w:rsidRPr="00397076">
        <w:t>)</w:t>
      </w:r>
      <w:r w:rsidR="0024030A" w:rsidRPr="00397076">
        <w:t xml:space="preserve"> Technical Instructions </w:t>
      </w:r>
      <w:r w:rsidR="0024030A" w:rsidRPr="00397076">
        <w:rPr>
          <w:rFonts w:hint="eastAsia"/>
        </w:rPr>
        <w:t>fo</w:t>
      </w:r>
      <w:r w:rsidR="0024030A" w:rsidRPr="00397076">
        <w:t xml:space="preserve">r the Safe Transport of Dangerous Goods by Air </w:t>
      </w:r>
      <w:r w:rsidR="0024030A">
        <w:t>that “</w:t>
      </w:r>
      <w:r w:rsidR="0024030A" w:rsidRPr="00BF786A">
        <w:t xml:space="preserve">The following are not subject to these </w:t>
      </w:r>
      <w:r w:rsidR="0024030A" w:rsidRPr="00734141">
        <w:t>Regulations</w:t>
      </w:r>
      <w:r w:rsidR="0024030A">
        <w:t xml:space="preserve"> </w:t>
      </w:r>
      <w:r w:rsidR="0024030A" w:rsidRPr="00BF786A">
        <w:t>when carried as cargo:</w:t>
      </w:r>
      <w:r w:rsidR="0024030A">
        <w:t xml:space="preserve"> … (b) </w:t>
      </w:r>
      <w:r w:rsidR="0024030A" w:rsidRPr="0010132B">
        <w:t>articles other than lamps, each containing not more</w:t>
      </w:r>
      <w:r w:rsidR="0024030A">
        <w:t xml:space="preserve"> </w:t>
      </w:r>
      <w:r w:rsidR="0024030A" w:rsidRPr="0010132B">
        <w:t>than 100 mg of mercury, gallium or inert gas and</w:t>
      </w:r>
      <w:r w:rsidR="0024030A">
        <w:t xml:space="preserve"> </w:t>
      </w:r>
      <w:r w:rsidR="0024030A" w:rsidRPr="0010132B">
        <w:t>packaged so that the quantity of mercury, gallium or</w:t>
      </w:r>
      <w:r w:rsidR="0024030A">
        <w:t xml:space="preserve"> </w:t>
      </w:r>
      <w:r w:rsidR="0024030A" w:rsidRPr="0010132B">
        <w:t>inert gas per package is 1 g or less</w:t>
      </w:r>
      <w:r w:rsidR="0024030A">
        <w:t>.</w:t>
      </w:r>
      <w:r w:rsidR="0024030A" w:rsidRPr="0010132B">
        <w:t>”</w:t>
      </w:r>
      <w:r w:rsidR="0024030A">
        <w:t xml:space="preserve"> Exemption has already been given to some gallium-containing articles in air transport.</w:t>
      </w:r>
    </w:p>
    <w:p w14:paraId="31E94B83" w14:textId="244D9D9F" w:rsidR="0024030A" w:rsidRDefault="00734141" w:rsidP="00734141">
      <w:pPr>
        <w:pStyle w:val="SingleTxtG"/>
      </w:pPr>
      <w:r>
        <w:tab/>
        <w:t>5.</w:t>
      </w:r>
      <w:r>
        <w:tab/>
      </w:r>
      <w:r w:rsidR="0024030A" w:rsidRPr="00AB3309">
        <w:t xml:space="preserve">Therefore, </w:t>
      </w:r>
      <w:r w:rsidR="008B5C09">
        <w:t xml:space="preserve">the </w:t>
      </w:r>
      <w:r w:rsidR="0024030A" w:rsidRPr="00AB3309">
        <w:t>experts</w:t>
      </w:r>
      <w:r w:rsidR="0024030A">
        <w:t xml:space="preserve"> from China </w:t>
      </w:r>
      <w:r w:rsidR="00E9438A">
        <w:t>consider</w:t>
      </w:r>
      <w:r w:rsidR="0024030A">
        <w:t xml:space="preserve"> it reasonable to make</w:t>
      </w:r>
      <w:r w:rsidR="0024030A" w:rsidRPr="00AB3309">
        <w:t xml:space="preserve"> gallium</w:t>
      </w:r>
      <w:r w:rsidR="0024030A">
        <w:t>-</w:t>
      </w:r>
      <w:r w:rsidR="0024030A" w:rsidRPr="00AB3309">
        <w:t xml:space="preserve">containing </w:t>
      </w:r>
      <w:r w:rsidR="0024030A">
        <w:t>article</w:t>
      </w:r>
      <w:r w:rsidR="0024030A" w:rsidRPr="00AB3309">
        <w:t xml:space="preserve">s </w:t>
      </w:r>
      <w:r w:rsidR="0024030A">
        <w:t xml:space="preserve">which </w:t>
      </w:r>
      <w:r w:rsidR="0024030A" w:rsidRPr="00AB3309">
        <w:t xml:space="preserve">meet </w:t>
      </w:r>
      <w:r w:rsidR="0024030A">
        <w:t>certain</w:t>
      </w:r>
      <w:r w:rsidR="0024030A" w:rsidRPr="00AB3309">
        <w:t xml:space="preserve"> </w:t>
      </w:r>
      <w:r w:rsidR="0024030A">
        <w:t xml:space="preserve">requirements </w:t>
      </w:r>
      <w:r w:rsidR="0024030A" w:rsidRPr="00AB3309">
        <w:t xml:space="preserve">not subject to </w:t>
      </w:r>
      <w:r w:rsidR="0024030A">
        <w:t xml:space="preserve">the </w:t>
      </w:r>
      <w:r w:rsidR="002C04E3">
        <w:t xml:space="preserve">UN </w:t>
      </w:r>
      <w:r w:rsidR="0024030A">
        <w:t>Model Regulations, just as those mercury-</w:t>
      </w:r>
      <w:r w:rsidR="0024030A" w:rsidRPr="00734141">
        <w:t>containing</w:t>
      </w:r>
      <w:r w:rsidR="0024030A" w:rsidRPr="00AB3309">
        <w:t xml:space="preserve"> products</w:t>
      </w:r>
      <w:r w:rsidR="0024030A">
        <w:t xml:space="preserve"> meeting the requirements in SP</w:t>
      </w:r>
      <w:r w:rsidR="002C04E3">
        <w:t xml:space="preserve"> </w:t>
      </w:r>
      <w:r w:rsidR="0024030A">
        <w:t>366</w:t>
      </w:r>
      <w:r w:rsidR="0024030A" w:rsidRPr="00AB3309">
        <w:t xml:space="preserve">. </w:t>
      </w:r>
      <w:r w:rsidR="00C97377">
        <w:t>The e</w:t>
      </w:r>
      <w:r w:rsidR="0024030A" w:rsidRPr="00AB3309">
        <w:t>xperts</w:t>
      </w:r>
      <w:r w:rsidR="0024030A">
        <w:t xml:space="preserve"> from China</w:t>
      </w:r>
      <w:r w:rsidR="0024030A" w:rsidRPr="00AB3309">
        <w:t xml:space="preserve"> suggest that the </w:t>
      </w:r>
      <w:r w:rsidR="0024030A">
        <w:t>current</w:t>
      </w:r>
      <w:r w:rsidR="0024030A" w:rsidRPr="00AB3309">
        <w:t xml:space="preserve"> </w:t>
      </w:r>
      <w:r w:rsidR="0024030A">
        <w:t>SP</w:t>
      </w:r>
      <w:r w:rsidR="001E3818">
        <w:t xml:space="preserve"> </w:t>
      </w:r>
      <w:r w:rsidR="0024030A" w:rsidRPr="00AB3309">
        <w:t>366 should be modified and applied to gallium or gallium</w:t>
      </w:r>
      <w:r w:rsidR="00E34DD3">
        <w:t xml:space="preserve"> </w:t>
      </w:r>
      <w:r w:rsidR="0024030A" w:rsidRPr="00AB3309">
        <w:t>contain</w:t>
      </w:r>
      <w:r w:rsidR="00E34DD3">
        <w:t>ed</w:t>
      </w:r>
      <w:r w:rsidR="0024030A" w:rsidRPr="00AB3309">
        <w:t xml:space="preserve"> </w:t>
      </w:r>
      <w:r w:rsidR="00E34DD3">
        <w:t xml:space="preserve">in </w:t>
      </w:r>
      <w:r w:rsidR="0024030A">
        <w:t>manufactured articles</w:t>
      </w:r>
      <w:r w:rsidR="0024030A" w:rsidRPr="00AB3309">
        <w:t>.</w:t>
      </w:r>
    </w:p>
    <w:p w14:paraId="5E02AA05" w14:textId="02669090" w:rsidR="0024030A" w:rsidRPr="00FA0ADE" w:rsidRDefault="00734141" w:rsidP="00734141">
      <w:pPr>
        <w:pStyle w:val="SingleTxtG"/>
      </w:pPr>
      <w:r>
        <w:tab/>
        <w:t>6.</w:t>
      </w:r>
      <w:r>
        <w:tab/>
      </w:r>
      <w:r w:rsidR="0024030A">
        <w:t>F</w:t>
      </w:r>
      <w:r w:rsidR="0024030A">
        <w:rPr>
          <w:rFonts w:hint="eastAsia"/>
        </w:rPr>
        <w:t>i</w:t>
      </w:r>
      <w:r w:rsidR="0024030A">
        <w:t>rst, it needs to be determined</w:t>
      </w:r>
      <w:r w:rsidR="0024030A" w:rsidRPr="001711F3">
        <w:t xml:space="preserve"> </w:t>
      </w:r>
      <w:r w:rsidR="0024030A">
        <w:t xml:space="preserve">to </w:t>
      </w:r>
      <w:r w:rsidR="0024030A" w:rsidRPr="001711F3">
        <w:t xml:space="preserve">which </w:t>
      </w:r>
      <w:r w:rsidR="0024030A">
        <w:t>entry</w:t>
      </w:r>
      <w:r w:rsidR="0024030A" w:rsidRPr="001711F3">
        <w:t xml:space="preserve"> the </w:t>
      </w:r>
      <w:r w:rsidR="0024030A">
        <w:t>modified</w:t>
      </w:r>
      <w:r w:rsidR="0024030A" w:rsidRPr="001711F3">
        <w:t xml:space="preserve"> special provision </w:t>
      </w:r>
      <w:r w:rsidR="0024030A">
        <w:rPr>
          <w:rFonts w:hint="eastAsia"/>
        </w:rPr>
        <w:t>should</w:t>
      </w:r>
      <w:r w:rsidR="0024030A">
        <w:t xml:space="preserve"> </w:t>
      </w:r>
      <w:r w:rsidR="0024030A" w:rsidRPr="001711F3">
        <w:t>apply.</w:t>
      </w:r>
      <w:r w:rsidR="0024030A">
        <w:t xml:space="preserve"> As </w:t>
      </w:r>
      <w:r w:rsidR="0024030A" w:rsidRPr="000A3C2D">
        <w:t xml:space="preserve">to whether it is necessary to </w:t>
      </w:r>
      <w:r w:rsidR="0024030A">
        <w:t>create</w:t>
      </w:r>
      <w:r w:rsidR="0024030A" w:rsidRPr="000A3C2D">
        <w:t xml:space="preserve"> a new </w:t>
      </w:r>
      <w:r w:rsidR="0024030A">
        <w:t>entry</w:t>
      </w:r>
      <w:r w:rsidR="0024030A" w:rsidRPr="000A3C2D">
        <w:t xml:space="preserve"> </w:t>
      </w:r>
      <w:r w:rsidR="00D353C9">
        <w:t>“</w:t>
      </w:r>
      <w:r w:rsidR="0024030A" w:rsidRPr="000A3C2D">
        <w:t>gallium contained in</w:t>
      </w:r>
      <w:r w:rsidR="0024030A">
        <w:t xml:space="preserve"> manufactured articles</w:t>
      </w:r>
      <w:r w:rsidR="008B3F35" w:rsidRPr="0010132B">
        <w:t>”</w:t>
      </w:r>
      <w:r w:rsidR="0024030A" w:rsidRPr="000A3C2D">
        <w:t xml:space="preserve">, </w:t>
      </w:r>
      <w:r w:rsidR="008B5C09">
        <w:t xml:space="preserve">the </w:t>
      </w:r>
      <w:r w:rsidR="0024030A" w:rsidRPr="00AB3309">
        <w:t>experts</w:t>
      </w:r>
      <w:r w:rsidR="0024030A">
        <w:t xml:space="preserve"> from China</w:t>
      </w:r>
      <w:r w:rsidR="0024030A" w:rsidRPr="000A3C2D">
        <w:t xml:space="preserve"> g</w:t>
      </w:r>
      <w:r w:rsidR="0024030A">
        <w:t>i</w:t>
      </w:r>
      <w:r w:rsidR="0024030A" w:rsidRPr="000A3C2D">
        <w:t xml:space="preserve">ve three options in </w:t>
      </w:r>
      <w:r w:rsidR="0024030A">
        <w:t xml:space="preserve">the below </w:t>
      </w:r>
      <w:r w:rsidR="0024030A" w:rsidRPr="000A3C2D">
        <w:t>proposal 1 for discussion. The proposed amendment</w:t>
      </w:r>
      <w:r w:rsidR="0024030A">
        <w:t>s</w:t>
      </w:r>
      <w:r w:rsidR="0024030A" w:rsidRPr="000A3C2D">
        <w:t xml:space="preserve"> to </w:t>
      </w:r>
      <w:r w:rsidR="0024030A">
        <w:t>SP</w:t>
      </w:r>
      <w:r w:rsidR="007569F0">
        <w:t xml:space="preserve"> </w:t>
      </w:r>
      <w:r w:rsidR="0024030A" w:rsidRPr="000A3C2D">
        <w:t xml:space="preserve">366 </w:t>
      </w:r>
      <w:r w:rsidR="0024030A">
        <w:t>are</w:t>
      </w:r>
      <w:r w:rsidR="0024030A" w:rsidRPr="000A3C2D">
        <w:t xml:space="preserve"> listed in proposal 2. Since it is noted</w:t>
      </w:r>
      <w:r w:rsidR="0024030A">
        <w:t xml:space="preserve"> that the exemption requirement </w:t>
      </w:r>
      <w:r w:rsidR="0024030A" w:rsidRPr="000A3C2D">
        <w:t xml:space="preserve">for the air transport </w:t>
      </w:r>
      <w:r w:rsidR="0024030A">
        <w:t xml:space="preserve">listed </w:t>
      </w:r>
      <w:r w:rsidR="0024030A">
        <w:rPr>
          <w:rFonts w:hint="eastAsia"/>
        </w:rPr>
        <w:t>in</w:t>
      </w:r>
      <w:r w:rsidR="0024030A">
        <w:t xml:space="preserve"> current</w:t>
      </w:r>
      <w:r w:rsidR="0024030A" w:rsidRPr="000A3C2D">
        <w:t xml:space="preserve"> </w:t>
      </w:r>
      <w:r w:rsidR="0024030A">
        <w:t>SP</w:t>
      </w:r>
      <w:r w:rsidR="00FA0ADE">
        <w:t xml:space="preserve"> </w:t>
      </w:r>
      <w:r w:rsidR="0024030A" w:rsidRPr="00FA0ADE">
        <w:t xml:space="preserve">366 of the </w:t>
      </w:r>
      <w:r w:rsidR="00FA0ADE">
        <w:t xml:space="preserve">UN </w:t>
      </w:r>
      <w:r w:rsidR="0024030A" w:rsidRPr="00FA0ADE">
        <w:t xml:space="preserve">Model Regulations is inconsistent with that in the Technical Instruction, </w:t>
      </w:r>
      <w:r w:rsidR="001B7A9C">
        <w:t xml:space="preserve">the </w:t>
      </w:r>
      <w:r w:rsidR="001B7A9C" w:rsidRPr="00AB3309">
        <w:t>experts</w:t>
      </w:r>
      <w:r w:rsidR="001B7A9C">
        <w:t xml:space="preserve"> from China</w:t>
      </w:r>
      <w:r w:rsidR="001B7A9C" w:rsidRPr="000A3C2D">
        <w:t xml:space="preserve"> </w:t>
      </w:r>
      <w:r w:rsidR="0024030A" w:rsidRPr="00FA0ADE">
        <w:t xml:space="preserve">propose to discuss whether it is necessary to </w:t>
      </w:r>
      <w:r w:rsidR="0093347D" w:rsidRPr="00FA0ADE">
        <w:t xml:space="preserve">also </w:t>
      </w:r>
      <w:r w:rsidR="0024030A" w:rsidRPr="00FA0ADE">
        <w:t xml:space="preserve">introduce the relevant text in special provision A69 of the </w:t>
      </w:r>
      <w:r w:rsidR="007409AE">
        <w:t xml:space="preserve">ICAO </w:t>
      </w:r>
      <w:r w:rsidR="0024030A" w:rsidRPr="00FA0ADE">
        <w:t xml:space="preserve">Technical Instruction into the Model Regulations as </w:t>
      </w:r>
      <w:r w:rsidR="0093347D">
        <w:t>a</w:t>
      </w:r>
      <w:r w:rsidR="0024030A" w:rsidRPr="00FA0ADE">
        <w:t xml:space="preserve"> requirement for air transport.</w:t>
      </w:r>
    </w:p>
    <w:p w14:paraId="27415BF5" w14:textId="0D982F39" w:rsidR="0024030A" w:rsidRDefault="00734141" w:rsidP="00734141">
      <w:pPr>
        <w:pStyle w:val="H1G"/>
      </w:pPr>
      <w:r>
        <w:tab/>
      </w:r>
      <w:r>
        <w:tab/>
      </w:r>
      <w:r w:rsidR="0024030A">
        <w:rPr>
          <w:rFonts w:hint="eastAsia"/>
        </w:rPr>
        <w:t>P</w:t>
      </w:r>
      <w:r w:rsidR="0024030A">
        <w:t>roposal 1</w:t>
      </w:r>
    </w:p>
    <w:p w14:paraId="11718D30" w14:textId="38E07056" w:rsidR="0024030A" w:rsidRPr="00D753A1" w:rsidRDefault="00734141" w:rsidP="00734141">
      <w:pPr>
        <w:pStyle w:val="SingleTxtG"/>
      </w:pPr>
      <w:r>
        <w:tab/>
        <w:t>7.</w:t>
      </w:r>
      <w:r>
        <w:tab/>
      </w:r>
      <w:r w:rsidR="0024030A">
        <w:rPr>
          <w:rFonts w:hint="eastAsia"/>
        </w:rPr>
        <w:t>Three</w:t>
      </w:r>
      <w:r w:rsidR="0024030A">
        <w:t xml:space="preserve"> options are provided to discuss whether the new entry </w:t>
      </w:r>
      <w:r w:rsidR="00D353C9">
        <w:t>“</w:t>
      </w:r>
      <w:r w:rsidR="0024030A" w:rsidRPr="000A3C2D">
        <w:t>gallium contained in</w:t>
      </w:r>
      <w:r w:rsidR="0024030A">
        <w:t xml:space="preserve"> manufactured articles</w:t>
      </w:r>
      <w:r w:rsidR="008B3F35" w:rsidRPr="0010132B">
        <w:t>”</w:t>
      </w:r>
      <w:r w:rsidR="0024030A">
        <w:t xml:space="preserve"> should be introduced</w:t>
      </w:r>
      <w:r w:rsidR="007C2822">
        <w:t xml:space="preserve"> </w:t>
      </w:r>
      <w:r w:rsidR="007C2822" w:rsidRPr="00F530B6">
        <w:rPr>
          <w:lang w:val="en-US"/>
        </w:rPr>
        <w:t>(</w:t>
      </w:r>
      <w:r w:rsidR="007C2822" w:rsidRPr="00F530B6">
        <w:t xml:space="preserve">new text in </w:t>
      </w:r>
      <w:r w:rsidR="007C2822" w:rsidRPr="00F530B6">
        <w:rPr>
          <w:b/>
          <w:bCs/>
          <w:u w:val="single"/>
        </w:rPr>
        <w:t>bold underlined</w:t>
      </w:r>
      <w:r w:rsidR="007C2822" w:rsidRPr="00F530B6">
        <w:t xml:space="preserve"> font, </w:t>
      </w:r>
      <w:r w:rsidR="007C2822">
        <w:t>deleted text</w:t>
      </w:r>
      <w:r w:rsidR="007C2822" w:rsidRPr="00F530B6">
        <w:t xml:space="preserve"> in </w:t>
      </w:r>
      <w:r w:rsidR="007C2822" w:rsidRPr="00F530B6">
        <w:rPr>
          <w:bCs/>
          <w:strike/>
        </w:rPr>
        <w:t>strikethrough</w:t>
      </w:r>
      <w:r w:rsidR="007C2822" w:rsidRPr="00F530B6">
        <w:t>)</w:t>
      </w:r>
      <w:r w:rsidR="0024030A">
        <w:t>:</w:t>
      </w:r>
    </w:p>
    <w:p w14:paraId="4C423358" w14:textId="55A0723E" w:rsidR="0024030A" w:rsidRDefault="00734141" w:rsidP="00734141">
      <w:pPr>
        <w:pStyle w:val="H23G"/>
        <w:rPr>
          <w:lang w:val="en-US"/>
        </w:rPr>
      </w:pPr>
      <w:r>
        <w:tab/>
      </w:r>
      <w:r>
        <w:tab/>
      </w:r>
      <w:r w:rsidR="0024030A">
        <w:rPr>
          <w:rFonts w:hint="eastAsia"/>
        </w:rPr>
        <w:t>O</w:t>
      </w:r>
      <w:r w:rsidR="0024030A">
        <w:t>ption 1</w:t>
      </w:r>
    </w:p>
    <w:p w14:paraId="22B886B2" w14:textId="54CCFB83" w:rsidR="0024030A" w:rsidRPr="004534D2" w:rsidRDefault="00734141" w:rsidP="00734141">
      <w:pPr>
        <w:pStyle w:val="SingleTxtG"/>
        <w:rPr>
          <w:lang w:val="en-US"/>
        </w:rPr>
      </w:pPr>
      <w:r>
        <w:rPr>
          <w:lang w:val="en-US"/>
        </w:rPr>
        <w:tab/>
        <w:t>8.</w:t>
      </w:r>
      <w:r>
        <w:rPr>
          <w:lang w:val="en-US"/>
        </w:rPr>
        <w:tab/>
      </w:r>
      <w:r w:rsidR="00547709">
        <w:rPr>
          <w:lang w:val="en-US"/>
        </w:rPr>
        <w:t>I</w:t>
      </w:r>
      <w:r w:rsidR="00547709" w:rsidRPr="004534D2">
        <w:rPr>
          <w:lang w:val="en-US"/>
        </w:rPr>
        <w:t>n the Dangerous Goods List of Chapter 3.2</w:t>
      </w:r>
      <w:r w:rsidR="00547709">
        <w:rPr>
          <w:lang w:val="en-US"/>
        </w:rPr>
        <w:t xml:space="preserve"> a</w:t>
      </w:r>
      <w:r w:rsidR="0024030A" w:rsidRPr="004534D2">
        <w:rPr>
          <w:lang w:val="en-US"/>
        </w:rPr>
        <w:t xml:space="preserve">dd a new entry for </w:t>
      </w:r>
      <w:r w:rsidR="00D353C9">
        <w:t>“</w:t>
      </w:r>
      <w:r w:rsidR="0024030A" w:rsidRPr="004534D2">
        <w:rPr>
          <w:lang w:val="en-US"/>
        </w:rPr>
        <w:t>gallium contained in manufactured articles</w:t>
      </w:r>
      <w:r w:rsidR="008B3F35" w:rsidRPr="0010132B">
        <w:t>”</w:t>
      </w:r>
      <w:r w:rsidR="0024030A" w:rsidRPr="004534D2">
        <w:rPr>
          <w:lang w:val="en-US"/>
        </w:rPr>
        <w:t xml:space="preserve"> as follows, introduc</w:t>
      </w:r>
      <w:r w:rsidR="002C6809">
        <w:rPr>
          <w:lang w:val="en-US"/>
        </w:rPr>
        <w:t>ing</w:t>
      </w:r>
      <w:r w:rsidR="0024030A" w:rsidRPr="004534D2">
        <w:rPr>
          <w:lang w:val="en-US"/>
        </w:rPr>
        <w:t xml:space="preserve"> SP 366 </w:t>
      </w:r>
      <w:r w:rsidR="00867FAF">
        <w:rPr>
          <w:lang w:val="en-US"/>
        </w:rPr>
        <w:t xml:space="preserve">as </w:t>
      </w:r>
      <w:r w:rsidR="00867FAF" w:rsidRPr="004534D2">
        <w:rPr>
          <w:lang w:val="en-US"/>
        </w:rPr>
        <w:t xml:space="preserve">modified </w:t>
      </w:r>
      <w:r w:rsidR="0024030A" w:rsidRPr="004534D2">
        <w:rPr>
          <w:lang w:val="en-US"/>
        </w:rPr>
        <w:t>to this new entry</w:t>
      </w:r>
      <w:r w:rsidR="001C4901">
        <w:rPr>
          <w:lang w:val="en-US"/>
        </w:rPr>
        <w:t>:</w:t>
      </w:r>
    </w:p>
    <w:tbl>
      <w:tblPr>
        <w:tblStyle w:val="TableGrid"/>
        <w:tblW w:w="0" w:type="auto"/>
        <w:tblInd w:w="-147" w:type="dxa"/>
        <w:tblLook w:val="04A0" w:firstRow="1" w:lastRow="0" w:firstColumn="1" w:lastColumn="0" w:noHBand="0" w:noVBand="1"/>
      </w:tblPr>
      <w:tblGrid>
        <w:gridCol w:w="761"/>
        <w:gridCol w:w="1744"/>
        <w:gridCol w:w="776"/>
        <w:gridCol w:w="867"/>
        <w:gridCol w:w="780"/>
        <w:gridCol w:w="854"/>
        <w:gridCol w:w="435"/>
        <w:gridCol w:w="404"/>
        <w:gridCol w:w="735"/>
        <w:gridCol w:w="22"/>
        <w:gridCol w:w="713"/>
        <w:gridCol w:w="901"/>
        <w:gridCol w:w="784"/>
      </w:tblGrid>
      <w:tr w:rsidR="0024030A" w14:paraId="4D487DB4" w14:textId="77777777" w:rsidTr="00734141">
        <w:tc>
          <w:tcPr>
            <w:tcW w:w="761" w:type="dxa"/>
            <w:vMerge w:val="restart"/>
          </w:tcPr>
          <w:p w14:paraId="49F63B29" w14:textId="77777777" w:rsidR="0024030A" w:rsidRDefault="0024030A" w:rsidP="003A4D95">
            <w:r>
              <w:rPr>
                <w:b/>
                <w:bCs/>
                <w:sz w:val="16"/>
                <w:szCs w:val="16"/>
              </w:rPr>
              <w:t>UN No.</w:t>
            </w:r>
          </w:p>
        </w:tc>
        <w:tc>
          <w:tcPr>
            <w:tcW w:w="1744" w:type="dxa"/>
            <w:vMerge w:val="restart"/>
          </w:tcPr>
          <w:p w14:paraId="06487C46" w14:textId="77777777" w:rsidR="0024030A" w:rsidRDefault="0024030A" w:rsidP="003A4D95">
            <w:r>
              <w:rPr>
                <w:b/>
                <w:bCs/>
                <w:sz w:val="16"/>
                <w:szCs w:val="16"/>
              </w:rPr>
              <w:t>Name and description</w:t>
            </w:r>
          </w:p>
        </w:tc>
        <w:tc>
          <w:tcPr>
            <w:tcW w:w="776" w:type="dxa"/>
            <w:vMerge w:val="restart"/>
          </w:tcPr>
          <w:p w14:paraId="25D43DE2" w14:textId="77777777" w:rsidR="0024030A" w:rsidRDefault="0024030A" w:rsidP="003A4D95">
            <w:r>
              <w:rPr>
                <w:b/>
                <w:bCs/>
                <w:sz w:val="16"/>
                <w:szCs w:val="16"/>
              </w:rPr>
              <w:t>Class or division</w:t>
            </w:r>
          </w:p>
        </w:tc>
        <w:tc>
          <w:tcPr>
            <w:tcW w:w="867" w:type="dxa"/>
            <w:vMerge w:val="restart"/>
          </w:tcPr>
          <w:p w14:paraId="5A56C045" w14:textId="77777777" w:rsidR="0024030A" w:rsidRDefault="0024030A" w:rsidP="003A4D95">
            <w:r>
              <w:rPr>
                <w:b/>
                <w:bCs/>
                <w:sz w:val="16"/>
                <w:szCs w:val="16"/>
              </w:rPr>
              <w:t>Subsidiary hazard</w:t>
            </w:r>
          </w:p>
        </w:tc>
        <w:tc>
          <w:tcPr>
            <w:tcW w:w="780" w:type="dxa"/>
            <w:vMerge w:val="restart"/>
          </w:tcPr>
          <w:p w14:paraId="4D1B079C" w14:textId="77777777" w:rsidR="0024030A" w:rsidRDefault="0024030A" w:rsidP="003A4D95">
            <w:r>
              <w:rPr>
                <w:b/>
                <w:bCs/>
                <w:sz w:val="16"/>
                <w:szCs w:val="16"/>
              </w:rPr>
              <w:t>UN packing group</w:t>
            </w:r>
          </w:p>
        </w:tc>
        <w:tc>
          <w:tcPr>
            <w:tcW w:w="854" w:type="dxa"/>
            <w:vMerge w:val="restart"/>
          </w:tcPr>
          <w:p w14:paraId="20FFBEC5" w14:textId="77777777" w:rsidR="0024030A" w:rsidRDefault="0024030A" w:rsidP="003A4D95">
            <w:pPr>
              <w:rPr>
                <w:b/>
                <w:bCs/>
                <w:sz w:val="16"/>
                <w:szCs w:val="16"/>
              </w:rPr>
            </w:pPr>
            <w:r>
              <w:rPr>
                <w:b/>
                <w:bCs/>
                <w:sz w:val="16"/>
                <w:szCs w:val="16"/>
              </w:rPr>
              <w:t xml:space="preserve">Special </w:t>
            </w:r>
          </w:p>
          <w:p w14:paraId="0E464FE8" w14:textId="77777777" w:rsidR="0024030A" w:rsidRDefault="0024030A" w:rsidP="003A4D95">
            <w:r>
              <w:rPr>
                <w:b/>
                <w:bCs/>
                <w:sz w:val="16"/>
                <w:szCs w:val="16"/>
              </w:rPr>
              <w:t>Provisions</w:t>
            </w:r>
          </w:p>
        </w:tc>
        <w:tc>
          <w:tcPr>
            <w:tcW w:w="839" w:type="dxa"/>
            <w:gridSpan w:val="2"/>
            <w:vMerge w:val="restart"/>
          </w:tcPr>
          <w:p w14:paraId="3A741D92" w14:textId="77777777" w:rsidR="0024030A" w:rsidRDefault="0024030A" w:rsidP="003A4D95">
            <w:r>
              <w:rPr>
                <w:b/>
                <w:bCs/>
                <w:sz w:val="16"/>
                <w:szCs w:val="16"/>
              </w:rPr>
              <w:t>Limited and excepted quantities</w:t>
            </w:r>
          </w:p>
        </w:tc>
        <w:tc>
          <w:tcPr>
            <w:tcW w:w="1470" w:type="dxa"/>
            <w:gridSpan w:val="3"/>
          </w:tcPr>
          <w:p w14:paraId="139F3CEA" w14:textId="77777777" w:rsidR="0024030A" w:rsidRDefault="0024030A" w:rsidP="003A4D95">
            <w:r>
              <w:rPr>
                <w:b/>
                <w:bCs/>
                <w:sz w:val="16"/>
                <w:szCs w:val="16"/>
              </w:rPr>
              <w:t>Packagings and IBCs</w:t>
            </w:r>
          </w:p>
        </w:tc>
        <w:tc>
          <w:tcPr>
            <w:tcW w:w="1685" w:type="dxa"/>
            <w:gridSpan w:val="2"/>
          </w:tcPr>
          <w:p w14:paraId="5EF08C70" w14:textId="77777777" w:rsidR="0024030A" w:rsidRDefault="0024030A" w:rsidP="003A4D95">
            <w:r>
              <w:rPr>
                <w:b/>
                <w:bCs/>
                <w:sz w:val="16"/>
                <w:szCs w:val="16"/>
              </w:rPr>
              <w:t>Portable tanks and bulk containers</w:t>
            </w:r>
          </w:p>
        </w:tc>
      </w:tr>
      <w:tr w:rsidR="0024030A" w14:paraId="0B32DD7D" w14:textId="77777777" w:rsidTr="00734141">
        <w:tc>
          <w:tcPr>
            <w:tcW w:w="761" w:type="dxa"/>
            <w:vMerge/>
          </w:tcPr>
          <w:p w14:paraId="710B3422" w14:textId="77777777" w:rsidR="0024030A" w:rsidRDefault="0024030A" w:rsidP="003A4D95"/>
        </w:tc>
        <w:tc>
          <w:tcPr>
            <w:tcW w:w="1744" w:type="dxa"/>
            <w:vMerge/>
          </w:tcPr>
          <w:p w14:paraId="55DC0312" w14:textId="77777777" w:rsidR="0024030A" w:rsidRDefault="0024030A" w:rsidP="003A4D95"/>
        </w:tc>
        <w:tc>
          <w:tcPr>
            <w:tcW w:w="776" w:type="dxa"/>
            <w:vMerge/>
          </w:tcPr>
          <w:p w14:paraId="746EBA27" w14:textId="77777777" w:rsidR="0024030A" w:rsidRDefault="0024030A" w:rsidP="003A4D95"/>
        </w:tc>
        <w:tc>
          <w:tcPr>
            <w:tcW w:w="867" w:type="dxa"/>
            <w:vMerge/>
          </w:tcPr>
          <w:p w14:paraId="56E86A98" w14:textId="77777777" w:rsidR="0024030A" w:rsidRDefault="0024030A" w:rsidP="003A4D95"/>
        </w:tc>
        <w:tc>
          <w:tcPr>
            <w:tcW w:w="780" w:type="dxa"/>
            <w:vMerge/>
          </w:tcPr>
          <w:p w14:paraId="2D4E2FF2" w14:textId="77777777" w:rsidR="0024030A" w:rsidRDefault="0024030A" w:rsidP="003A4D95"/>
        </w:tc>
        <w:tc>
          <w:tcPr>
            <w:tcW w:w="854" w:type="dxa"/>
            <w:vMerge/>
          </w:tcPr>
          <w:p w14:paraId="2B9231E1" w14:textId="77777777" w:rsidR="0024030A" w:rsidRDefault="0024030A" w:rsidP="003A4D95"/>
        </w:tc>
        <w:tc>
          <w:tcPr>
            <w:tcW w:w="839" w:type="dxa"/>
            <w:gridSpan w:val="2"/>
            <w:vMerge/>
          </w:tcPr>
          <w:p w14:paraId="22904BD9" w14:textId="77777777" w:rsidR="0024030A" w:rsidRDefault="0024030A" w:rsidP="003A4D95"/>
        </w:tc>
        <w:tc>
          <w:tcPr>
            <w:tcW w:w="757" w:type="dxa"/>
            <w:gridSpan w:val="2"/>
          </w:tcPr>
          <w:p w14:paraId="14BA85C6" w14:textId="77777777" w:rsidR="0024030A" w:rsidRDefault="0024030A" w:rsidP="003A4D95">
            <w:r>
              <w:rPr>
                <w:b/>
                <w:bCs/>
                <w:sz w:val="16"/>
                <w:szCs w:val="16"/>
              </w:rPr>
              <w:t>Packing instruction</w:t>
            </w:r>
          </w:p>
        </w:tc>
        <w:tc>
          <w:tcPr>
            <w:tcW w:w="713" w:type="dxa"/>
          </w:tcPr>
          <w:p w14:paraId="52AAAA69" w14:textId="77777777" w:rsidR="0024030A" w:rsidRDefault="0024030A" w:rsidP="003A4D95">
            <w:r>
              <w:rPr>
                <w:b/>
                <w:bCs/>
                <w:sz w:val="16"/>
                <w:szCs w:val="16"/>
              </w:rPr>
              <w:t>Special packing provisions</w:t>
            </w:r>
          </w:p>
        </w:tc>
        <w:tc>
          <w:tcPr>
            <w:tcW w:w="901" w:type="dxa"/>
          </w:tcPr>
          <w:p w14:paraId="785861CC" w14:textId="77777777" w:rsidR="0024030A" w:rsidRDefault="0024030A" w:rsidP="003A4D95">
            <w:r>
              <w:rPr>
                <w:b/>
                <w:bCs/>
                <w:sz w:val="16"/>
                <w:szCs w:val="16"/>
              </w:rPr>
              <w:t>Instructions</w:t>
            </w:r>
          </w:p>
        </w:tc>
        <w:tc>
          <w:tcPr>
            <w:tcW w:w="784" w:type="dxa"/>
          </w:tcPr>
          <w:p w14:paraId="71ACBF46" w14:textId="77777777" w:rsidR="0024030A" w:rsidRDefault="0024030A" w:rsidP="003A4D95">
            <w:r>
              <w:rPr>
                <w:b/>
                <w:bCs/>
                <w:sz w:val="16"/>
                <w:szCs w:val="16"/>
              </w:rPr>
              <w:t>Special provisions</w:t>
            </w:r>
          </w:p>
        </w:tc>
      </w:tr>
      <w:tr w:rsidR="0024030A" w14:paraId="01BA98B8" w14:textId="77777777" w:rsidTr="00734141">
        <w:tc>
          <w:tcPr>
            <w:tcW w:w="761" w:type="dxa"/>
          </w:tcPr>
          <w:p w14:paraId="3967BE08" w14:textId="77777777" w:rsidR="0024030A" w:rsidRPr="001C4901" w:rsidRDefault="0024030A" w:rsidP="003A4D95">
            <w:pPr>
              <w:jc w:val="center"/>
              <w:rPr>
                <w:b/>
                <w:u w:val="single"/>
              </w:rPr>
            </w:pPr>
            <w:r w:rsidRPr="001C4901">
              <w:rPr>
                <w:b/>
                <w:u w:val="single"/>
              </w:rPr>
              <w:t>35XX</w:t>
            </w:r>
          </w:p>
        </w:tc>
        <w:tc>
          <w:tcPr>
            <w:tcW w:w="1744" w:type="dxa"/>
          </w:tcPr>
          <w:p w14:paraId="5BF20688" w14:textId="77777777" w:rsidR="0024030A" w:rsidRPr="001C4901" w:rsidRDefault="0024030A" w:rsidP="003A4D95">
            <w:pPr>
              <w:jc w:val="both"/>
              <w:rPr>
                <w:rFonts w:eastAsiaTheme="minorEastAsia"/>
                <w:b/>
                <w:u w:val="single"/>
                <w:lang w:eastAsia="zh-CN"/>
              </w:rPr>
            </w:pPr>
            <w:r w:rsidRPr="001C4901">
              <w:rPr>
                <w:rFonts w:eastAsiaTheme="minorEastAsia"/>
                <w:b/>
                <w:u w:val="single"/>
                <w:lang w:eastAsia="zh-CN"/>
              </w:rPr>
              <w:t>GALLIUM CONTAINED IN</w:t>
            </w:r>
          </w:p>
          <w:p w14:paraId="6EF17023" w14:textId="77777777" w:rsidR="0024030A" w:rsidRPr="001C4901" w:rsidRDefault="0024030A" w:rsidP="003A4D95">
            <w:pPr>
              <w:jc w:val="both"/>
              <w:rPr>
                <w:b/>
                <w:u w:val="single"/>
                <w:lang w:eastAsia="zh-CN"/>
              </w:rPr>
            </w:pPr>
            <w:r w:rsidRPr="001C4901">
              <w:rPr>
                <w:rFonts w:eastAsiaTheme="minorEastAsia"/>
                <w:b/>
                <w:u w:val="single"/>
                <w:lang w:eastAsia="zh-CN"/>
              </w:rPr>
              <w:t>MANUFACTURED ARTICLES</w:t>
            </w:r>
          </w:p>
        </w:tc>
        <w:tc>
          <w:tcPr>
            <w:tcW w:w="776" w:type="dxa"/>
          </w:tcPr>
          <w:p w14:paraId="3F67DBA9" w14:textId="77777777" w:rsidR="0024030A" w:rsidRPr="001C4901" w:rsidRDefault="0024030A" w:rsidP="003A4D95">
            <w:pPr>
              <w:jc w:val="center"/>
              <w:rPr>
                <w:b/>
                <w:u w:val="single"/>
              </w:rPr>
            </w:pPr>
            <w:r w:rsidRPr="001C4901">
              <w:rPr>
                <w:b/>
                <w:u w:val="single"/>
              </w:rPr>
              <w:t>8</w:t>
            </w:r>
          </w:p>
        </w:tc>
        <w:tc>
          <w:tcPr>
            <w:tcW w:w="867" w:type="dxa"/>
          </w:tcPr>
          <w:p w14:paraId="0E62C06F" w14:textId="77777777" w:rsidR="0024030A" w:rsidRPr="001C4901" w:rsidRDefault="0024030A" w:rsidP="003A4D95">
            <w:pPr>
              <w:jc w:val="center"/>
              <w:rPr>
                <w:b/>
                <w:u w:val="single"/>
              </w:rPr>
            </w:pPr>
          </w:p>
        </w:tc>
        <w:tc>
          <w:tcPr>
            <w:tcW w:w="780" w:type="dxa"/>
          </w:tcPr>
          <w:p w14:paraId="7D7D1439" w14:textId="77777777" w:rsidR="0024030A" w:rsidRPr="001C4901" w:rsidRDefault="0024030A" w:rsidP="003A4D95">
            <w:pPr>
              <w:jc w:val="center"/>
              <w:rPr>
                <w:b/>
                <w:u w:val="single"/>
              </w:rPr>
            </w:pPr>
          </w:p>
        </w:tc>
        <w:tc>
          <w:tcPr>
            <w:tcW w:w="854" w:type="dxa"/>
          </w:tcPr>
          <w:p w14:paraId="427DCDDC" w14:textId="77777777" w:rsidR="0024030A" w:rsidRPr="001C4901" w:rsidRDefault="0024030A" w:rsidP="003A4D95">
            <w:pPr>
              <w:jc w:val="center"/>
              <w:rPr>
                <w:b/>
                <w:u w:val="single"/>
              </w:rPr>
            </w:pPr>
            <w:r w:rsidRPr="001C4901">
              <w:rPr>
                <w:b/>
                <w:u w:val="single"/>
              </w:rPr>
              <w:t>366</w:t>
            </w:r>
          </w:p>
        </w:tc>
        <w:tc>
          <w:tcPr>
            <w:tcW w:w="435" w:type="dxa"/>
          </w:tcPr>
          <w:p w14:paraId="6F4F5433" w14:textId="77777777" w:rsidR="0024030A" w:rsidRPr="001C4901" w:rsidRDefault="0024030A" w:rsidP="003A4D95">
            <w:pPr>
              <w:jc w:val="center"/>
              <w:rPr>
                <w:b/>
                <w:u w:val="single"/>
              </w:rPr>
            </w:pPr>
            <w:r w:rsidRPr="001C4901">
              <w:rPr>
                <w:b/>
                <w:u w:val="single"/>
              </w:rPr>
              <w:t>5kg</w:t>
            </w:r>
          </w:p>
        </w:tc>
        <w:tc>
          <w:tcPr>
            <w:tcW w:w="404" w:type="dxa"/>
          </w:tcPr>
          <w:p w14:paraId="515E1C37" w14:textId="77777777" w:rsidR="0024030A" w:rsidRPr="001C4901" w:rsidRDefault="0024030A" w:rsidP="003A4D95">
            <w:pPr>
              <w:jc w:val="center"/>
              <w:rPr>
                <w:b/>
                <w:u w:val="single"/>
              </w:rPr>
            </w:pPr>
            <w:r w:rsidRPr="001C4901">
              <w:rPr>
                <w:b/>
                <w:u w:val="single"/>
              </w:rPr>
              <w:t>E0</w:t>
            </w:r>
          </w:p>
        </w:tc>
        <w:tc>
          <w:tcPr>
            <w:tcW w:w="735" w:type="dxa"/>
          </w:tcPr>
          <w:p w14:paraId="226D5534" w14:textId="77777777" w:rsidR="0024030A" w:rsidRPr="001C4901" w:rsidRDefault="0024030A" w:rsidP="003A4D95">
            <w:pPr>
              <w:jc w:val="center"/>
              <w:rPr>
                <w:b/>
                <w:u w:val="single"/>
              </w:rPr>
            </w:pPr>
            <w:r w:rsidRPr="001C4901">
              <w:rPr>
                <w:b/>
                <w:u w:val="single"/>
              </w:rPr>
              <w:t>P003</w:t>
            </w:r>
          </w:p>
        </w:tc>
        <w:tc>
          <w:tcPr>
            <w:tcW w:w="735" w:type="dxa"/>
            <w:gridSpan w:val="2"/>
          </w:tcPr>
          <w:p w14:paraId="576A82F5" w14:textId="77777777" w:rsidR="0024030A" w:rsidRPr="001C4901" w:rsidRDefault="0024030A" w:rsidP="003A4D95">
            <w:pPr>
              <w:jc w:val="center"/>
              <w:rPr>
                <w:b/>
                <w:color w:val="000000" w:themeColor="text1"/>
                <w:u w:val="single"/>
              </w:rPr>
            </w:pPr>
            <w:r w:rsidRPr="001C4901">
              <w:rPr>
                <w:b/>
                <w:color w:val="000000" w:themeColor="text1"/>
                <w:u w:val="single"/>
              </w:rPr>
              <w:t>PP90</w:t>
            </w:r>
          </w:p>
          <w:p w14:paraId="2C2ECD64" w14:textId="77777777" w:rsidR="0024030A" w:rsidRPr="001C4901" w:rsidRDefault="0024030A" w:rsidP="003A4D95">
            <w:pPr>
              <w:jc w:val="center"/>
              <w:rPr>
                <w:b/>
                <w:u w:val="single"/>
              </w:rPr>
            </w:pPr>
            <w:r w:rsidRPr="001C4901">
              <w:rPr>
                <w:b/>
                <w:color w:val="000000" w:themeColor="text1"/>
                <w:u w:val="single"/>
              </w:rPr>
              <w:t>PP41</w:t>
            </w:r>
          </w:p>
        </w:tc>
        <w:tc>
          <w:tcPr>
            <w:tcW w:w="901" w:type="dxa"/>
          </w:tcPr>
          <w:p w14:paraId="1A8A4DBF" w14:textId="77777777" w:rsidR="0024030A" w:rsidRPr="001C4901" w:rsidRDefault="0024030A" w:rsidP="003A4D95">
            <w:pPr>
              <w:jc w:val="center"/>
            </w:pPr>
          </w:p>
        </w:tc>
        <w:tc>
          <w:tcPr>
            <w:tcW w:w="784" w:type="dxa"/>
          </w:tcPr>
          <w:p w14:paraId="46D558C0" w14:textId="77777777" w:rsidR="0024030A" w:rsidRPr="001C4901" w:rsidRDefault="0024030A" w:rsidP="003A4D95">
            <w:pPr>
              <w:jc w:val="center"/>
            </w:pPr>
          </w:p>
        </w:tc>
      </w:tr>
    </w:tbl>
    <w:p w14:paraId="38EE59DB" w14:textId="77777777" w:rsidR="00734141" w:rsidRDefault="00734141" w:rsidP="00734141">
      <w:pPr>
        <w:pStyle w:val="SingleTxtG"/>
        <w:spacing w:before="240" w:after="240"/>
        <w:rPr>
          <w:lang w:val="en-US"/>
        </w:rPr>
      </w:pPr>
      <w:r>
        <w:rPr>
          <w:lang w:val="en-US"/>
        </w:rPr>
        <w:tab/>
      </w:r>
    </w:p>
    <w:p w14:paraId="54BFF149" w14:textId="77777777" w:rsidR="00734141" w:rsidRDefault="00734141">
      <w:pPr>
        <w:suppressAutoHyphens w:val="0"/>
        <w:kinsoku/>
        <w:overflowPunct/>
        <w:autoSpaceDE/>
        <w:autoSpaceDN/>
        <w:adjustRightInd/>
        <w:snapToGrid/>
        <w:spacing w:after="200" w:line="276" w:lineRule="auto"/>
        <w:rPr>
          <w:lang w:val="en-US"/>
        </w:rPr>
      </w:pPr>
      <w:r>
        <w:rPr>
          <w:lang w:val="en-US"/>
        </w:rPr>
        <w:br w:type="page"/>
      </w:r>
    </w:p>
    <w:p w14:paraId="760941CB" w14:textId="715F82C8" w:rsidR="0024030A" w:rsidRPr="004534D2" w:rsidRDefault="00734141" w:rsidP="00734141">
      <w:pPr>
        <w:pStyle w:val="SingleTxtG"/>
        <w:spacing w:before="240" w:after="240"/>
        <w:rPr>
          <w:lang w:val="en-US"/>
        </w:rPr>
      </w:pPr>
      <w:r>
        <w:rPr>
          <w:lang w:val="en-US"/>
        </w:rPr>
        <w:lastRenderedPageBreak/>
        <w:t>9.</w:t>
      </w:r>
      <w:r>
        <w:rPr>
          <w:lang w:val="en-US"/>
        </w:rPr>
        <w:tab/>
      </w:r>
      <w:r w:rsidR="00AB61AF">
        <w:rPr>
          <w:lang w:val="en-US"/>
        </w:rPr>
        <w:t>I</w:t>
      </w:r>
      <w:r w:rsidR="0024030A">
        <w:rPr>
          <w:rFonts w:hint="eastAsia"/>
          <w:lang w:val="en-US"/>
        </w:rPr>
        <w:t>n</w:t>
      </w:r>
      <w:r w:rsidR="0024030A">
        <w:rPr>
          <w:lang w:val="en-US"/>
        </w:rPr>
        <w:t xml:space="preserve"> packing instruction P003,</w:t>
      </w:r>
      <w:r w:rsidR="0024030A" w:rsidRPr="004534D2">
        <w:rPr>
          <w:lang w:val="en-US"/>
        </w:rPr>
        <w:t xml:space="preserve"> </w:t>
      </w:r>
      <w:r w:rsidR="00361775">
        <w:rPr>
          <w:lang w:val="en-US"/>
        </w:rPr>
        <w:t xml:space="preserve">add </w:t>
      </w:r>
      <w:r w:rsidR="0024030A" w:rsidRPr="001C2EA1">
        <w:rPr>
          <w:lang w:val="en-US"/>
        </w:rPr>
        <w:t xml:space="preserve">special </w:t>
      </w:r>
      <w:r w:rsidR="0024030A" w:rsidRPr="00734141">
        <w:t>packaging</w:t>
      </w:r>
      <w:r w:rsidR="0024030A" w:rsidRPr="001C2EA1">
        <w:rPr>
          <w:lang w:val="en-US"/>
        </w:rPr>
        <w:t xml:space="preserve"> provision PP41 and</w:t>
      </w:r>
      <w:r w:rsidR="0024030A">
        <w:rPr>
          <w:lang w:val="en-US"/>
        </w:rPr>
        <w:t xml:space="preserve"> </w:t>
      </w:r>
      <w:r w:rsidR="00361775">
        <w:rPr>
          <w:lang w:val="en-US"/>
        </w:rPr>
        <w:t>amend</w:t>
      </w:r>
      <w:r w:rsidR="0024030A" w:rsidRPr="004534D2">
        <w:rPr>
          <w:lang w:val="en-US"/>
        </w:rPr>
        <w:t xml:space="preserve"> special packaging provision PP90 as follows</w:t>
      </w:r>
      <w:r w:rsidR="007C2822">
        <w:rPr>
          <w:lang w:val="en-US"/>
        </w:rPr>
        <w:t>:</w:t>
      </w:r>
    </w:p>
    <w:tbl>
      <w:tblPr>
        <w:tblStyle w:val="TableGrid"/>
        <w:tblW w:w="0" w:type="auto"/>
        <w:tblInd w:w="991" w:type="dxa"/>
        <w:tblLook w:val="04A0" w:firstRow="1" w:lastRow="0" w:firstColumn="1" w:lastColumn="0" w:noHBand="0" w:noVBand="1"/>
      </w:tblPr>
      <w:tblGrid>
        <w:gridCol w:w="8135"/>
      </w:tblGrid>
      <w:tr w:rsidR="0024030A" w:rsidRPr="00954BE3" w14:paraId="69E9C8C0" w14:textId="77777777" w:rsidTr="003A4D95">
        <w:trPr>
          <w:trHeight w:val="340"/>
        </w:trPr>
        <w:tc>
          <w:tcPr>
            <w:tcW w:w="8135" w:type="dxa"/>
          </w:tcPr>
          <w:p w14:paraId="5C2DF3AB" w14:textId="6DA0320B" w:rsidR="0024030A" w:rsidRPr="008E203E" w:rsidRDefault="0024030A" w:rsidP="003A4D95">
            <w:pPr>
              <w:pStyle w:val="ListParagraph"/>
              <w:jc w:val="both"/>
              <w:rPr>
                <w:b/>
              </w:rPr>
            </w:pPr>
            <w:r w:rsidRPr="008E203E">
              <w:rPr>
                <w:b/>
              </w:rPr>
              <w:t xml:space="preserve">P003                                                    </w:t>
            </w:r>
            <w:r w:rsidRPr="008E203E">
              <w:rPr>
                <w:rFonts w:eastAsiaTheme="minorEastAsia"/>
                <w:b/>
                <w:lang w:eastAsia="zh-CN"/>
              </w:rPr>
              <w:t xml:space="preserve">PACKING INSTRUCTION </w:t>
            </w:r>
            <w:r w:rsidRPr="008E203E">
              <w:rPr>
                <w:b/>
              </w:rPr>
              <w:t xml:space="preserve">                                                P003</w:t>
            </w:r>
          </w:p>
        </w:tc>
      </w:tr>
      <w:tr w:rsidR="0024030A" w14:paraId="23F7B0A7" w14:textId="77777777" w:rsidTr="003A4D95">
        <w:trPr>
          <w:trHeight w:val="340"/>
        </w:trPr>
        <w:tc>
          <w:tcPr>
            <w:tcW w:w="8135" w:type="dxa"/>
          </w:tcPr>
          <w:p w14:paraId="48C76197" w14:textId="77777777" w:rsidR="0024030A" w:rsidRPr="002F3A68" w:rsidRDefault="0024030A" w:rsidP="003A4D95">
            <w:pPr>
              <w:pStyle w:val="ListParagraph"/>
              <w:ind w:right="1134"/>
              <w:rPr>
                <w:rFonts w:asciiTheme="majorBidi" w:hAnsiTheme="majorBidi" w:cstheme="majorBidi"/>
                <w:lang w:eastAsia="zh-CN"/>
              </w:rPr>
            </w:pPr>
            <w:r w:rsidRPr="002F3A68">
              <w:rPr>
                <w:rFonts w:asciiTheme="majorBidi" w:eastAsia="SimSun" w:hAnsiTheme="majorBidi" w:cstheme="majorBidi"/>
                <w:lang w:eastAsia="zh-CN"/>
              </w:rPr>
              <w:t>…</w:t>
            </w:r>
          </w:p>
        </w:tc>
      </w:tr>
      <w:tr w:rsidR="0024030A" w:rsidRPr="00954BE3" w14:paraId="57A31498" w14:textId="77777777" w:rsidTr="003A4D95">
        <w:trPr>
          <w:trHeight w:val="340"/>
        </w:trPr>
        <w:tc>
          <w:tcPr>
            <w:tcW w:w="8135" w:type="dxa"/>
            <w:tcBorders>
              <w:bottom w:val="single" w:sz="4" w:space="0" w:color="auto"/>
            </w:tcBorders>
          </w:tcPr>
          <w:p w14:paraId="7040C57D" w14:textId="77777777" w:rsidR="0024030A" w:rsidRPr="002F3A68" w:rsidRDefault="0024030A" w:rsidP="003A4D95">
            <w:pPr>
              <w:pStyle w:val="ListParagraph"/>
              <w:rPr>
                <w:rFonts w:asciiTheme="majorBidi" w:hAnsiTheme="majorBidi" w:cstheme="majorBidi"/>
                <w:b/>
                <w:lang w:eastAsia="zh-CN"/>
              </w:rPr>
            </w:pPr>
            <w:r w:rsidRPr="002F3A68">
              <w:rPr>
                <w:rFonts w:asciiTheme="majorBidi" w:eastAsiaTheme="minorEastAsia" w:hAnsiTheme="majorBidi" w:cstheme="majorBidi"/>
                <w:b/>
                <w:lang w:eastAsia="zh-CN"/>
              </w:rPr>
              <w:t>Special packing provisions</w:t>
            </w:r>
            <w:r w:rsidRPr="002F3A68">
              <w:rPr>
                <w:rFonts w:asciiTheme="majorBidi" w:hAnsiTheme="majorBidi" w:cstheme="majorBidi"/>
                <w:b/>
                <w:lang w:eastAsia="zh-CN"/>
              </w:rPr>
              <w:t>:</w:t>
            </w:r>
          </w:p>
          <w:p w14:paraId="7FE54FE8" w14:textId="77777777" w:rsidR="0024030A" w:rsidRPr="002F3A68" w:rsidRDefault="0024030A" w:rsidP="00226AE5">
            <w:pPr>
              <w:ind w:left="142" w:right="51"/>
              <w:jc w:val="both"/>
              <w:rPr>
                <w:rFonts w:asciiTheme="majorBidi" w:eastAsiaTheme="minorEastAsia" w:hAnsiTheme="majorBidi" w:cstheme="majorBidi"/>
                <w:lang w:eastAsia="zh-CN"/>
              </w:rPr>
            </w:pPr>
            <w:r w:rsidRPr="002F3A68">
              <w:rPr>
                <w:rFonts w:asciiTheme="majorBidi" w:eastAsiaTheme="minorEastAsia" w:hAnsiTheme="majorBidi" w:cstheme="majorBidi"/>
                <w:lang w:eastAsia="zh-CN"/>
              </w:rPr>
              <w:t>…</w:t>
            </w:r>
          </w:p>
          <w:p w14:paraId="1B376F18" w14:textId="4187AE9F" w:rsidR="0024030A" w:rsidRPr="002F3A68" w:rsidRDefault="0024030A" w:rsidP="00A31B0F">
            <w:pPr>
              <w:spacing w:beforeLines="100" w:before="240"/>
              <w:ind w:left="140" w:right="53"/>
              <w:jc w:val="both"/>
              <w:rPr>
                <w:rFonts w:asciiTheme="majorBidi" w:hAnsiTheme="majorBidi" w:cstheme="majorBidi"/>
                <w:b/>
                <w:u w:val="single"/>
                <w:lang w:eastAsia="zh-CN"/>
              </w:rPr>
            </w:pPr>
            <w:r w:rsidRPr="002F3A68">
              <w:rPr>
                <w:rFonts w:asciiTheme="majorBidi" w:hAnsiTheme="majorBidi" w:cstheme="majorBidi"/>
                <w:b/>
                <w:u w:val="single"/>
                <w:lang w:eastAsia="zh-CN"/>
              </w:rPr>
              <w:t xml:space="preserve">PP41 For UN 35XX, when it is necessary to transport </w:t>
            </w:r>
            <w:r w:rsidR="000A3957">
              <w:rPr>
                <w:rFonts w:asciiTheme="majorBidi" w:hAnsiTheme="majorBidi" w:cstheme="majorBidi"/>
                <w:b/>
                <w:u w:val="single"/>
                <w:lang w:eastAsia="zh-CN"/>
              </w:rPr>
              <w:t>g</w:t>
            </w:r>
            <w:r w:rsidRPr="002F3A68">
              <w:rPr>
                <w:rFonts w:asciiTheme="majorBidi" w:hAnsiTheme="majorBidi" w:cstheme="majorBidi"/>
                <w:b/>
                <w:u w:val="single"/>
                <w:lang w:eastAsia="zh-CN"/>
              </w:rPr>
              <w:t xml:space="preserve">allium contained in manufactured articles at low temperatures in order to maintain it in a completely solid state, the above packagings may be overpacked in a strong, water-resistant outer packaging which contains dry ice or other means of refrigeration. If a refrigerant is used, </w:t>
            </w:r>
            <w:proofErr w:type="gramStart"/>
            <w:r w:rsidRPr="002F3A68">
              <w:rPr>
                <w:rFonts w:asciiTheme="majorBidi" w:hAnsiTheme="majorBidi" w:cstheme="majorBidi"/>
                <w:b/>
                <w:u w:val="single"/>
                <w:lang w:eastAsia="zh-CN"/>
              </w:rPr>
              <w:t>all of</w:t>
            </w:r>
            <w:proofErr w:type="gramEnd"/>
            <w:r w:rsidRPr="002F3A68">
              <w:rPr>
                <w:rFonts w:asciiTheme="majorBidi" w:hAnsiTheme="majorBidi" w:cstheme="majorBidi"/>
                <w:b/>
                <w:u w:val="single"/>
                <w:lang w:eastAsia="zh-CN"/>
              </w:rPr>
              <w:t xml:space="preserve"> the above materials used in the packaging of gallium contained in manufactured articles shall be chemically and physically resistant to the refrigerant and shall have impact resistance at the low temperatures of the refrigerant employed. If dry ice is used, the outer packaging shall permit the release of carbon dioxide gas.</w:t>
            </w:r>
          </w:p>
          <w:p w14:paraId="7A507559" w14:textId="2FBA8A7B" w:rsidR="0024030A" w:rsidRPr="002F3A68" w:rsidRDefault="0024030A" w:rsidP="00A31B0F">
            <w:pPr>
              <w:spacing w:beforeLines="100" w:before="240"/>
              <w:ind w:left="140" w:right="53"/>
              <w:jc w:val="both"/>
              <w:rPr>
                <w:rFonts w:asciiTheme="majorBidi" w:hAnsiTheme="majorBidi" w:cstheme="majorBidi"/>
              </w:rPr>
            </w:pPr>
            <w:r w:rsidRPr="002F3A68">
              <w:rPr>
                <w:rFonts w:asciiTheme="majorBidi" w:hAnsiTheme="majorBidi" w:cstheme="majorBidi"/>
                <w:b/>
                <w:lang w:eastAsia="zh-CN"/>
              </w:rPr>
              <w:t xml:space="preserve">PP90 </w:t>
            </w:r>
            <w:r w:rsidRPr="002F3A68">
              <w:rPr>
                <w:rFonts w:asciiTheme="majorBidi" w:hAnsiTheme="majorBidi" w:cstheme="majorBidi"/>
                <w:lang w:eastAsia="zh-CN"/>
              </w:rPr>
              <w:t xml:space="preserve">For UN 3506 </w:t>
            </w:r>
            <w:r w:rsidRPr="002F3A68">
              <w:rPr>
                <w:rFonts w:asciiTheme="majorBidi" w:hAnsiTheme="majorBidi" w:cstheme="majorBidi"/>
                <w:b/>
                <w:u w:val="single"/>
                <w:lang w:eastAsia="zh-CN"/>
              </w:rPr>
              <w:t>and UN</w:t>
            </w:r>
            <w:r w:rsidR="00AF1E47">
              <w:rPr>
                <w:rFonts w:asciiTheme="majorBidi" w:hAnsiTheme="majorBidi" w:cstheme="majorBidi"/>
                <w:b/>
                <w:u w:val="single"/>
                <w:lang w:eastAsia="zh-CN"/>
              </w:rPr>
              <w:t xml:space="preserve"> </w:t>
            </w:r>
            <w:r w:rsidRPr="002F3A68">
              <w:rPr>
                <w:rFonts w:asciiTheme="majorBidi" w:hAnsiTheme="majorBidi" w:cstheme="majorBidi"/>
                <w:b/>
                <w:u w:val="single"/>
                <w:lang w:eastAsia="zh-CN"/>
              </w:rPr>
              <w:t>35XX</w:t>
            </w:r>
            <w:r w:rsidRPr="002F3A68">
              <w:rPr>
                <w:rFonts w:asciiTheme="majorBidi" w:hAnsiTheme="majorBidi" w:cstheme="majorBidi"/>
                <w:lang w:eastAsia="zh-CN"/>
              </w:rPr>
              <w:t xml:space="preserve">, sealed inner liners or bags of strong leak-proof and puncture resistant material impervious to mercury </w:t>
            </w:r>
            <w:r w:rsidRPr="002F3A68">
              <w:rPr>
                <w:rFonts w:asciiTheme="majorBidi" w:hAnsiTheme="majorBidi" w:cstheme="majorBidi"/>
                <w:b/>
                <w:u w:val="single"/>
                <w:lang w:eastAsia="zh-CN"/>
              </w:rPr>
              <w:t>or gallium</w:t>
            </w:r>
            <w:r w:rsidRPr="002F3A68">
              <w:rPr>
                <w:rFonts w:asciiTheme="majorBidi" w:hAnsiTheme="majorBidi" w:cstheme="majorBidi"/>
                <w:lang w:eastAsia="zh-CN"/>
              </w:rPr>
              <w:t xml:space="preserve"> which will prevent escape of the substance from the package irrespective of the position or the orientation of the package shall be used. </w:t>
            </w:r>
            <w:r w:rsidRPr="002F3A68">
              <w:rPr>
                <w:rFonts w:asciiTheme="majorBidi" w:hAnsiTheme="majorBidi" w:cstheme="majorBidi"/>
              </w:rPr>
              <w:t>For air transport additional requirements may apply.</w:t>
            </w:r>
          </w:p>
          <w:p w14:paraId="141DD5E3" w14:textId="77777777" w:rsidR="0024030A" w:rsidRPr="002F3A68" w:rsidRDefault="0024030A" w:rsidP="00226AE5">
            <w:pPr>
              <w:ind w:left="142" w:right="51"/>
              <w:jc w:val="both"/>
              <w:rPr>
                <w:rFonts w:asciiTheme="majorBidi" w:eastAsiaTheme="minorEastAsia" w:hAnsiTheme="majorBidi" w:cstheme="majorBidi"/>
                <w:lang w:eastAsia="zh-CN"/>
              </w:rPr>
            </w:pPr>
            <w:r w:rsidRPr="002F3A68">
              <w:rPr>
                <w:rFonts w:asciiTheme="majorBidi" w:eastAsiaTheme="minorEastAsia" w:hAnsiTheme="majorBidi" w:cstheme="majorBidi"/>
                <w:lang w:eastAsia="zh-CN"/>
              </w:rPr>
              <w:t>…</w:t>
            </w:r>
          </w:p>
        </w:tc>
      </w:tr>
    </w:tbl>
    <w:p w14:paraId="1331D48D" w14:textId="76D9D1B5" w:rsidR="0024030A" w:rsidRPr="004534D2" w:rsidRDefault="00734141" w:rsidP="00734141">
      <w:pPr>
        <w:pStyle w:val="SingleTxtG"/>
        <w:spacing w:before="240"/>
        <w:rPr>
          <w:lang w:val="en-US"/>
        </w:rPr>
      </w:pPr>
      <w:r>
        <w:rPr>
          <w:lang w:val="en-US"/>
        </w:rPr>
        <w:tab/>
        <w:t>10.</w:t>
      </w:r>
      <w:r>
        <w:rPr>
          <w:lang w:val="en-US"/>
        </w:rPr>
        <w:tab/>
      </w:r>
      <w:r w:rsidR="006562B1">
        <w:rPr>
          <w:lang w:val="en-US"/>
        </w:rPr>
        <w:t>Amend special provision</w:t>
      </w:r>
      <w:r w:rsidR="000A3957">
        <w:rPr>
          <w:lang w:val="en-US"/>
        </w:rPr>
        <w:t xml:space="preserve"> </w:t>
      </w:r>
      <w:r w:rsidR="0024030A" w:rsidRPr="004534D2">
        <w:rPr>
          <w:lang w:val="en-US"/>
        </w:rPr>
        <w:t>365 and appl</w:t>
      </w:r>
      <w:r w:rsidR="00D46469">
        <w:rPr>
          <w:lang w:val="en-US"/>
        </w:rPr>
        <w:t>y</w:t>
      </w:r>
      <w:r w:rsidR="0024030A" w:rsidRPr="004534D2">
        <w:rPr>
          <w:lang w:val="en-US"/>
        </w:rPr>
        <w:t xml:space="preserve"> to UN</w:t>
      </w:r>
      <w:r w:rsidR="000A3957">
        <w:rPr>
          <w:lang w:val="en-US"/>
        </w:rPr>
        <w:t xml:space="preserve"> </w:t>
      </w:r>
      <w:r w:rsidR="0024030A" w:rsidRPr="004534D2">
        <w:rPr>
          <w:lang w:val="en-US"/>
        </w:rPr>
        <w:t xml:space="preserve">2803 as </w:t>
      </w:r>
      <w:r w:rsidR="007C2822">
        <w:rPr>
          <w:lang w:val="en-US"/>
        </w:rPr>
        <w:t>follows:</w:t>
      </w:r>
    </w:p>
    <w:p w14:paraId="034DDF8C" w14:textId="505192F2" w:rsidR="0024030A" w:rsidRDefault="00196CEE" w:rsidP="006562B1">
      <w:pPr>
        <w:pStyle w:val="SingleTxtG"/>
        <w:ind w:left="1701" w:hanging="567"/>
      </w:pPr>
      <w:r>
        <w:t>“</w:t>
      </w:r>
      <w:r w:rsidR="0024030A" w:rsidRPr="00646D20">
        <w:rPr>
          <w:b/>
        </w:rPr>
        <w:t>365</w:t>
      </w:r>
      <w:r w:rsidR="006562B1">
        <w:rPr>
          <w:b/>
        </w:rPr>
        <w:tab/>
      </w:r>
      <w:r w:rsidR="0024030A" w:rsidRPr="0032319A">
        <w:t>For manufactured instruments and articles containing mercury</w:t>
      </w:r>
      <w:r w:rsidR="0024030A">
        <w:t xml:space="preserve"> </w:t>
      </w:r>
      <w:r w:rsidR="0024030A" w:rsidRPr="0032319A">
        <w:rPr>
          <w:b/>
          <w:u w:val="single"/>
        </w:rPr>
        <w:t>or gallium</w:t>
      </w:r>
      <w:r w:rsidR="0024030A" w:rsidRPr="0032319A">
        <w:t>, see UN 3506</w:t>
      </w:r>
      <w:r w:rsidR="0024030A">
        <w:t xml:space="preserve"> </w:t>
      </w:r>
      <w:r w:rsidR="0024030A">
        <w:rPr>
          <w:b/>
          <w:u w:val="single"/>
        </w:rPr>
        <w:t>or UN</w:t>
      </w:r>
      <w:r w:rsidR="00623396">
        <w:rPr>
          <w:b/>
          <w:u w:val="single"/>
        </w:rPr>
        <w:t xml:space="preserve"> </w:t>
      </w:r>
      <w:r w:rsidR="0024030A">
        <w:rPr>
          <w:b/>
          <w:u w:val="single"/>
        </w:rPr>
        <w:t>35XX</w:t>
      </w:r>
      <w:r w:rsidR="0024030A" w:rsidRPr="0032319A">
        <w:t>.</w:t>
      </w:r>
      <w:r w:rsidRPr="0010132B">
        <w:t>”</w:t>
      </w:r>
    </w:p>
    <w:tbl>
      <w:tblPr>
        <w:tblStyle w:val="TableGrid"/>
        <w:tblW w:w="0" w:type="auto"/>
        <w:tblInd w:w="137" w:type="dxa"/>
        <w:tblLook w:val="04A0" w:firstRow="1" w:lastRow="0" w:firstColumn="1" w:lastColumn="0" w:noHBand="0" w:noVBand="1"/>
      </w:tblPr>
      <w:tblGrid>
        <w:gridCol w:w="663"/>
        <w:gridCol w:w="955"/>
        <w:gridCol w:w="861"/>
        <w:gridCol w:w="911"/>
        <w:gridCol w:w="863"/>
        <w:gridCol w:w="902"/>
        <w:gridCol w:w="448"/>
        <w:gridCol w:w="448"/>
        <w:gridCol w:w="735"/>
        <w:gridCol w:w="22"/>
        <w:gridCol w:w="713"/>
        <w:gridCol w:w="924"/>
        <w:gridCol w:w="810"/>
      </w:tblGrid>
      <w:tr w:rsidR="0024030A" w14:paraId="3E1D86C4" w14:textId="77777777" w:rsidTr="00333F20">
        <w:tc>
          <w:tcPr>
            <w:tcW w:w="663" w:type="dxa"/>
            <w:vMerge w:val="restart"/>
          </w:tcPr>
          <w:p w14:paraId="6EF66AA3" w14:textId="77777777" w:rsidR="0024030A" w:rsidRDefault="0024030A" w:rsidP="003A4D95">
            <w:r>
              <w:rPr>
                <w:b/>
                <w:bCs/>
                <w:sz w:val="16"/>
                <w:szCs w:val="16"/>
              </w:rPr>
              <w:t>UN No.</w:t>
            </w:r>
          </w:p>
        </w:tc>
        <w:tc>
          <w:tcPr>
            <w:tcW w:w="955" w:type="dxa"/>
            <w:vMerge w:val="restart"/>
          </w:tcPr>
          <w:p w14:paraId="7E65D2B7" w14:textId="77777777" w:rsidR="0024030A" w:rsidRDefault="0024030A" w:rsidP="003A4D95">
            <w:r>
              <w:rPr>
                <w:b/>
                <w:bCs/>
                <w:sz w:val="16"/>
                <w:szCs w:val="16"/>
              </w:rPr>
              <w:t>Name and description</w:t>
            </w:r>
          </w:p>
        </w:tc>
        <w:tc>
          <w:tcPr>
            <w:tcW w:w="861" w:type="dxa"/>
            <w:vMerge w:val="restart"/>
          </w:tcPr>
          <w:p w14:paraId="2351BF14" w14:textId="77777777" w:rsidR="0024030A" w:rsidRDefault="0024030A" w:rsidP="003A4D95">
            <w:r>
              <w:rPr>
                <w:b/>
                <w:bCs/>
                <w:sz w:val="16"/>
                <w:szCs w:val="16"/>
              </w:rPr>
              <w:t>Class or division</w:t>
            </w:r>
          </w:p>
        </w:tc>
        <w:tc>
          <w:tcPr>
            <w:tcW w:w="911" w:type="dxa"/>
            <w:vMerge w:val="restart"/>
          </w:tcPr>
          <w:p w14:paraId="121C1AD7" w14:textId="77777777" w:rsidR="0024030A" w:rsidRDefault="0024030A" w:rsidP="003A4D95">
            <w:r>
              <w:rPr>
                <w:b/>
                <w:bCs/>
                <w:sz w:val="16"/>
                <w:szCs w:val="16"/>
              </w:rPr>
              <w:t>Subsidiary hazard</w:t>
            </w:r>
          </w:p>
        </w:tc>
        <w:tc>
          <w:tcPr>
            <w:tcW w:w="863" w:type="dxa"/>
            <w:vMerge w:val="restart"/>
          </w:tcPr>
          <w:p w14:paraId="5B3E62E6" w14:textId="77777777" w:rsidR="0024030A" w:rsidRDefault="0024030A" w:rsidP="003A4D95">
            <w:r>
              <w:rPr>
                <w:b/>
                <w:bCs/>
                <w:sz w:val="16"/>
                <w:szCs w:val="16"/>
              </w:rPr>
              <w:t>UN packing group</w:t>
            </w:r>
          </w:p>
        </w:tc>
        <w:tc>
          <w:tcPr>
            <w:tcW w:w="902" w:type="dxa"/>
            <w:vMerge w:val="restart"/>
          </w:tcPr>
          <w:p w14:paraId="0365059F" w14:textId="77777777" w:rsidR="0024030A" w:rsidRPr="00B15BAC" w:rsidRDefault="0024030A" w:rsidP="003A4D95">
            <w:pPr>
              <w:rPr>
                <w:b/>
                <w:bCs/>
                <w:sz w:val="16"/>
                <w:szCs w:val="16"/>
              </w:rPr>
            </w:pPr>
            <w:r w:rsidRPr="00B15BAC">
              <w:rPr>
                <w:b/>
                <w:bCs/>
                <w:sz w:val="16"/>
                <w:szCs w:val="16"/>
              </w:rPr>
              <w:t xml:space="preserve">Special </w:t>
            </w:r>
          </w:p>
          <w:p w14:paraId="55956619" w14:textId="77777777" w:rsidR="0024030A" w:rsidRPr="00F00104" w:rsidRDefault="0024030A" w:rsidP="003A4D95">
            <w:pPr>
              <w:rPr>
                <w:b/>
                <w:u w:val="single"/>
              </w:rPr>
            </w:pPr>
            <w:r w:rsidRPr="00B15BAC">
              <w:rPr>
                <w:b/>
                <w:bCs/>
                <w:sz w:val="16"/>
                <w:szCs w:val="16"/>
              </w:rPr>
              <w:t>Provisions</w:t>
            </w:r>
          </w:p>
        </w:tc>
        <w:tc>
          <w:tcPr>
            <w:tcW w:w="896" w:type="dxa"/>
            <w:gridSpan w:val="2"/>
            <w:vMerge w:val="restart"/>
          </w:tcPr>
          <w:p w14:paraId="5F7AB5E8" w14:textId="77777777" w:rsidR="0024030A" w:rsidRDefault="0024030A" w:rsidP="003A4D95">
            <w:r>
              <w:rPr>
                <w:b/>
                <w:bCs/>
                <w:sz w:val="16"/>
                <w:szCs w:val="16"/>
              </w:rPr>
              <w:t>Limited and excepted quantities</w:t>
            </w:r>
          </w:p>
        </w:tc>
        <w:tc>
          <w:tcPr>
            <w:tcW w:w="1470" w:type="dxa"/>
            <w:gridSpan w:val="3"/>
          </w:tcPr>
          <w:p w14:paraId="01A1638C" w14:textId="77777777" w:rsidR="0024030A" w:rsidRDefault="0024030A" w:rsidP="003A4D95">
            <w:r>
              <w:rPr>
                <w:b/>
                <w:bCs/>
                <w:sz w:val="16"/>
                <w:szCs w:val="16"/>
              </w:rPr>
              <w:t>Packagings and IBCs</w:t>
            </w:r>
          </w:p>
        </w:tc>
        <w:tc>
          <w:tcPr>
            <w:tcW w:w="1734" w:type="dxa"/>
            <w:gridSpan w:val="2"/>
          </w:tcPr>
          <w:p w14:paraId="2774924E" w14:textId="77777777" w:rsidR="0024030A" w:rsidRDefault="0024030A" w:rsidP="003A4D95">
            <w:r>
              <w:rPr>
                <w:b/>
                <w:bCs/>
                <w:sz w:val="16"/>
                <w:szCs w:val="16"/>
              </w:rPr>
              <w:t>Portable tanks and bulk containers</w:t>
            </w:r>
          </w:p>
        </w:tc>
      </w:tr>
      <w:tr w:rsidR="0024030A" w14:paraId="73D854FD" w14:textId="77777777" w:rsidTr="00333F20">
        <w:tc>
          <w:tcPr>
            <w:tcW w:w="663" w:type="dxa"/>
            <w:vMerge/>
          </w:tcPr>
          <w:p w14:paraId="0DC7D6AC" w14:textId="77777777" w:rsidR="0024030A" w:rsidRDefault="0024030A" w:rsidP="003A4D95"/>
        </w:tc>
        <w:tc>
          <w:tcPr>
            <w:tcW w:w="955" w:type="dxa"/>
            <w:vMerge/>
          </w:tcPr>
          <w:p w14:paraId="46834EF7" w14:textId="77777777" w:rsidR="0024030A" w:rsidRDefault="0024030A" w:rsidP="003A4D95"/>
        </w:tc>
        <w:tc>
          <w:tcPr>
            <w:tcW w:w="861" w:type="dxa"/>
            <w:vMerge/>
          </w:tcPr>
          <w:p w14:paraId="36792256" w14:textId="77777777" w:rsidR="0024030A" w:rsidRDefault="0024030A" w:rsidP="003A4D95"/>
        </w:tc>
        <w:tc>
          <w:tcPr>
            <w:tcW w:w="911" w:type="dxa"/>
            <w:vMerge/>
          </w:tcPr>
          <w:p w14:paraId="60271774" w14:textId="77777777" w:rsidR="0024030A" w:rsidRDefault="0024030A" w:rsidP="003A4D95"/>
        </w:tc>
        <w:tc>
          <w:tcPr>
            <w:tcW w:w="863" w:type="dxa"/>
            <w:vMerge/>
          </w:tcPr>
          <w:p w14:paraId="56BBB1A7" w14:textId="77777777" w:rsidR="0024030A" w:rsidRDefault="0024030A" w:rsidP="003A4D95"/>
        </w:tc>
        <w:tc>
          <w:tcPr>
            <w:tcW w:w="902" w:type="dxa"/>
            <w:vMerge/>
          </w:tcPr>
          <w:p w14:paraId="799B3ED0" w14:textId="77777777" w:rsidR="0024030A" w:rsidRPr="00F00104" w:rsidRDefault="0024030A" w:rsidP="003A4D95">
            <w:pPr>
              <w:rPr>
                <w:b/>
                <w:u w:val="single"/>
              </w:rPr>
            </w:pPr>
          </w:p>
        </w:tc>
        <w:tc>
          <w:tcPr>
            <w:tcW w:w="896" w:type="dxa"/>
            <w:gridSpan w:val="2"/>
            <w:vMerge/>
          </w:tcPr>
          <w:p w14:paraId="53C5A806" w14:textId="77777777" w:rsidR="0024030A" w:rsidRDefault="0024030A" w:rsidP="003A4D95"/>
        </w:tc>
        <w:tc>
          <w:tcPr>
            <w:tcW w:w="757" w:type="dxa"/>
            <w:gridSpan w:val="2"/>
          </w:tcPr>
          <w:p w14:paraId="60CBCEC3" w14:textId="77777777" w:rsidR="0024030A" w:rsidRDefault="0024030A" w:rsidP="003A4D95">
            <w:r>
              <w:rPr>
                <w:b/>
                <w:bCs/>
                <w:sz w:val="16"/>
                <w:szCs w:val="16"/>
              </w:rPr>
              <w:t>Packing instruction</w:t>
            </w:r>
          </w:p>
        </w:tc>
        <w:tc>
          <w:tcPr>
            <w:tcW w:w="713" w:type="dxa"/>
          </w:tcPr>
          <w:p w14:paraId="05C7EDDA" w14:textId="77777777" w:rsidR="0024030A" w:rsidRDefault="0024030A" w:rsidP="003A4D95">
            <w:r>
              <w:rPr>
                <w:b/>
                <w:bCs/>
                <w:sz w:val="16"/>
                <w:szCs w:val="16"/>
              </w:rPr>
              <w:t>Special packing provisions</w:t>
            </w:r>
          </w:p>
        </w:tc>
        <w:tc>
          <w:tcPr>
            <w:tcW w:w="924" w:type="dxa"/>
          </w:tcPr>
          <w:p w14:paraId="61FC83F5" w14:textId="77777777" w:rsidR="0024030A" w:rsidRDefault="0024030A" w:rsidP="003A4D95">
            <w:r>
              <w:rPr>
                <w:b/>
                <w:bCs/>
                <w:sz w:val="16"/>
                <w:szCs w:val="16"/>
              </w:rPr>
              <w:t>Instructions</w:t>
            </w:r>
          </w:p>
        </w:tc>
        <w:tc>
          <w:tcPr>
            <w:tcW w:w="810" w:type="dxa"/>
          </w:tcPr>
          <w:p w14:paraId="2F5F3DF3" w14:textId="77777777" w:rsidR="0024030A" w:rsidRDefault="0024030A" w:rsidP="003A4D95">
            <w:r>
              <w:rPr>
                <w:b/>
                <w:bCs/>
                <w:sz w:val="16"/>
                <w:szCs w:val="16"/>
              </w:rPr>
              <w:t>Special provisions</w:t>
            </w:r>
          </w:p>
        </w:tc>
      </w:tr>
      <w:tr w:rsidR="0024030A" w14:paraId="003BC12D" w14:textId="77777777" w:rsidTr="00333F20">
        <w:tc>
          <w:tcPr>
            <w:tcW w:w="663" w:type="dxa"/>
          </w:tcPr>
          <w:p w14:paraId="4D415336" w14:textId="77777777" w:rsidR="0024030A" w:rsidRDefault="0024030A" w:rsidP="003A4D95">
            <w:pPr>
              <w:jc w:val="center"/>
            </w:pPr>
            <w:r>
              <w:t>2803</w:t>
            </w:r>
          </w:p>
        </w:tc>
        <w:tc>
          <w:tcPr>
            <w:tcW w:w="955" w:type="dxa"/>
          </w:tcPr>
          <w:p w14:paraId="5E222EA2" w14:textId="77777777" w:rsidR="0024030A" w:rsidRPr="0050407E" w:rsidRDefault="0024030A" w:rsidP="003A4D95">
            <w:pPr>
              <w:jc w:val="center"/>
              <w:rPr>
                <w:lang w:eastAsia="zh-CN"/>
              </w:rPr>
            </w:pPr>
            <w:r w:rsidRPr="0050407E">
              <w:rPr>
                <w:rFonts w:eastAsiaTheme="minorEastAsia"/>
                <w:lang w:eastAsia="zh-CN"/>
              </w:rPr>
              <w:t>GALLIUM</w:t>
            </w:r>
          </w:p>
        </w:tc>
        <w:tc>
          <w:tcPr>
            <w:tcW w:w="861" w:type="dxa"/>
          </w:tcPr>
          <w:p w14:paraId="6063EBE5" w14:textId="77777777" w:rsidR="0024030A" w:rsidRDefault="0024030A" w:rsidP="003A4D95">
            <w:pPr>
              <w:jc w:val="center"/>
            </w:pPr>
            <w:r>
              <w:t>8</w:t>
            </w:r>
          </w:p>
        </w:tc>
        <w:tc>
          <w:tcPr>
            <w:tcW w:w="911" w:type="dxa"/>
          </w:tcPr>
          <w:p w14:paraId="745D915F" w14:textId="77777777" w:rsidR="0024030A" w:rsidRDefault="0024030A" w:rsidP="003A4D95">
            <w:pPr>
              <w:jc w:val="center"/>
            </w:pPr>
          </w:p>
        </w:tc>
        <w:tc>
          <w:tcPr>
            <w:tcW w:w="863" w:type="dxa"/>
          </w:tcPr>
          <w:p w14:paraId="449ED9E7" w14:textId="77777777" w:rsidR="0024030A" w:rsidRDefault="0024030A" w:rsidP="003A4D95">
            <w:pPr>
              <w:jc w:val="center"/>
            </w:pPr>
            <w:r>
              <w:rPr>
                <w:rFonts w:ascii="仿宋" w:eastAsia="仿宋" w:hAnsi="仿宋" w:hint="eastAsia"/>
              </w:rPr>
              <w:t>Ⅲ</w:t>
            </w:r>
          </w:p>
        </w:tc>
        <w:tc>
          <w:tcPr>
            <w:tcW w:w="902" w:type="dxa"/>
          </w:tcPr>
          <w:p w14:paraId="1D1A5E71" w14:textId="77777777" w:rsidR="0024030A" w:rsidRPr="00F00104" w:rsidRDefault="0024030A" w:rsidP="003A4D95">
            <w:pPr>
              <w:jc w:val="center"/>
              <w:rPr>
                <w:b/>
                <w:u w:val="single"/>
              </w:rPr>
            </w:pPr>
            <w:r w:rsidRPr="00F00104">
              <w:rPr>
                <w:b/>
                <w:u w:val="single"/>
              </w:rPr>
              <w:t>36</w:t>
            </w:r>
            <w:r>
              <w:rPr>
                <w:b/>
                <w:u w:val="single"/>
              </w:rPr>
              <w:t>5</w:t>
            </w:r>
          </w:p>
        </w:tc>
        <w:tc>
          <w:tcPr>
            <w:tcW w:w="448" w:type="dxa"/>
          </w:tcPr>
          <w:p w14:paraId="17A5E1A1" w14:textId="77777777" w:rsidR="0024030A" w:rsidRDefault="0024030A" w:rsidP="003A4D95">
            <w:pPr>
              <w:jc w:val="center"/>
            </w:pPr>
            <w:r>
              <w:t>5kg</w:t>
            </w:r>
          </w:p>
        </w:tc>
        <w:tc>
          <w:tcPr>
            <w:tcW w:w="448" w:type="dxa"/>
          </w:tcPr>
          <w:p w14:paraId="51CDA964" w14:textId="77777777" w:rsidR="0024030A" w:rsidRDefault="0024030A" w:rsidP="003A4D95">
            <w:pPr>
              <w:jc w:val="center"/>
            </w:pPr>
            <w:r>
              <w:t>E0</w:t>
            </w:r>
          </w:p>
        </w:tc>
        <w:tc>
          <w:tcPr>
            <w:tcW w:w="735" w:type="dxa"/>
          </w:tcPr>
          <w:p w14:paraId="59E83B3E" w14:textId="77777777" w:rsidR="0024030A" w:rsidRDefault="0024030A" w:rsidP="003A4D95">
            <w:pPr>
              <w:jc w:val="center"/>
            </w:pPr>
            <w:r>
              <w:t>P800</w:t>
            </w:r>
          </w:p>
        </w:tc>
        <w:tc>
          <w:tcPr>
            <w:tcW w:w="735" w:type="dxa"/>
            <w:gridSpan w:val="2"/>
          </w:tcPr>
          <w:p w14:paraId="3D35922A" w14:textId="77777777" w:rsidR="0024030A" w:rsidRDefault="0024030A" w:rsidP="003A4D95">
            <w:pPr>
              <w:jc w:val="center"/>
            </w:pPr>
            <w:r>
              <w:t>PP41</w:t>
            </w:r>
          </w:p>
        </w:tc>
        <w:tc>
          <w:tcPr>
            <w:tcW w:w="924" w:type="dxa"/>
          </w:tcPr>
          <w:p w14:paraId="4B352A87" w14:textId="77777777" w:rsidR="0024030A" w:rsidRPr="0050407E" w:rsidRDefault="0024030A" w:rsidP="003A4D95">
            <w:pPr>
              <w:jc w:val="center"/>
            </w:pPr>
            <w:r w:rsidRPr="0050407E">
              <w:rPr>
                <w:rFonts w:eastAsiaTheme="minorEastAsia"/>
              </w:rPr>
              <w:t>T1</w:t>
            </w:r>
          </w:p>
        </w:tc>
        <w:tc>
          <w:tcPr>
            <w:tcW w:w="810" w:type="dxa"/>
          </w:tcPr>
          <w:p w14:paraId="51AD4BA4" w14:textId="77777777" w:rsidR="0024030A" w:rsidRDefault="0024030A" w:rsidP="003A4D95">
            <w:pPr>
              <w:jc w:val="center"/>
            </w:pPr>
            <w:r>
              <w:t>TP33</w:t>
            </w:r>
          </w:p>
        </w:tc>
      </w:tr>
    </w:tbl>
    <w:p w14:paraId="1FFF7F9A" w14:textId="69D418E2" w:rsidR="0024030A" w:rsidRDefault="000B6BB0" w:rsidP="000B6BB0">
      <w:pPr>
        <w:pStyle w:val="H23G"/>
        <w:rPr>
          <w:lang w:val="en-US"/>
        </w:rPr>
      </w:pPr>
      <w:r>
        <w:tab/>
      </w:r>
      <w:r>
        <w:tab/>
      </w:r>
      <w:r w:rsidR="0024030A">
        <w:rPr>
          <w:rFonts w:hint="eastAsia"/>
        </w:rPr>
        <w:t>O</w:t>
      </w:r>
      <w:r w:rsidR="0024030A">
        <w:t>ption 2</w:t>
      </w:r>
    </w:p>
    <w:p w14:paraId="27CF083A" w14:textId="039B14BE" w:rsidR="0024030A" w:rsidRPr="004534D2" w:rsidRDefault="000B6BB0" w:rsidP="000B6BB0">
      <w:pPr>
        <w:pStyle w:val="SingleTxtG"/>
        <w:rPr>
          <w:lang w:val="en-US"/>
        </w:rPr>
      </w:pPr>
      <w:r>
        <w:rPr>
          <w:lang w:val="en-US"/>
        </w:rPr>
        <w:tab/>
        <w:t>11.</w:t>
      </w:r>
      <w:r>
        <w:rPr>
          <w:lang w:val="en-US"/>
        </w:rPr>
        <w:tab/>
      </w:r>
      <w:r w:rsidR="00361775">
        <w:rPr>
          <w:lang w:val="en-US"/>
        </w:rPr>
        <w:t>I</w:t>
      </w:r>
      <w:r w:rsidR="00361775" w:rsidRPr="004534D2">
        <w:rPr>
          <w:lang w:val="en-US"/>
        </w:rPr>
        <w:t>n the Dangerous Goods List of Chapter 3.2</w:t>
      </w:r>
      <w:r w:rsidR="00361775">
        <w:rPr>
          <w:lang w:val="en-US"/>
        </w:rPr>
        <w:t xml:space="preserve"> </w:t>
      </w:r>
      <w:r w:rsidR="0024030A" w:rsidRPr="004534D2">
        <w:rPr>
          <w:lang w:val="en-US"/>
        </w:rPr>
        <w:t>add a new entry to UN</w:t>
      </w:r>
      <w:r w:rsidR="00157284">
        <w:rPr>
          <w:lang w:val="en-US"/>
        </w:rPr>
        <w:t xml:space="preserve"> </w:t>
      </w:r>
      <w:r w:rsidR="0024030A" w:rsidRPr="004534D2">
        <w:rPr>
          <w:lang w:val="en-US"/>
        </w:rPr>
        <w:t>2803 as follows</w:t>
      </w:r>
      <w:r w:rsidR="006A5A68">
        <w:rPr>
          <w:lang w:val="en-US"/>
        </w:rPr>
        <w:t xml:space="preserve"> (</w:t>
      </w:r>
      <w:r w:rsidR="0024030A" w:rsidRPr="004534D2">
        <w:rPr>
          <w:lang w:val="en-US"/>
        </w:rPr>
        <w:t>introduc</w:t>
      </w:r>
      <w:r w:rsidR="006A5A68">
        <w:rPr>
          <w:lang w:val="en-US"/>
        </w:rPr>
        <w:t>ing</w:t>
      </w:r>
      <w:r w:rsidR="0024030A" w:rsidRPr="004534D2">
        <w:rPr>
          <w:lang w:val="en-US"/>
        </w:rPr>
        <w:t xml:space="preserve"> SP 366 </w:t>
      </w:r>
      <w:r w:rsidR="00157284">
        <w:rPr>
          <w:lang w:val="en-US"/>
        </w:rPr>
        <w:t xml:space="preserve">as </w:t>
      </w:r>
      <w:r w:rsidR="00BD0195">
        <w:rPr>
          <w:lang w:val="en-US"/>
        </w:rPr>
        <w:t>modified</w:t>
      </w:r>
      <w:r w:rsidR="00872359">
        <w:rPr>
          <w:lang w:val="en-US"/>
        </w:rPr>
        <w:t>)</w:t>
      </w:r>
      <w:r w:rsidR="007C2822">
        <w:rPr>
          <w:lang w:val="en-US"/>
        </w:rPr>
        <w:t>:</w:t>
      </w:r>
    </w:p>
    <w:tbl>
      <w:tblPr>
        <w:tblStyle w:val="TableGrid"/>
        <w:tblW w:w="0" w:type="auto"/>
        <w:tblInd w:w="-147" w:type="dxa"/>
        <w:tblLook w:val="04A0" w:firstRow="1" w:lastRow="0" w:firstColumn="1" w:lastColumn="0" w:noHBand="0" w:noVBand="1"/>
      </w:tblPr>
      <w:tblGrid>
        <w:gridCol w:w="744"/>
        <w:gridCol w:w="1744"/>
        <w:gridCol w:w="780"/>
        <w:gridCol w:w="869"/>
        <w:gridCol w:w="784"/>
        <w:gridCol w:w="856"/>
        <w:gridCol w:w="436"/>
        <w:gridCol w:w="406"/>
        <w:gridCol w:w="735"/>
        <w:gridCol w:w="22"/>
        <w:gridCol w:w="713"/>
        <w:gridCol w:w="902"/>
        <w:gridCol w:w="785"/>
      </w:tblGrid>
      <w:tr w:rsidR="0024030A" w14:paraId="268A08F9" w14:textId="77777777" w:rsidTr="000B6BB0">
        <w:tc>
          <w:tcPr>
            <w:tcW w:w="744" w:type="dxa"/>
            <w:vMerge w:val="restart"/>
          </w:tcPr>
          <w:p w14:paraId="32D815A7" w14:textId="77777777" w:rsidR="0024030A" w:rsidRDefault="0024030A" w:rsidP="003A4D95">
            <w:r>
              <w:rPr>
                <w:b/>
                <w:bCs/>
                <w:sz w:val="16"/>
                <w:szCs w:val="16"/>
              </w:rPr>
              <w:t>UN No.</w:t>
            </w:r>
          </w:p>
        </w:tc>
        <w:tc>
          <w:tcPr>
            <w:tcW w:w="1744" w:type="dxa"/>
            <w:vMerge w:val="restart"/>
          </w:tcPr>
          <w:p w14:paraId="26C366D6" w14:textId="77777777" w:rsidR="0024030A" w:rsidRDefault="0024030A" w:rsidP="003A4D95">
            <w:r>
              <w:rPr>
                <w:b/>
                <w:bCs/>
                <w:sz w:val="16"/>
                <w:szCs w:val="16"/>
              </w:rPr>
              <w:t>Name and description</w:t>
            </w:r>
          </w:p>
        </w:tc>
        <w:tc>
          <w:tcPr>
            <w:tcW w:w="780" w:type="dxa"/>
            <w:vMerge w:val="restart"/>
          </w:tcPr>
          <w:p w14:paraId="314CD7F1" w14:textId="77777777" w:rsidR="0024030A" w:rsidRDefault="0024030A" w:rsidP="003A4D95">
            <w:r>
              <w:rPr>
                <w:b/>
                <w:bCs/>
                <w:sz w:val="16"/>
                <w:szCs w:val="16"/>
              </w:rPr>
              <w:t>Class or division</w:t>
            </w:r>
          </w:p>
        </w:tc>
        <w:tc>
          <w:tcPr>
            <w:tcW w:w="869" w:type="dxa"/>
            <w:vMerge w:val="restart"/>
          </w:tcPr>
          <w:p w14:paraId="6C04F4DE" w14:textId="77777777" w:rsidR="0024030A" w:rsidRDefault="0024030A" w:rsidP="003A4D95">
            <w:r>
              <w:rPr>
                <w:b/>
                <w:bCs/>
                <w:sz w:val="16"/>
                <w:szCs w:val="16"/>
              </w:rPr>
              <w:t>Subsidiary hazard</w:t>
            </w:r>
          </w:p>
        </w:tc>
        <w:tc>
          <w:tcPr>
            <w:tcW w:w="784" w:type="dxa"/>
            <w:vMerge w:val="restart"/>
          </w:tcPr>
          <w:p w14:paraId="1532CAF5" w14:textId="77777777" w:rsidR="0024030A" w:rsidRDefault="0024030A" w:rsidP="003A4D95">
            <w:r>
              <w:rPr>
                <w:b/>
                <w:bCs/>
                <w:sz w:val="16"/>
                <w:szCs w:val="16"/>
              </w:rPr>
              <w:t>UN packing group</w:t>
            </w:r>
          </w:p>
        </w:tc>
        <w:tc>
          <w:tcPr>
            <w:tcW w:w="856" w:type="dxa"/>
            <w:vMerge w:val="restart"/>
          </w:tcPr>
          <w:p w14:paraId="58A0D878" w14:textId="77777777" w:rsidR="0024030A" w:rsidRDefault="0024030A" w:rsidP="003A4D95">
            <w:pPr>
              <w:rPr>
                <w:b/>
                <w:bCs/>
                <w:sz w:val="16"/>
                <w:szCs w:val="16"/>
              </w:rPr>
            </w:pPr>
            <w:r>
              <w:rPr>
                <w:b/>
                <w:bCs/>
                <w:sz w:val="16"/>
                <w:szCs w:val="16"/>
              </w:rPr>
              <w:t xml:space="preserve">Special </w:t>
            </w:r>
          </w:p>
          <w:p w14:paraId="2D9D47AA" w14:textId="77777777" w:rsidR="0024030A" w:rsidRDefault="0024030A" w:rsidP="003A4D95">
            <w:r>
              <w:rPr>
                <w:b/>
                <w:bCs/>
                <w:sz w:val="16"/>
                <w:szCs w:val="16"/>
              </w:rPr>
              <w:t>Provisions</w:t>
            </w:r>
          </w:p>
        </w:tc>
        <w:tc>
          <w:tcPr>
            <w:tcW w:w="842" w:type="dxa"/>
            <w:gridSpan w:val="2"/>
            <w:vMerge w:val="restart"/>
          </w:tcPr>
          <w:p w14:paraId="05D316F5" w14:textId="77777777" w:rsidR="0024030A" w:rsidRDefault="0024030A" w:rsidP="003A4D95">
            <w:r>
              <w:rPr>
                <w:b/>
                <w:bCs/>
                <w:sz w:val="16"/>
                <w:szCs w:val="16"/>
              </w:rPr>
              <w:t>Limited and excepted quantities</w:t>
            </w:r>
          </w:p>
        </w:tc>
        <w:tc>
          <w:tcPr>
            <w:tcW w:w="1470" w:type="dxa"/>
            <w:gridSpan w:val="3"/>
          </w:tcPr>
          <w:p w14:paraId="0E247273" w14:textId="77777777" w:rsidR="0024030A" w:rsidRDefault="0024030A" w:rsidP="003A4D95">
            <w:pPr>
              <w:rPr>
                <w:b/>
                <w:bCs/>
                <w:sz w:val="16"/>
                <w:szCs w:val="16"/>
              </w:rPr>
            </w:pPr>
            <w:r>
              <w:rPr>
                <w:b/>
                <w:bCs/>
                <w:sz w:val="16"/>
                <w:szCs w:val="16"/>
              </w:rPr>
              <w:t xml:space="preserve">Packagings </w:t>
            </w:r>
          </w:p>
          <w:p w14:paraId="27475728" w14:textId="77777777" w:rsidR="0024030A" w:rsidRDefault="0024030A" w:rsidP="003A4D95">
            <w:r>
              <w:rPr>
                <w:b/>
                <w:bCs/>
                <w:sz w:val="16"/>
                <w:szCs w:val="16"/>
              </w:rPr>
              <w:t>and IBCs</w:t>
            </w:r>
          </w:p>
        </w:tc>
        <w:tc>
          <w:tcPr>
            <w:tcW w:w="1687" w:type="dxa"/>
            <w:gridSpan w:val="2"/>
          </w:tcPr>
          <w:p w14:paraId="76E767E7" w14:textId="77777777" w:rsidR="0024030A" w:rsidRDefault="0024030A" w:rsidP="003A4D95">
            <w:r>
              <w:rPr>
                <w:b/>
                <w:bCs/>
                <w:sz w:val="16"/>
                <w:szCs w:val="16"/>
              </w:rPr>
              <w:t>Portable tanks and bulk containers</w:t>
            </w:r>
          </w:p>
        </w:tc>
      </w:tr>
      <w:tr w:rsidR="0024030A" w14:paraId="7A9A790E" w14:textId="77777777" w:rsidTr="000B6BB0">
        <w:tc>
          <w:tcPr>
            <w:tcW w:w="744" w:type="dxa"/>
            <w:vMerge/>
          </w:tcPr>
          <w:p w14:paraId="1886FC45" w14:textId="77777777" w:rsidR="0024030A" w:rsidRDefault="0024030A" w:rsidP="003A4D95"/>
        </w:tc>
        <w:tc>
          <w:tcPr>
            <w:tcW w:w="1744" w:type="dxa"/>
            <w:vMerge/>
          </w:tcPr>
          <w:p w14:paraId="0D88A54E" w14:textId="77777777" w:rsidR="0024030A" w:rsidRDefault="0024030A" w:rsidP="003A4D95"/>
        </w:tc>
        <w:tc>
          <w:tcPr>
            <w:tcW w:w="780" w:type="dxa"/>
            <w:vMerge/>
          </w:tcPr>
          <w:p w14:paraId="4E3A6AB1" w14:textId="77777777" w:rsidR="0024030A" w:rsidRDefault="0024030A" w:rsidP="003A4D95"/>
        </w:tc>
        <w:tc>
          <w:tcPr>
            <w:tcW w:w="869" w:type="dxa"/>
            <w:vMerge/>
          </w:tcPr>
          <w:p w14:paraId="321BDB79" w14:textId="77777777" w:rsidR="0024030A" w:rsidRDefault="0024030A" w:rsidP="003A4D95"/>
        </w:tc>
        <w:tc>
          <w:tcPr>
            <w:tcW w:w="784" w:type="dxa"/>
            <w:vMerge/>
          </w:tcPr>
          <w:p w14:paraId="71BF7C42" w14:textId="77777777" w:rsidR="0024030A" w:rsidRDefault="0024030A" w:rsidP="003A4D95"/>
        </w:tc>
        <w:tc>
          <w:tcPr>
            <w:tcW w:w="856" w:type="dxa"/>
            <w:vMerge/>
          </w:tcPr>
          <w:p w14:paraId="5A0EDEDF" w14:textId="77777777" w:rsidR="0024030A" w:rsidRDefault="0024030A" w:rsidP="003A4D95"/>
        </w:tc>
        <w:tc>
          <w:tcPr>
            <w:tcW w:w="842" w:type="dxa"/>
            <w:gridSpan w:val="2"/>
            <w:vMerge/>
          </w:tcPr>
          <w:p w14:paraId="0788E443" w14:textId="77777777" w:rsidR="0024030A" w:rsidRDefault="0024030A" w:rsidP="003A4D95"/>
        </w:tc>
        <w:tc>
          <w:tcPr>
            <w:tcW w:w="757" w:type="dxa"/>
            <w:gridSpan w:val="2"/>
          </w:tcPr>
          <w:p w14:paraId="29A98A40" w14:textId="77777777" w:rsidR="0024030A" w:rsidRDefault="0024030A" w:rsidP="003A4D95">
            <w:r>
              <w:rPr>
                <w:b/>
                <w:bCs/>
                <w:sz w:val="16"/>
                <w:szCs w:val="16"/>
              </w:rPr>
              <w:t>Packing instruction</w:t>
            </w:r>
          </w:p>
        </w:tc>
        <w:tc>
          <w:tcPr>
            <w:tcW w:w="713" w:type="dxa"/>
          </w:tcPr>
          <w:p w14:paraId="68297DA8" w14:textId="77777777" w:rsidR="0024030A" w:rsidRDefault="0024030A" w:rsidP="003A4D95">
            <w:r>
              <w:rPr>
                <w:b/>
                <w:bCs/>
                <w:sz w:val="16"/>
                <w:szCs w:val="16"/>
              </w:rPr>
              <w:t>Special packing provisions</w:t>
            </w:r>
          </w:p>
        </w:tc>
        <w:tc>
          <w:tcPr>
            <w:tcW w:w="902" w:type="dxa"/>
          </w:tcPr>
          <w:p w14:paraId="1AC69004" w14:textId="77777777" w:rsidR="0024030A" w:rsidRDefault="0024030A" w:rsidP="003A4D95">
            <w:r>
              <w:rPr>
                <w:b/>
                <w:bCs/>
                <w:sz w:val="16"/>
                <w:szCs w:val="16"/>
              </w:rPr>
              <w:t>Instructions</w:t>
            </w:r>
          </w:p>
        </w:tc>
        <w:tc>
          <w:tcPr>
            <w:tcW w:w="785" w:type="dxa"/>
          </w:tcPr>
          <w:p w14:paraId="4E8FB834" w14:textId="77777777" w:rsidR="0024030A" w:rsidRDefault="0024030A" w:rsidP="003A4D95">
            <w:r>
              <w:rPr>
                <w:b/>
                <w:bCs/>
                <w:sz w:val="16"/>
                <w:szCs w:val="16"/>
              </w:rPr>
              <w:t>Special provisions</w:t>
            </w:r>
          </w:p>
        </w:tc>
      </w:tr>
      <w:tr w:rsidR="0024030A" w14:paraId="7A01526B" w14:textId="77777777" w:rsidTr="000B6BB0">
        <w:tc>
          <w:tcPr>
            <w:tcW w:w="744" w:type="dxa"/>
          </w:tcPr>
          <w:p w14:paraId="132309F2" w14:textId="77777777" w:rsidR="0024030A" w:rsidRPr="00646D20" w:rsidRDefault="0024030A" w:rsidP="003A4D95">
            <w:pPr>
              <w:jc w:val="center"/>
              <w:rPr>
                <w:b/>
                <w:u w:val="single"/>
              </w:rPr>
            </w:pPr>
            <w:r w:rsidRPr="00646D20">
              <w:rPr>
                <w:b/>
                <w:u w:val="single"/>
              </w:rPr>
              <w:t>2803</w:t>
            </w:r>
          </w:p>
        </w:tc>
        <w:tc>
          <w:tcPr>
            <w:tcW w:w="1744" w:type="dxa"/>
          </w:tcPr>
          <w:p w14:paraId="42414621" w14:textId="77777777" w:rsidR="0024030A" w:rsidRPr="0050407E" w:rsidRDefault="0024030A" w:rsidP="003A4D95">
            <w:pPr>
              <w:jc w:val="both"/>
              <w:rPr>
                <w:rFonts w:eastAsiaTheme="minorEastAsia"/>
                <w:b/>
                <w:u w:val="single"/>
                <w:lang w:eastAsia="zh-CN"/>
              </w:rPr>
            </w:pPr>
            <w:r w:rsidRPr="0050407E">
              <w:rPr>
                <w:rFonts w:eastAsiaTheme="minorEastAsia"/>
                <w:b/>
                <w:u w:val="single"/>
                <w:lang w:eastAsia="zh-CN"/>
              </w:rPr>
              <w:t>GALLIUM CONTAINED IN</w:t>
            </w:r>
          </w:p>
          <w:p w14:paraId="5D2C4930" w14:textId="77777777" w:rsidR="0024030A" w:rsidRPr="00646D20" w:rsidRDefault="0024030A" w:rsidP="003A4D95">
            <w:pPr>
              <w:jc w:val="both"/>
              <w:rPr>
                <w:b/>
                <w:u w:val="single"/>
                <w:lang w:eastAsia="zh-CN"/>
              </w:rPr>
            </w:pPr>
            <w:r w:rsidRPr="0050407E">
              <w:rPr>
                <w:rFonts w:eastAsiaTheme="minorEastAsia"/>
                <w:b/>
                <w:u w:val="single"/>
                <w:lang w:eastAsia="zh-CN"/>
              </w:rPr>
              <w:t>MANUFACTURED ARTICLES</w:t>
            </w:r>
          </w:p>
        </w:tc>
        <w:tc>
          <w:tcPr>
            <w:tcW w:w="780" w:type="dxa"/>
          </w:tcPr>
          <w:p w14:paraId="0700912E" w14:textId="77777777" w:rsidR="0024030A" w:rsidRPr="00646D20" w:rsidRDefault="0024030A" w:rsidP="003A4D95">
            <w:pPr>
              <w:jc w:val="center"/>
              <w:rPr>
                <w:b/>
                <w:u w:val="single"/>
              </w:rPr>
            </w:pPr>
            <w:r w:rsidRPr="00646D20">
              <w:rPr>
                <w:b/>
                <w:u w:val="single"/>
              </w:rPr>
              <w:t>8</w:t>
            </w:r>
          </w:p>
        </w:tc>
        <w:tc>
          <w:tcPr>
            <w:tcW w:w="869" w:type="dxa"/>
          </w:tcPr>
          <w:p w14:paraId="3BCE43EA" w14:textId="77777777" w:rsidR="0024030A" w:rsidRPr="00646D20" w:rsidRDefault="0024030A" w:rsidP="003A4D95">
            <w:pPr>
              <w:jc w:val="center"/>
              <w:rPr>
                <w:b/>
                <w:u w:val="single"/>
              </w:rPr>
            </w:pPr>
          </w:p>
        </w:tc>
        <w:tc>
          <w:tcPr>
            <w:tcW w:w="784" w:type="dxa"/>
          </w:tcPr>
          <w:p w14:paraId="7310364E" w14:textId="77777777" w:rsidR="0024030A" w:rsidRPr="00646D20" w:rsidRDefault="0024030A" w:rsidP="003A4D95">
            <w:pPr>
              <w:jc w:val="center"/>
              <w:rPr>
                <w:b/>
                <w:u w:val="single"/>
              </w:rPr>
            </w:pPr>
          </w:p>
        </w:tc>
        <w:tc>
          <w:tcPr>
            <w:tcW w:w="856" w:type="dxa"/>
          </w:tcPr>
          <w:p w14:paraId="5000476B" w14:textId="77777777" w:rsidR="0024030A" w:rsidRPr="00646D20" w:rsidRDefault="0024030A" w:rsidP="003A4D95">
            <w:pPr>
              <w:jc w:val="center"/>
              <w:rPr>
                <w:b/>
                <w:u w:val="single"/>
              </w:rPr>
            </w:pPr>
            <w:r w:rsidRPr="00646D20">
              <w:rPr>
                <w:b/>
                <w:u w:val="single"/>
              </w:rPr>
              <w:t>366</w:t>
            </w:r>
          </w:p>
        </w:tc>
        <w:tc>
          <w:tcPr>
            <w:tcW w:w="436" w:type="dxa"/>
          </w:tcPr>
          <w:p w14:paraId="35C0C217" w14:textId="77777777" w:rsidR="0024030A" w:rsidRPr="00646D20" w:rsidRDefault="0024030A" w:rsidP="003A4D95">
            <w:pPr>
              <w:jc w:val="center"/>
              <w:rPr>
                <w:b/>
                <w:u w:val="single"/>
              </w:rPr>
            </w:pPr>
            <w:r w:rsidRPr="00646D20">
              <w:rPr>
                <w:b/>
                <w:u w:val="single"/>
              </w:rPr>
              <w:t>5kg</w:t>
            </w:r>
          </w:p>
        </w:tc>
        <w:tc>
          <w:tcPr>
            <w:tcW w:w="406" w:type="dxa"/>
          </w:tcPr>
          <w:p w14:paraId="3EE2CD9D" w14:textId="77777777" w:rsidR="0024030A" w:rsidRPr="00646D20" w:rsidRDefault="0024030A" w:rsidP="003A4D95">
            <w:pPr>
              <w:jc w:val="center"/>
              <w:rPr>
                <w:b/>
                <w:u w:val="single"/>
              </w:rPr>
            </w:pPr>
            <w:r w:rsidRPr="00646D20">
              <w:rPr>
                <w:b/>
                <w:u w:val="single"/>
              </w:rPr>
              <w:t>E0</w:t>
            </w:r>
          </w:p>
        </w:tc>
        <w:tc>
          <w:tcPr>
            <w:tcW w:w="735" w:type="dxa"/>
          </w:tcPr>
          <w:p w14:paraId="1DF6D109" w14:textId="77777777" w:rsidR="0024030A" w:rsidRPr="00646D20" w:rsidRDefault="0024030A" w:rsidP="003A4D95">
            <w:pPr>
              <w:jc w:val="center"/>
              <w:rPr>
                <w:b/>
                <w:u w:val="single"/>
              </w:rPr>
            </w:pPr>
            <w:r w:rsidRPr="00646D20">
              <w:rPr>
                <w:b/>
                <w:u w:val="single"/>
              </w:rPr>
              <w:t>P003</w:t>
            </w:r>
          </w:p>
        </w:tc>
        <w:tc>
          <w:tcPr>
            <w:tcW w:w="735" w:type="dxa"/>
            <w:gridSpan w:val="2"/>
          </w:tcPr>
          <w:p w14:paraId="20BE074F" w14:textId="77777777" w:rsidR="0024030A" w:rsidRDefault="0024030A" w:rsidP="003A4D95">
            <w:pPr>
              <w:jc w:val="center"/>
              <w:rPr>
                <w:b/>
                <w:color w:val="000000" w:themeColor="text1"/>
                <w:u w:val="single"/>
              </w:rPr>
            </w:pPr>
            <w:r w:rsidRPr="00646D20">
              <w:rPr>
                <w:b/>
                <w:color w:val="000000" w:themeColor="text1"/>
                <w:u w:val="single"/>
              </w:rPr>
              <w:t>PP90</w:t>
            </w:r>
          </w:p>
          <w:p w14:paraId="352B2EA7" w14:textId="77777777" w:rsidR="0024030A" w:rsidRPr="00646D20" w:rsidRDefault="0024030A" w:rsidP="003A4D95">
            <w:pPr>
              <w:jc w:val="center"/>
              <w:rPr>
                <w:b/>
                <w:color w:val="000000" w:themeColor="text1"/>
                <w:highlight w:val="yellow"/>
                <w:u w:val="single"/>
              </w:rPr>
            </w:pPr>
            <w:r w:rsidRPr="001C2EA1">
              <w:rPr>
                <w:b/>
                <w:color w:val="000000" w:themeColor="text1"/>
                <w:u w:val="single"/>
              </w:rPr>
              <w:t>PP41</w:t>
            </w:r>
          </w:p>
        </w:tc>
        <w:tc>
          <w:tcPr>
            <w:tcW w:w="902" w:type="dxa"/>
          </w:tcPr>
          <w:p w14:paraId="54A9850C" w14:textId="77777777" w:rsidR="0024030A" w:rsidRPr="00C26759" w:rsidRDefault="0024030A" w:rsidP="003A4D95">
            <w:pPr>
              <w:jc w:val="center"/>
              <w:rPr>
                <w:highlight w:val="yellow"/>
              </w:rPr>
            </w:pPr>
          </w:p>
        </w:tc>
        <w:tc>
          <w:tcPr>
            <w:tcW w:w="785" w:type="dxa"/>
          </w:tcPr>
          <w:p w14:paraId="06620909" w14:textId="77777777" w:rsidR="0024030A" w:rsidRPr="00C26759" w:rsidRDefault="0024030A" w:rsidP="003A4D95">
            <w:pPr>
              <w:jc w:val="center"/>
              <w:rPr>
                <w:highlight w:val="yellow"/>
              </w:rPr>
            </w:pPr>
          </w:p>
        </w:tc>
      </w:tr>
    </w:tbl>
    <w:p w14:paraId="57F43B40" w14:textId="77777777" w:rsidR="000B6BB0" w:rsidRDefault="000B6BB0" w:rsidP="000B6BB0">
      <w:pPr>
        <w:pStyle w:val="SingleTxtG"/>
        <w:rPr>
          <w:lang w:val="en-US"/>
        </w:rPr>
      </w:pPr>
    </w:p>
    <w:p w14:paraId="29462FED" w14:textId="77777777" w:rsidR="000B6BB0" w:rsidRDefault="000B6BB0">
      <w:pPr>
        <w:suppressAutoHyphens w:val="0"/>
        <w:kinsoku/>
        <w:overflowPunct/>
        <w:autoSpaceDE/>
        <w:autoSpaceDN/>
        <w:adjustRightInd/>
        <w:snapToGrid/>
        <w:spacing w:after="200" w:line="276" w:lineRule="auto"/>
        <w:rPr>
          <w:lang w:val="en-US"/>
        </w:rPr>
      </w:pPr>
      <w:r>
        <w:rPr>
          <w:lang w:val="en-US"/>
        </w:rPr>
        <w:br w:type="page"/>
      </w:r>
    </w:p>
    <w:p w14:paraId="333277EE" w14:textId="2576D955" w:rsidR="0024030A" w:rsidRPr="004534D2" w:rsidRDefault="000B6BB0" w:rsidP="000B6BB0">
      <w:pPr>
        <w:pStyle w:val="SingleTxtG"/>
        <w:rPr>
          <w:lang w:val="en-US"/>
        </w:rPr>
      </w:pPr>
      <w:r>
        <w:rPr>
          <w:lang w:val="en-US"/>
        </w:rPr>
        <w:lastRenderedPageBreak/>
        <w:tab/>
        <w:t>12.</w:t>
      </w:r>
      <w:r>
        <w:rPr>
          <w:lang w:val="en-US"/>
        </w:rPr>
        <w:tab/>
      </w:r>
      <w:r w:rsidR="00872359">
        <w:rPr>
          <w:lang w:val="en-US"/>
        </w:rPr>
        <w:t>I</w:t>
      </w:r>
      <w:r w:rsidR="0024030A">
        <w:rPr>
          <w:rFonts w:hint="eastAsia"/>
          <w:lang w:val="en-US"/>
        </w:rPr>
        <w:t>n</w:t>
      </w:r>
      <w:r w:rsidR="0024030A">
        <w:rPr>
          <w:lang w:val="en-US"/>
        </w:rPr>
        <w:t xml:space="preserve"> packing instruction P003,</w:t>
      </w:r>
      <w:r w:rsidR="0024030A" w:rsidRPr="004534D2">
        <w:rPr>
          <w:lang w:val="en-US"/>
        </w:rPr>
        <w:t xml:space="preserve"> </w:t>
      </w:r>
      <w:r w:rsidR="00872359">
        <w:rPr>
          <w:lang w:val="en-US"/>
        </w:rPr>
        <w:t xml:space="preserve">add </w:t>
      </w:r>
      <w:r w:rsidR="0024030A" w:rsidRPr="001C2EA1">
        <w:rPr>
          <w:lang w:val="en-US"/>
        </w:rPr>
        <w:t>special packaging provision</w:t>
      </w:r>
      <w:r w:rsidR="0024030A">
        <w:rPr>
          <w:lang w:val="en-US"/>
        </w:rPr>
        <w:t xml:space="preserve"> PP</w:t>
      </w:r>
      <w:r w:rsidR="0024030A" w:rsidRPr="001C2EA1">
        <w:rPr>
          <w:lang w:val="en-US"/>
        </w:rPr>
        <w:t>41 and</w:t>
      </w:r>
      <w:r w:rsidR="0024030A">
        <w:rPr>
          <w:lang w:val="en-US"/>
        </w:rPr>
        <w:t xml:space="preserve"> </w:t>
      </w:r>
      <w:r w:rsidR="001518E2">
        <w:rPr>
          <w:lang w:val="en-US"/>
        </w:rPr>
        <w:t>amend</w:t>
      </w:r>
      <w:r w:rsidR="0024030A" w:rsidRPr="004534D2">
        <w:rPr>
          <w:lang w:val="en-US"/>
        </w:rPr>
        <w:t xml:space="preserve"> special packaging provision PP90 as follows</w:t>
      </w:r>
      <w:r w:rsidR="00A532D4">
        <w:rPr>
          <w:lang w:val="en-US"/>
        </w:rPr>
        <w:t>:</w:t>
      </w:r>
    </w:p>
    <w:tbl>
      <w:tblPr>
        <w:tblStyle w:val="TableGrid"/>
        <w:tblW w:w="0" w:type="auto"/>
        <w:tblInd w:w="991" w:type="dxa"/>
        <w:tblLook w:val="04A0" w:firstRow="1" w:lastRow="0" w:firstColumn="1" w:lastColumn="0" w:noHBand="0" w:noVBand="1"/>
      </w:tblPr>
      <w:tblGrid>
        <w:gridCol w:w="8135"/>
      </w:tblGrid>
      <w:tr w:rsidR="0024030A" w:rsidRPr="00954BE3" w14:paraId="6C99E0D7" w14:textId="77777777" w:rsidTr="003A4D95">
        <w:trPr>
          <w:trHeight w:val="340"/>
        </w:trPr>
        <w:tc>
          <w:tcPr>
            <w:tcW w:w="8135" w:type="dxa"/>
          </w:tcPr>
          <w:p w14:paraId="322FBE07" w14:textId="77777777" w:rsidR="0024030A" w:rsidRPr="00954BE3" w:rsidRDefault="0024030A" w:rsidP="003A4D95">
            <w:pPr>
              <w:pStyle w:val="ListParagraph"/>
              <w:jc w:val="both"/>
              <w:rPr>
                <w:b/>
              </w:rPr>
            </w:pPr>
            <w:r w:rsidRPr="00954BE3">
              <w:rPr>
                <w:b/>
              </w:rPr>
              <w:t>P</w:t>
            </w:r>
            <w:r>
              <w:rPr>
                <w:b/>
              </w:rPr>
              <w:t>003</w:t>
            </w:r>
            <w:r w:rsidRPr="00954BE3">
              <w:rPr>
                <w:b/>
              </w:rPr>
              <w:t xml:space="preserve">                                          </w:t>
            </w:r>
            <w:r>
              <w:rPr>
                <w:b/>
              </w:rPr>
              <w:t xml:space="preserve">            </w:t>
            </w:r>
            <w:r w:rsidRPr="008E203E">
              <w:rPr>
                <w:b/>
              </w:rPr>
              <w:t xml:space="preserve"> </w:t>
            </w:r>
            <w:r w:rsidRPr="008E203E">
              <w:rPr>
                <w:rFonts w:eastAsiaTheme="minorEastAsia"/>
                <w:b/>
                <w:lang w:eastAsia="zh-CN"/>
              </w:rPr>
              <w:t xml:space="preserve">PACKING INSTRUCTION </w:t>
            </w:r>
            <w:r w:rsidRPr="008E203E">
              <w:rPr>
                <w:b/>
              </w:rPr>
              <w:t xml:space="preserve"> </w:t>
            </w:r>
            <w:r w:rsidRPr="00954BE3">
              <w:rPr>
                <w:b/>
              </w:rPr>
              <w:t xml:space="preserve">                  </w:t>
            </w:r>
            <w:r>
              <w:rPr>
                <w:b/>
              </w:rPr>
              <w:t xml:space="preserve">                             P003</w:t>
            </w:r>
          </w:p>
        </w:tc>
      </w:tr>
      <w:tr w:rsidR="0024030A" w14:paraId="2EF5CCA9" w14:textId="77777777" w:rsidTr="003A4D95">
        <w:trPr>
          <w:trHeight w:val="340"/>
        </w:trPr>
        <w:tc>
          <w:tcPr>
            <w:tcW w:w="8135" w:type="dxa"/>
          </w:tcPr>
          <w:p w14:paraId="66539130" w14:textId="77777777" w:rsidR="0024030A" w:rsidRDefault="0024030A" w:rsidP="003A4D95">
            <w:pPr>
              <w:pStyle w:val="ListParagraph"/>
              <w:ind w:right="1134"/>
              <w:rPr>
                <w:lang w:eastAsia="zh-CN"/>
              </w:rPr>
            </w:pPr>
            <w:r>
              <w:rPr>
                <w:rFonts w:ascii="SimSun" w:eastAsia="SimSun" w:hAnsi="SimSun" w:cs="Microsoft YaHei"/>
                <w:lang w:eastAsia="zh-CN"/>
              </w:rPr>
              <w:t>…</w:t>
            </w:r>
          </w:p>
        </w:tc>
      </w:tr>
      <w:tr w:rsidR="0024030A" w:rsidRPr="00954BE3" w14:paraId="59C4CA1B" w14:textId="77777777" w:rsidTr="003A4D95">
        <w:trPr>
          <w:trHeight w:val="340"/>
        </w:trPr>
        <w:tc>
          <w:tcPr>
            <w:tcW w:w="8135" w:type="dxa"/>
            <w:tcBorders>
              <w:bottom w:val="single" w:sz="4" w:space="0" w:color="auto"/>
            </w:tcBorders>
          </w:tcPr>
          <w:p w14:paraId="26B92A4A" w14:textId="77777777" w:rsidR="0024030A" w:rsidRPr="008E203E" w:rsidRDefault="0024030A" w:rsidP="003A4D95">
            <w:pPr>
              <w:pStyle w:val="ListParagraph"/>
              <w:rPr>
                <w:b/>
                <w:lang w:eastAsia="zh-CN"/>
              </w:rPr>
            </w:pPr>
            <w:r w:rsidRPr="008E203E">
              <w:rPr>
                <w:rFonts w:eastAsiaTheme="minorEastAsia"/>
                <w:b/>
                <w:lang w:eastAsia="zh-CN"/>
              </w:rPr>
              <w:t>Special packing provisions</w:t>
            </w:r>
            <w:r w:rsidRPr="008E203E">
              <w:rPr>
                <w:b/>
                <w:lang w:eastAsia="zh-CN"/>
              </w:rPr>
              <w:t>:</w:t>
            </w:r>
          </w:p>
          <w:p w14:paraId="289829E2" w14:textId="77777777" w:rsidR="0024030A" w:rsidRDefault="0024030A" w:rsidP="00C95FC3">
            <w:pPr>
              <w:pStyle w:val="ListParagraph"/>
              <w:ind w:right="1134"/>
              <w:rPr>
                <w:rFonts w:eastAsiaTheme="minorEastAsia"/>
                <w:lang w:eastAsia="zh-CN"/>
              </w:rPr>
            </w:pPr>
            <w:r>
              <w:rPr>
                <w:rFonts w:eastAsiaTheme="minorEastAsia"/>
                <w:lang w:eastAsia="zh-CN"/>
              </w:rPr>
              <w:t>…</w:t>
            </w:r>
          </w:p>
          <w:p w14:paraId="708B8423" w14:textId="77777777" w:rsidR="0024030A" w:rsidRPr="00F52436" w:rsidRDefault="0024030A" w:rsidP="00C95FC3">
            <w:pPr>
              <w:spacing w:beforeLines="100" w:before="240"/>
              <w:ind w:left="140" w:right="53"/>
              <w:jc w:val="both"/>
              <w:rPr>
                <w:b/>
                <w:u w:val="single"/>
                <w:lang w:eastAsia="zh-CN"/>
              </w:rPr>
            </w:pPr>
            <w:r w:rsidRPr="001C2EA1">
              <w:rPr>
                <w:b/>
                <w:u w:val="single"/>
                <w:lang w:eastAsia="zh-CN"/>
              </w:rPr>
              <w:t>PP41</w:t>
            </w:r>
            <w:r w:rsidRPr="00F51C0C">
              <w:rPr>
                <w:b/>
                <w:u w:val="single"/>
                <w:lang w:eastAsia="zh-CN"/>
              </w:rPr>
              <w:t xml:space="preserve"> For UN 2803, when it is necessary to transport Gallium contained in manufactured articles at low temperatures in order to maintain it in a completely solid state, the above packagings may be overpacked in a strong, water-resistant outer packaging which contains dry ice or other means of refrigeration. If a refrigerant is used, </w:t>
            </w:r>
            <w:proofErr w:type="gramStart"/>
            <w:r w:rsidRPr="00F51C0C">
              <w:rPr>
                <w:b/>
                <w:u w:val="single"/>
                <w:lang w:eastAsia="zh-CN"/>
              </w:rPr>
              <w:t>all of</w:t>
            </w:r>
            <w:proofErr w:type="gramEnd"/>
            <w:r w:rsidRPr="00F51C0C">
              <w:rPr>
                <w:b/>
                <w:u w:val="single"/>
                <w:lang w:eastAsia="zh-CN"/>
              </w:rPr>
              <w:t xml:space="preserve"> the </w:t>
            </w:r>
            <w:r w:rsidRPr="00C95FC3">
              <w:rPr>
                <w:rFonts w:asciiTheme="majorBidi" w:hAnsiTheme="majorBidi" w:cstheme="majorBidi"/>
                <w:b/>
                <w:u w:val="single"/>
                <w:lang w:eastAsia="zh-CN"/>
              </w:rPr>
              <w:t>above</w:t>
            </w:r>
            <w:r w:rsidRPr="00F51C0C">
              <w:rPr>
                <w:b/>
                <w:u w:val="single"/>
                <w:lang w:eastAsia="zh-CN"/>
              </w:rPr>
              <w:t xml:space="preserve"> materials used in the packaging of gallium contained in manufactured articles shall be chemically and physically resistant to the refrigerant and shall have impact resistance at the low temperatures of the refrigerant employed. If dry ice is used, the outer packaging shall permit the release of carbon dioxide gas</w:t>
            </w:r>
            <w:r w:rsidRPr="00FA3EBD">
              <w:rPr>
                <w:u w:val="single"/>
                <w:lang w:eastAsia="zh-CN"/>
              </w:rPr>
              <w:t>.</w:t>
            </w:r>
          </w:p>
          <w:p w14:paraId="7E14C95C" w14:textId="187C4D15" w:rsidR="0024030A" w:rsidRDefault="0024030A" w:rsidP="00C95FC3">
            <w:pPr>
              <w:spacing w:beforeLines="100" w:before="240"/>
              <w:ind w:left="140" w:right="53"/>
              <w:jc w:val="both"/>
            </w:pPr>
            <w:r w:rsidRPr="000A0229">
              <w:rPr>
                <w:rFonts w:hint="eastAsia"/>
                <w:b/>
                <w:lang w:eastAsia="zh-CN"/>
              </w:rPr>
              <w:t>P</w:t>
            </w:r>
            <w:r w:rsidRPr="000A0229">
              <w:rPr>
                <w:b/>
                <w:lang w:eastAsia="zh-CN"/>
              </w:rPr>
              <w:t>P90</w:t>
            </w:r>
            <w:r>
              <w:rPr>
                <w:b/>
                <w:lang w:eastAsia="zh-CN"/>
              </w:rPr>
              <w:t xml:space="preserve"> </w:t>
            </w:r>
            <w:r w:rsidRPr="00C74F7E">
              <w:rPr>
                <w:lang w:eastAsia="zh-CN"/>
              </w:rPr>
              <w:t>For UN 3506</w:t>
            </w:r>
            <w:r>
              <w:rPr>
                <w:lang w:eastAsia="zh-CN"/>
              </w:rPr>
              <w:t xml:space="preserve"> </w:t>
            </w:r>
            <w:r>
              <w:rPr>
                <w:b/>
                <w:u w:val="single"/>
                <w:lang w:eastAsia="zh-CN"/>
              </w:rPr>
              <w:t>and UN</w:t>
            </w:r>
            <w:r w:rsidR="00B14D0C">
              <w:rPr>
                <w:b/>
                <w:u w:val="single"/>
                <w:lang w:eastAsia="zh-CN"/>
              </w:rPr>
              <w:t xml:space="preserve"> </w:t>
            </w:r>
            <w:r>
              <w:rPr>
                <w:b/>
                <w:u w:val="single"/>
                <w:lang w:eastAsia="zh-CN"/>
              </w:rPr>
              <w:t>2803</w:t>
            </w:r>
            <w:r w:rsidRPr="00C74F7E">
              <w:rPr>
                <w:lang w:eastAsia="zh-CN"/>
              </w:rPr>
              <w:t>, sealed inner liners or bags of strong leak-proof and puncture resistant material impervious</w:t>
            </w:r>
            <w:r>
              <w:rPr>
                <w:lang w:eastAsia="zh-CN"/>
              </w:rPr>
              <w:t xml:space="preserve"> </w:t>
            </w:r>
            <w:r w:rsidRPr="00C74F7E">
              <w:rPr>
                <w:lang w:eastAsia="zh-CN"/>
              </w:rPr>
              <w:t>to mercury</w:t>
            </w:r>
            <w:r>
              <w:rPr>
                <w:lang w:eastAsia="zh-CN"/>
              </w:rPr>
              <w:t xml:space="preserve"> </w:t>
            </w:r>
            <w:r w:rsidRPr="00C74F7E">
              <w:rPr>
                <w:b/>
                <w:u w:val="single"/>
                <w:lang w:eastAsia="zh-CN"/>
              </w:rPr>
              <w:t>or gallium</w:t>
            </w:r>
            <w:r w:rsidRPr="00C74F7E">
              <w:rPr>
                <w:lang w:eastAsia="zh-CN"/>
              </w:rPr>
              <w:t xml:space="preserve"> which will prevent escape of the substance from the package irrespective of the position or the</w:t>
            </w:r>
            <w:r>
              <w:rPr>
                <w:lang w:eastAsia="zh-CN"/>
              </w:rPr>
              <w:t xml:space="preserve"> </w:t>
            </w:r>
            <w:r w:rsidRPr="00C74F7E">
              <w:rPr>
                <w:lang w:eastAsia="zh-CN"/>
              </w:rPr>
              <w:t xml:space="preserve">orientation of the package shall be used. </w:t>
            </w:r>
            <w:r w:rsidRPr="00C74F7E">
              <w:t>For air transport additional requirements may apply.</w:t>
            </w:r>
          </w:p>
          <w:p w14:paraId="3964595B" w14:textId="77777777" w:rsidR="0024030A" w:rsidRPr="00954BE3" w:rsidRDefault="0024030A" w:rsidP="003A4D95">
            <w:pPr>
              <w:pStyle w:val="ListParagraph"/>
              <w:ind w:right="1134"/>
              <w:rPr>
                <w:rFonts w:eastAsiaTheme="minorEastAsia"/>
                <w:lang w:eastAsia="zh-CN"/>
              </w:rPr>
            </w:pPr>
            <w:r>
              <w:rPr>
                <w:rFonts w:eastAsiaTheme="minorEastAsia"/>
                <w:lang w:eastAsia="zh-CN"/>
              </w:rPr>
              <w:t>…</w:t>
            </w:r>
          </w:p>
        </w:tc>
      </w:tr>
    </w:tbl>
    <w:p w14:paraId="6C5323D4" w14:textId="2B4B437B" w:rsidR="0024030A" w:rsidRPr="004534D2" w:rsidRDefault="000B6BB0" w:rsidP="000B6BB0">
      <w:pPr>
        <w:pStyle w:val="SingleTxtG"/>
        <w:spacing w:before="240"/>
      </w:pPr>
      <w:r>
        <w:rPr>
          <w:lang w:val="en-US"/>
        </w:rPr>
        <w:tab/>
        <w:t>13.</w:t>
      </w:r>
      <w:r>
        <w:rPr>
          <w:lang w:val="en-US"/>
        </w:rPr>
        <w:tab/>
      </w:r>
      <w:r w:rsidR="001518E2">
        <w:rPr>
          <w:lang w:val="en-US"/>
        </w:rPr>
        <w:t xml:space="preserve">In </w:t>
      </w:r>
      <w:r w:rsidR="001518E2" w:rsidRPr="004534D2">
        <w:rPr>
          <w:lang w:val="en-US"/>
        </w:rPr>
        <w:t>packing instruction P</w:t>
      </w:r>
      <w:r w:rsidR="001518E2">
        <w:rPr>
          <w:lang w:val="en-US"/>
        </w:rPr>
        <w:t>800</w:t>
      </w:r>
      <w:r w:rsidR="001518E2" w:rsidRPr="004534D2">
        <w:rPr>
          <w:lang w:val="en-US"/>
        </w:rPr>
        <w:t xml:space="preserve"> </w:t>
      </w:r>
      <w:r w:rsidR="00CB2326">
        <w:rPr>
          <w:lang w:val="en-US"/>
        </w:rPr>
        <w:t xml:space="preserve">amend </w:t>
      </w:r>
      <w:r w:rsidR="00577996">
        <w:rPr>
          <w:lang w:val="en-US"/>
        </w:rPr>
        <w:t xml:space="preserve">the </w:t>
      </w:r>
      <w:r w:rsidR="0024030A" w:rsidRPr="004534D2">
        <w:rPr>
          <w:lang w:val="en-US"/>
        </w:rPr>
        <w:t>application scope as follows:</w:t>
      </w:r>
    </w:p>
    <w:tbl>
      <w:tblPr>
        <w:tblStyle w:val="TableGrid"/>
        <w:tblW w:w="0" w:type="auto"/>
        <w:tblInd w:w="988" w:type="dxa"/>
        <w:tblLook w:val="04A0" w:firstRow="1" w:lastRow="0" w:firstColumn="1" w:lastColumn="0" w:noHBand="0" w:noVBand="1"/>
      </w:tblPr>
      <w:tblGrid>
        <w:gridCol w:w="8221"/>
      </w:tblGrid>
      <w:tr w:rsidR="0024030A" w14:paraId="17C94A6E" w14:textId="77777777" w:rsidTr="000B6BB0">
        <w:trPr>
          <w:trHeight w:val="340"/>
        </w:trPr>
        <w:tc>
          <w:tcPr>
            <w:tcW w:w="8221" w:type="dxa"/>
          </w:tcPr>
          <w:p w14:paraId="28E2970B" w14:textId="77777777" w:rsidR="0024030A" w:rsidRPr="00954BE3" w:rsidRDefault="0024030A" w:rsidP="003A4D95">
            <w:pPr>
              <w:pStyle w:val="ListParagraph"/>
              <w:jc w:val="both"/>
              <w:rPr>
                <w:b/>
              </w:rPr>
            </w:pPr>
            <w:r w:rsidRPr="00954BE3">
              <w:rPr>
                <w:b/>
              </w:rPr>
              <w:t xml:space="preserve">P800                                              PACKING INSTRUCTION                                   </w:t>
            </w:r>
            <w:r>
              <w:rPr>
                <w:b/>
              </w:rPr>
              <w:t xml:space="preserve">       </w:t>
            </w:r>
            <w:r w:rsidRPr="00954BE3">
              <w:rPr>
                <w:b/>
              </w:rPr>
              <w:t xml:space="preserve">       P800</w:t>
            </w:r>
          </w:p>
        </w:tc>
      </w:tr>
      <w:tr w:rsidR="0024030A" w14:paraId="486A46D8" w14:textId="77777777" w:rsidTr="000B6BB0">
        <w:trPr>
          <w:trHeight w:val="340"/>
        </w:trPr>
        <w:tc>
          <w:tcPr>
            <w:tcW w:w="8221" w:type="dxa"/>
          </w:tcPr>
          <w:p w14:paraId="203911BD" w14:textId="77777777" w:rsidR="0024030A" w:rsidRDefault="0024030A" w:rsidP="003A4D95">
            <w:pPr>
              <w:pStyle w:val="ListParagraph"/>
              <w:ind w:right="1134"/>
            </w:pPr>
            <w:r w:rsidRPr="00954BE3">
              <w:t xml:space="preserve">This instruction applies to </w:t>
            </w:r>
            <w:r w:rsidRPr="0050407E">
              <w:rPr>
                <w:b/>
                <w:u w:val="single"/>
              </w:rPr>
              <w:t>G</w:t>
            </w:r>
            <w:r>
              <w:rPr>
                <w:b/>
                <w:u w:val="single"/>
              </w:rPr>
              <w:t>ALLIUM</w:t>
            </w:r>
            <w:r w:rsidRPr="00954BE3">
              <w:rPr>
                <w:b/>
                <w:u w:val="single"/>
              </w:rPr>
              <w:t xml:space="preserve"> of</w:t>
            </w:r>
            <w:r>
              <w:t xml:space="preserve"> </w:t>
            </w:r>
            <w:r w:rsidRPr="00954BE3">
              <w:t>UN No</w:t>
            </w:r>
            <w:r w:rsidRPr="00222D23">
              <w:rPr>
                <w:strike/>
              </w:rPr>
              <w:t>s</w:t>
            </w:r>
            <w:r w:rsidRPr="00954BE3">
              <w:t xml:space="preserve">. 2803 and </w:t>
            </w:r>
            <w:r w:rsidRPr="00954BE3">
              <w:rPr>
                <w:b/>
                <w:u w:val="single"/>
              </w:rPr>
              <w:t>UN No</w:t>
            </w:r>
            <w:r w:rsidRPr="00954BE3">
              <w:rPr>
                <w:rFonts w:eastAsiaTheme="minorEastAsia" w:hint="cs"/>
                <w:b/>
                <w:u w:val="single"/>
                <w:lang w:eastAsia="zh-CN"/>
              </w:rPr>
              <w:t>.</w:t>
            </w:r>
            <w:r>
              <w:t xml:space="preserve"> </w:t>
            </w:r>
            <w:r w:rsidRPr="00954BE3">
              <w:t>2809.</w:t>
            </w:r>
          </w:p>
        </w:tc>
      </w:tr>
      <w:tr w:rsidR="0024030A" w14:paraId="06B86552" w14:textId="77777777" w:rsidTr="00B22767">
        <w:trPr>
          <w:trHeight w:val="340"/>
        </w:trPr>
        <w:tc>
          <w:tcPr>
            <w:tcW w:w="8221" w:type="dxa"/>
          </w:tcPr>
          <w:p w14:paraId="302C9560" w14:textId="77777777" w:rsidR="0024030A" w:rsidRDefault="0024030A" w:rsidP="003A4D95">
            <w:pPr>
              <w:pStyle w:val="ListParagraph"/>
            </w:pPr>
            <w:r w:rsidRPr="00954BE3">
              <w:t>The following packagings are authorized, provided that the general provisions of 4.1.1 and 4.1.3 are met:</w:t>
            </w:r>
          </w:p>
          <w:p w14:paraId="396B5399" w14:textId="77777777" w:rsidR="0024030A" w:rsidRDefault="0024030A" w:rsidP="0024030A">
            <w:pPr>
              <w:pStyle w:val="ListParagraph"/>
              <w:numPr>
                <w:ilvl w:val="0"/>
                <w:numId w:val="23"/>
              </w:numPr>
              <w:contextualSpacing w:val="0"/>
            </w:pPr>
            <w:r>
              <w:t>…</w:t>
            </w:r>
          </w:p>
          <w:p w14:paraId="6572F89C" w14:textId="77777777" w:rsidR="0024030A" w:rsidRPr="00954BE3" w:rsidRDefault="0024030A" w:rsidP="003A4D95">
            <w:pPr>
              <w:pStyle w:val="ListParagraph"/>
              <w:ind w:right="1134"/>
              <w:rPr>
                <w:rFonts w:eastAsiaTheme="minorEastAsia"/>
                <w:lang w:eastAsia="zh-CN"/>
              </w:rPr>
            </w:pPr>
            <w:r>
              <w:rPr>
                <w:rFonts w:eastAsiaTheme="minorEastAsia"/>
                <w:lang w:eastAsia="zh-CN"/>
              </w:rPr>
              <w:t>…</w:t>
            </w:r>
          </w:p>
        </w:tc>
      </w:tr>
    </w:tbl>
    <w:p w14:paraId="6F3EDF48" w14:textId="7ACF51D4" w:rsidR="0024030A" w:rsidRDefault="00B22767" w:rsidP="00B22767">
      <w:pPr>
        <w:pStyle w:val="H23G"/>
        <w:rPr>
          <w:lang w:val="en-US"/>
        </w:rPr>
      </w:pPr>
      <w:r>
        <w:tab/>
      </w:r>
      <w:r>
        <w:tab/>
      </w:r>
      <w:r w:rsidR="0024030A">
        <w:rPr>
          <w:rFonts w:hint="eastAsia"/>
        </w:rPr>
        <w:t>O</w:t>
      </w:r>
      <w:r w:rsidR="0024030A">
        <w:t>ption 3</w:t>
      </w:r>
    </w:p>
    <w:p w14:paraId="5A08D30D" w14:textId="2C286C6E" w:rsidR="0024030A" w:rsidRPr="004534D2" w:rsidRDefault="00B22767" w:rsidP="00B22767">
      <w:pPr>
        <w:pStyle w:val="SingleTxtG"/>
        <w:rPr>
          <w:lang w:val="en-US"/>
        </w:rPr>
      </w:pPr>
      <w:r>
        <w:rPr>
          <w:lang w:val="en-US"/>
        </w:rPr>
        <w:t>14.</w:t>
      </w:r>
      <w:r>
        <w:rPr>
          <w:lang w:val="en-US"/>
        </w:rPr>
        <w:tab/>
      </w:r>
      <w:r w:rsidR="001518E2">
        <w:rPr>
          <w:lang w:val="en-US"/>
        </w:rPr>
        <w:t>In</w:t>
      </w:r>
      <w:r w:rsidR="001518E2" w:rsidRPr="004534D2">
        <w:rPr>
          <w:lang w:val="en-US"/>
        </w:rPr>
        <w:t xml:space="preserve"> the Dangerous Goods List of Chapter 3.2</w:t>
      </w:r>
      <w:r w:rsidR="001518E2">
        <w:rPr>
          <w:lang w:val="en-US"/>
        </w:rPr>
        <w:t xml:space="preserve"> amend</w:t>
      </w:r>
      <w:r w:rsidR="009027CD" w:rsidRPr="004534D2">
        <w:rPr>
          <w:lang w:val="en-US"/>
        </w:rPr>
        <w:t xml:space="preserve"> UN</w:t>
      </w:r>
      <w:r w:rsidR="001518E2">
        <w:rPr>
          <w:lang w:val="en-US"/>
        </w:rPr>
        <w:t xml:space="preserve"> </w:t>
      </w:r>
      <w:r w:rsidR="009027CD" w:rsidRPr="004534D2">
        <w:rPr>
          <w:lang w:val="en-US"/>
        </w:rPr>
        <w:t xml:space="preserve">2803 </w:t>
      </w:r>
      <w:r w:rsidR="00C76FAF">
        <w:rPr>
          <w:lang w:val="en-US"/>
        </w:rPr>
        <w:t xml:space="preserve">as follows, </w:t>
      </w:r>
      <w:r w:rsidR="009027CD">
        <w:rPr>
          <w:lang w:val="en-US"/>
        </w:rPr>
        <w:t>insert</w:t>
      </w:r>
      <w:r w:rsidR="00C76FAF">
        <w:rPr>
          <w:lang w:val="en-US"/>
        </w:rPr>
        <w:t>ing</w:t>
      </w:r>
      <w:r w:rsidR="0024030A" w:rsidRPr="004534D2">
        <w:rPr>
          <w:lang w:val="en-US"/>
        </w:rPr>
        <w:t xml:space="preserve"> </w:t>
      </w:r>
      <w:r w:rsidR="00415ECF">
        <w:rPr>
          <w:lang w:val="en-US"/>
        </w:rPr>
        <w:t xml:space="preserve">a reference to </w:t>
      </w:r>
      <w:r w:rsidR="0024030A" w:rsidRPr="004534D2">
        <w:rPr>
          <w:lang w:val="en-US"/>
        </w:rPr>
        <w:t>SP</w:t>
      </w:r>
      <w:r w:rsidR="00D32C45">
        <w:rPr>
          <w:lang w:val="en-US"/>
        </w:rPr>
        <w:t xml:space="preserve"> </w:t>
      </w:r>
      <w:r w:rsidR="0024030A" w:rsidRPr="004534D2">
        <w:rPr>
          <w:lang w:val="en-US"/>
        </w:rPr>
        <w:t xml:space="preserve">366 </w:t>
      </w:r>
      <w:r w:rsidR="00C76FAF">
        <w:rPr>
          <w:lang w:val="en-US"/>
        </w:rPr>
        <w:t>as modified:</w:t>
      </w:r>
    </w:p>
    <w:tbl>
      <w:tblPr>
        <w:tblStyle w:val="TableGrid"/>
        <w:tblW w:w="0" w:type="auto"/>
        <w:tblLook w:val="04A0" w:firstRow="1" w:lastRow="0" w:firstColumn="1" w:lastColumn="0" w:noHBand="0" w:noVBand="1"/>
      </w:tblPr>
      <w:tblGrid>
        <w:gridCol w:w="800"/>
        <w:gridCol w:w="955"/>
        <w:gridCol w:w="861"/>
        <w:gridCol w:w="911"/>
        <w:gridCol w:w="863"/>
        <w:gridCol w:w="902"/>
        <w:gridCol w:w="448"/>
        <w:gridCol w:w="448"/>
        <w:gridCol w:w="735"/>
        <w:gridCol w:w="22"/>
        <w:gridCol w:w="713"/>
        <w:gridCol w:w="924"/>
        <w:gridCol w:w="810"/>
      </w:tblGrid>
      <w:tr w:rsidR="0024030A" w14:paraId="7CC25393" w14:textId="77777777" w:rsidTr="003A4D95">
        <w:tc>
          <w:tcPr>
            <w:tcW w:w="800" w:type="dxa"/>
            <w:vMerge w:val="restart"/>
          </w:tcPr>
          <w:p w14:paraId="46E905AB" w14:textId="77777777" w:rsidR="0024030A" w:rsidRDefault="0024030A" w:rsidP="003A4D95">
            <w:r>
              <w:rPr>
                <w:b/>
                <w:bCs/>
                <w:sz w:val="16"/>
                <w:szCs w:val="16"/>
              </w:rPr>
              <w:t>UN No.</w:t>
            </w:r>
          </w:p>
        </w:tc>
        <w:tc>
          <w:tcPr>
            <w:tcW w:w="955" w:type="dxa"/>
            <w:vMerge w:val="restart"/>
          </w:tcPr>
          <w:p w14:paraId="748B57B2" w14:textId="77777777" w:rsidR="0024030A" w:rsidRDefault="0024030A" w:rsidP="003A4D95">
            <w:r>
              <w:rPr>
                <w:b/>
                <w:bCs/>
                <w:sz w:val="16"/>
                <w:szCs w:val="16"/>
              </w:rPr>
              <w:t>Name and description</w:t>
            </w:r>
          </w:p>
        </w:tc>
        <w:tc>
          <w:tcPr>
            <w:tcW w:w="861" w:type="dxa"/>
            <w:vMerge w:val="restart"/>
          </w:tcPr>
          <w:p w14:paraId="20B03B0E" w14:textId="77777777" w:rsidR="0024030A" w:rsidRDefault="0024030A" w:rsidP="003A4D95">
            <w:r>
              <w:rPr>
                <w:b/>
                <w:bCs/>
                <w:sz w:val="16"/>
                <w:szCs w:val="16"/>
              </w:rPr>
              <w:t>Class or division</w:t>
            </w:r>
          </w:p>
        </w:tc>
        <w:tc>
          <w:tcPr>
            <w:tcW w:w="911" w:type="dxa"/>
            <w:vMerge w:val="restart"/>
          </w:tcPr>
          <w:p w14:paraId="23D65770" w14:textId="77777777" w:rsidR="0024030A" w:rsidRDefault="0024030A" w:rsidP="003A4D95">
            <w:r>
              <w:rPr>
                <w:b/>
                <w:bCs/>
                <w:sz w:val="16"/>
                <w:szCs w:val="16"/>
              </w:rPr>
              <w:t>Subsidiary hazard</w:t>
            </w:r>
          </w:p>
        </w:tc>
        <w:tc>
          <w:tcPr>
            <w:tcW w:w="863" w:type="dxa"/>
            <w:vMerge w:val="restart"/>
          </w:tcPr>
          <w:p w14:paraId="70E524DF" w14:textId="77777777" w:rsidR="0024030A" w:rsidRDefault="0024030A" w:rsidP="003A4D95">
            <w:r>
              <w:rPr>
                <w:b/>
                <w:bCs/>
                <w:sz w:val="16"/>
                <w:szCs w:val="16"/>
              </w:rPr>
              <w:t>UN packing group</w:t>
            </w:r>
          </w:p>
        </w:tc>
        <w:tc>
          <w:tcPr>
            <w:tcW w:w="902" w:type="dxa"/>
            <w:vMerge w:val="restart"/>
          </w:tcPr>
          <w:p w14:paraId="21C48044" w14:textId="77777777" w:rsidR="0024030A" w:rsidRPr="00B15BAC" w:rsidRDefault="0024030A" w:rsidP="003A4D95">
            <w:pPr>
              <w:rPr>
                <w:b/>
                <w:bCs/>
                <w:sz w:val="16"/>
                <w:szCs w:val="16"/>
              </w:rPr>
            </w:pPr>
            <w:r w:rsidRPr="00B15BAC">
              <w:rPr>
                <w:b/>
                <w:bCs/>
                <w:sz w:val="16"/>
                <w:szCs w:val="16"/>
              </w:rPr>
              <w:t xml:space="preserve">Special </w:t>
            </w:r>
          </w:p>
          <w:p w14:paraId="0A7970EC" w14:textId="77777777" w:rsidR="0024030A" w:rsidRPr="00F00104" w:rsidRDefault="0024030A" w:rsidP="003A4D95">
            <w:pPr>
              <w:rPr>
                <w:b/>
                <w:u w:val="single"/>
              </w:rPr>
            </w:pPr>
            <w:r w:rsidRPr="00B15BAC">
              <w:rPr>
                <w:b/>
                <w:bCs/>
                <w:sz w:val="16"/>
                <w:szCs w:val="16"/>
              </w:rPr>
              <w:t>Provisions</w:t>
            </w:r>
          </w:p>
        </w:tc>
        <w:tc>
          <w:tcPr>
            <w:tcW w:w="896" w:type="dxa"/>
            <w:gridSpan w:val="2"/>
            <w:vMerge w:val="restart"/>
          </w:tcPr>
          <w:p w14:paraId="6FEDB465" w14:textId="77777777" w:rsidR="0024030A" w:rsidRDefault="0024030A" w:rsidP="003A4D95">
            <w:r>
              <w:rPr>
                <w:b/>
                <w:bCs/>
                <w:sz w:val="16"/>
                <w:szCs w:val="16"/>
              </w:rPr>
              <w:t>Limited and excepted quantities</w:t>
            </w:r>
          </w:p>
        </w:tc>
        <w:tc>
          <w:tcPr>
            <w:tcW w:w="1470" w:type="dxa"/>
            <w:gridSpan w:val="3"/>
          </w:tcPr>
          <w:p w14:paraId="0D2E7C68" w14:textId="77777777" w:rsidR="0024030A" w:rsidRDefault="0024030A" w:rsidP="003A4D95">
            <w:pPr>
              <w:rPr>
                <w:b/>
                <w:bCs/>
                <w:sz w:val="16"/>
                <w:szCs w:val="16"/>
              </w:rPr>
            </w:pPr>
            <w:r>
              <w:rPr>
                <w:b/>
                <w:bCs/>
                <w:sz w:val="16"/>
                <w:szCs w:val="16"/>
              </w:rPr>
              <w:t xml:space="preserve">Packagings </w:t>
            </w:r>
          </w:p>
          <w:p w14:paraId="4B67630B" w14:textId="77777777" w:rsidR="0024030A" w:rsidRDefault="0024030A" w:rsidP="003A4D95">
            <w:r>
              <w:rPr>
                <w:b/>
                <w:bCs/>
                <w:sz w:val="16"/>
                <w:szCs w:val="16"/>
              </w:rPr>
              <w:t>and IBCs</w:t>
            </w:r>
          </w:p>
        </w:tc>
        <w:tc>
          <w:tcPr>
            <w:tcW w:w="1734" w:type="dxa"/>
            <w:gridSpan w:val="2"/>
          </w:tcPr>
          <w:p w14:paraId="584F7EDA" w14:textId="77777777" w:rsidR="0024030A" w:rsidRDefault="0024030A" w:rsidP="003A4D95">
            <w:r>
              <w:rPr>
                <w:b/>
                <w:bCs/>
                <w:sz w:val="16"/>
                <w:szCs w:val="16"/>
              </w:rPr>
              <w:t>Portable tanks and bulk containers</w:t>
            </w:r>
          </w:p>
        </w:tc>
      </w:tr>
      <w:tr w:rsidR="0024030A" w14:paraId="3096371F" w14:textId="77777777" w:rsidTr="003A4D95">
        <w:tc>
          <w:tcPr>
            <w:tcW w:w="800" w:type="dxa"/>
            <w:vMerge/>
          </w:tcPr>
          <w:p w14:paraId="460D1B33" w14:textId="77777777" w:rsidR="0024030A" w:rsidRDefault="0024030A" w:rsidP="003A4D95"/>
        </w:tc>
        <w:tc>
          <w:tcPr>
            <w:tcW w:w="955" w:type="dxa"/>
            <w:vMerge/>
          </w:tcPr>
          <w:p w14:paraId="7FD94379" w14:textId="77777777" w:rsidR="0024030A" w:rsidRDefault="0024030A" w:rsidP="003A4D95"/>
        </w:tc>
        <w:tc>
          <w:tcPr>
            <w:tcW w:w="861" w:type="dxa"/>
            <w:vMerge/>
          </w:tcPr>
          <w:p w14:paraId="4CFE71E4" w14:textId="77777777" w:rsidR="0024030A" w:rsidRDefault="0024030A" w:rsidP="003A4D95"/>
        </w:tc>
        <w:tc>
          <w:tcPr>
            <w:tcW w:w="911" w:type="dxa"/>
            <w:vMerge/>
          </w:tcPr>
          <w:p w14:paraId="58641842" w14:textId="77777777" w:rsidR="0024030A" w:rsidRDefault="0024030A" w:rsidP="003A4D95"/>
        </w:tc>
        <w:tc>
          <w:tcPr>
            <w:tcW w:w="863" w:type="dxa"/>
            <w:vMerge/>
          </w:tcPr>
          <w:p w14:paraId="1303936A" w14:textId="77777777" w:rsidR="0024030A" w:rsidRDefault="0024030A" w:rsidP="003A4D95"/>
        </w:tc>
        <w:tc>
          <w:tcPr>
            <w:tcW w:w="902" w:type="dxa"/>
            <w:vMerge/>
          </w:tcPr>
          <w:p w14:paraId="0B3B1184" w14:textId="77777777" w:rsidR="0024030A" w:rsidRPr="00F00104" w:rsidRDefault="0024030A" w:rsidP="003A4D95">
            <w:pPr>
              <w:rPr>
                <w:b/>
                <w:u w:val="single"/>
              </w:rPr>
            </w:pPr>
          </w:p>
        </w:tc>
        <w:tc>
          <w:tcPr>
            <w:tcW w:w="896" w:type="dxa"/>
            <w:gridSpan w:val="2"/>
            <w:vMerge/>
          </w:tcPr>
          <w:p w14:paraId="741BBDC8" w14:textId="77777777" w:rsidR="0024030A" w:rsidRDefault="0024030A" w:rsidP="003A4D95"/>
        </w:tc>
        <w:tc>
          <w:tcPr>
            <w:tcW w:w="757" w:type="dxa"/>
            <w:gridSpan w:val="2"/>
          </w:tcPr>
          <w:p w14:paraId="674C90C6" w14:textId="77777777" w:rsidR="0024030A" w:rsidRDefault="0024030A" w:rsidP="003A4D95">
            <w:r>
              <w:rPr>
                <w:b/>
                <w:bCs/>
                <w:sz w:val="16"/>
                <w:szCs w:val="16"/>
              </w:rPr>
              <w:t>Packing instruction</w:t>
            </w:r>
          </w:p>
        </w:tc>
        <w:tc>
          <w:tcPr>
            <w:tcW w:w="713" w:type="dxa"/>
          </w:tcPr>
          <w:p w14:paraId="7F5AE427" w14:textId="77777777" w:rsidR="0024030A" w:rsidRDefault="0024030A" w:rsidP="003A4D95">
            <w:r>
              <w:rPr>
                <w:b/>
                <w:bCs/>
                <w:sz w:val="16"/>
                <w:szCs w:val="16"/>
              </w:rPr>
              <w:t>Special packing provisions</w:t>
            </w:r>
          </w:p>
        </w:tc>
        <w:tc>
          <w:tcPr>
            <w:tcW w:w="924" w:type="dxa"/>
          </w:tcPr>
          <w:p w14:paraId="5CEF9F68" w14:textId="77777777" w:rsidR="0024030A" w:rsidRDefault="0024030A" w:rsidP="003A4D95">
            <w:r>
              <w:rPr>
                <w:b/>
                <w:bCs/>
                <w:sz w:val="16"/>
                <w:szCs w:val="16"/>
              </w:rPr>
              <w:t>Instructions</w:t>
            </w:r>
          </w:p>
        </w:tc>
        <w:tc>
          <w:tcPr>
            <w:tcW w:w="810" w:type="dxa"/>
          </w:tcPr>
          <w:p w14:paraId="6FC340B4" w14:textId="77777777" w:rsidR="0024030A" w:rsidRDefault="0024030A" w:rsidP="003A4D95">
            <w:r>
              <w:rPr>
                <w:b/>
                <w:bCs/>
                <w:sz w:val="16"/>
                <w:szCs w:val="16"/>
              </w:rPr>
              <w:t>Special provisions</w:t>
            </w:r>
          </w:p>
        </w:tc>
      </w:tr>
      <w:tr w:rsidR="0024030A" w14:paraId="74091159" w14:textId="77777777" w:rsidTr="003A4D95">
        <w:tc>
          <w:tcPr>
            <w:tcW w:w="800" w:type="dxa"/>
          </w:tcPr>
          <w:p w14:paraId="0DCD7250" w14:textId="77777777" w:rsidR="0024030A" w:rsidRDefault="0024030A" w:rsidP="003A4D95">
            <w:pPr>
              <w:jc w:val="center"/>
            </w:pPr>
            <w:r>
              <w:t>2803</w:t>
            </w:r>
          </w:p>
        </w:tc>
        <w:tc>
          <w:tcPr>
            <w:tcW w:w="955" w:type="dxa"/>
          </w:tcPr>
          <w:p w14:paraId="1DA71692" w14:textId="3FB016FC" w:rsidR="0024030A" w:rsidRPr="0050407E" w:rsidRDefault="0024030A" w:rsidP="003A4D95">
            <w:pPr>
              <w:jc w:val="center"/>
              <w:rPr>
                <w:lang w:eastAsia="zh-CN"/>
              </w:rPr>
            </w:pPr>
            <w:r w:rsidRPr="0050407E">
              <w:rPr>
                <w:rFonts w:eastAsiaTheme="minorEastAsia"/>
                <w:lang w:eastAsia="zh-CN"/>
              </w:rPr>
              <w:t>GAL</w:t>
            </w:r>
            <w:r w:rsidR="00B14D0C">
              <w:rPr>
                <w:rFonts w:eastAsiaTheme="minorEastAsia"/>
                <w:lang w:eastAsia="zh-CN"/>
              </w:rPr>
              <w:t>L</w:t>
            </w:r>
            <w:r w:rsidRPr="0050407E">
              <w:rPr>
                <w:rFonts w:eastAsiaTheme="minorEastAsia"/>
                <w:lang w:eastAsia="zh-CN"/>
              </w:rPr>
              <w:t>IUM</w:t>
            </w:r>
          </w:p>
        </w:tc>
        <w:tc>
          <w:tcPr>
            <w:tcW w:w="861" w:type="dxa"/>
          </w:tcPr>
          <w:p w14:paraId="2E1998A9" w14:textId="77777777" w:rsidR="0024030A" w:rsidRDefault="0024030A" w:rsidP="003A4D95">
            <w:pPr>
              <w:jc w:val="center"/>
            </w:pPr>
            <w:r>
              <w:t>8</w:t>
            </w:r>
          </w:p>
        </w:tc>
        <w:tc>
          <w:tcPr>
            <w:tcW w:w="911" w:type="dxa"/>
          </w:tcPr>
          <w:p w14:paraId="27025906" w14:textId="77777777" w:rsidR="0024030A" w:rsidRDefault="0024030A" w:rsidP="003A4D95">
            <w:pPr>
              <w:jc w:val="center"/>
            </w:pPr>
          </w:p>
        </w:tc>
        <w:tc>
          <w:tcPr>
            <w:tcW w:w="863" w:type="dxa"/>
          </w:tcPr>
          <w:p w14:paraId="201DF58D" w14:textId="77777777" w:rsidR="0024030A" w:rsidRDefault="0024030A" w:rsidP="003A4D95">
            <w:pPr>
              <w:jc w:val="center"/>
            </w:pPr>
            <w:r>
              <w:rPr>
                <w:rFonts w:ascii="仿宋" w:eastAsia="仿宋" w:hAnsi="仿宋" w:hint="eastAsia"/>
              </w:rPr>
              <w:t>Ⅲ</w:t>
            </w:r>
          </w:p>
        </w:tc>
        <w:tc>
          <w:tcPr>
            <w:tcW w:w="902" w:type="dxa"/>
          </w:tcPr>
          <w:p w14:paraId="3861E8CE" w14:textId="77777777" w:rsidR="0024030A" w:rsidRPr="00F00104" w:rsidRDefault="0024030A" w:rsidP="003A4D95">
            <w:pPr>
              <w:jc w:val="center"/>
              <w:rPr>
                <w:b/>
                <w:u w:val="single"/>
              </w:rPr>
            </w:pPr>
            <w:r w:rsidRPr="00F00104">
              <w:rPr>
                <w:b/>
                <w:u w:val="single"/>
              </w:rPr>
              <w:t>366</w:t>
            </w:r>
          </w:p>
        </w:tc>
        <w:tc>
          <w:tcPr>
            <w:tcW w:w="448" w:type="dxa"/>
          </w:tcPr>
          <w:p w14:paraId="1F2D04B9" w14:textId="77777777" w:rsidR="0024030A" w:rsidRDefault="0024030A" w:rsidP="003A4D95">
            <w:pPr>
              <w:jc w:val="center"/>
            </w:pPr>
            <w:r>
              <w:t>5kg</w:t>
            </w:r>
          </w:p>
        </w:tc>
        <w:tc>
          <w:tcPr>
            <w:tcW w:w="448" w:type="dxa"/>
          </w:tcPr>
          <w:p w14:paraId="1D1AF78A" w14:textId="77777777" w:rsidR="0024030A" w:rsidRDefault="0024030A" w:rsidP="003A4D95">
            <w:pPr>
              <w:jc w:val="center"/>
            </w:pPr>
            <w:r>
              <w:t>E0</w:t>
            </w:r>
          </w:p>
        </w:tc>
        <w:tc>
          <w:tcPr>
            <w:tcW w:w="735" w:type="dxa"/>
          </w:tcPr>
          <w:p w14:paraId="2E9723CE" w14:textId="77777777" w:rsidR="0024030A" w:rsidRDefault="0024030A" w:rsidP="003A4D95">
            <w:pPr>
              <w:jc w:val="center"/>
            </w:pPr>
            <w:r>
              <w:t>P800</w:t>
            </w:r>
          </w:p>
        </w:tc>
        <w:tc>
          <w:tcPr>
            <w:tcW w:w="735" w:type="dxa"/>
            <w:gridSpan w:val="2"/>
          </w:tcPr>
          <w:p w14:paraId="774551ED" w14:textId="77777777" w:rsidR="0024030A" w:rsidRDefault="0024030A" w:rsidP="003A4D95">
            <w:pPr>
              <w:jc w:val="center"/>
            </w:pPr>
            <w:r>
              <w:t>PP41</w:t>
            </w:r>
          </w:p>
        </w:tc>
        <w:tc>
          <w:tcPr>
            <w:tcW w:w="924" w:type="dxa"/>
          </w:tcPr>
          <w:p w14:paraId="3964E4DD" w14:textId="77777777" w:rsidR="0024030A" w:rsidRPr="0050407E" w:rsidRDefault="0024030A" w:rsidP="003A4D95">
            <w:pPr>
              <w:jc w:val="center"/>
            </w:pPr>
            <w:r w:rsidRPr="0050407E">
              <w:rPr>
                <w:rFonts w:eastAsiaTheme="minorEastAsia"/>
              </w:rPr>
              <w:t>T1</w:t>
            </w:r>
          </w:p>
        </w:tc>
        <w:tc>
          <w:tcPr>
            <w:tcW w:w="810" w:type="dxa"/>
          </w:tcPr>
          <w:p w14:paraId="6EACBE2F" w14:textId="77777777" w:rsidR="0024030A" w:rsidRDefault="0024030A" w:rsidP="003A4D95">
            <w:pPr>
              <w:jc w:val="center"/>
            </w:pPr>
            <w:r>
              <w:t>TP33</w:t>
            </w:r>
          </w:p>
        </w:tc>
      </w:tr>
    </w:tbl>
    <w:p w14:paraId="44AE3A0F" w14:textId="0DF65B71" w:rsidR="0024030A" w:rsidRDefault="00B22767" w:rsidP="00B22767">
      <w:pPr>
        <w:pStyle w:val="H1G"/>
      </w:pPr>
      <w:r>
        <w:tab/>
      </w:r>
      <w:r>
        <w:tab/>
      </w:r>
      <w:r w:rsidR="0024030A" w:rsidRPr="001372BE">
        <w:rPr>
          <w:rFonts w:hint="eastAsia"/>
        </w:rPr>
        <w:tab/>
      </w:r>
      <w:r w:rsidR="0024030A">
        <w:rPr>
          <w:rFonts w:hint="eastAsia"/>
        </w:rPr>
        <w:t>P</w:t>
      </w:r>
      <w:r w:rsidR="0024030A">
        <w:t>roposal 2</w:t>
      </w:r>
    </w:p>
    <w:p w14:paraId="6AF63BEC" w14:textId="65659903" w:rsidR="0024030A" w:rsidRDefault="00B22767" w:rsidP="00B22767">
      <w:pPr>
        <w:pStyle w:val="SingleTxtG"/>
      </w:pPr>
      <w:r>
        <w:tab/>
        <w:t>15.</w:t>
      </w:r>
      <w:r>
        <w:tab/>
      </w:r>
      <w:r w:rsidR="0024030A">
        <w:t>S</w:t>
      </w:r>
      <w:r w:rsidR="00EC7799">
        <w:t>pecial provision</w:t>
      </w:r>
      <w:r w:rsidR="0036301F">
        <w:t xml:space="preserve"> </w:t>
      </w:r>
      <w:r w:rsidR="0024030A">
        <w:t xml:space="preserve">366 should be modified, so that it can be applied to gallium </w:t>
      </w:r>
      <w:r w:rsidR="0024030A">
        <w:rPr>
          <w:rFonts w:hint="eastAsia"/>
        </w:rPr>
        <w:t>o</w:t>
      </w:r>
      <w:r w:rsidR="0024030A">
        <w:t xml:space="preserve">r gallium contained in manufactured articles. Two proposals are provided to discuss if it is necessary to introduce relevant text </w:t>
      </w:r>
      <w:r w:rsidR="00C832C7">
        <w:t>of</w:t>
      </w:r>
      <w:r w:rsidR="0024030A">
        <w:t xml:space="preserve"> the </w:t>
      </w:r>
      <w:r w:rsidR="0024030A" w:rsidRPr="006D79DC">
        <w:t>Technical Instructions</w:t>
      </w:r>
      <w:r w:rsidR="0024030A">
        <w:t xml:space="preserve"> into the </w:t>
      </w:r>
      <w:r w:rsidR="00C832C7">
        <w:t xml:space="preserve">UN </w:t>
      </w:r>
      <w:r w:rsidR="0024030A" w:rsidRPr="006D79DC">
        <w:t>Model Regulations</w:t>
      </w:r>
      <w:r w:rsidR="0024030A">
        <w:t>:</w:t>
      </w:r>
    </w:p>
    <w:p w14:paraId="0365AAD9" w14:textId="5FDD2A49" w:rsidR="0024030A" w:rsidRPr="00D753A1" w:rsidRDefault="00B22767" w:rsidP="00B22767">
      <w:pPr>
        <w:pStyle w:val="H23G"/>
      </w:pPr>
      <w:r>
        <w:tab/>
      </w:r>
      <w:r>
        <w:tab/>
      </w:r>
      <w:r w:rsidR="0024030A">
        <w:rPr>
          <w:rFonts w:hint="eastAsia"/>
        </w:rPr>
        <w:t>O</w:t>
      </w:r>
      <w:r w:rsidR="0024030A">
        <w:t>ption 1</w:t>
      </w:r>
    </w:p>
    <w:p w14:paraId="40F9710F" w14:textId="4AD1383B" w:rsidR="0024030A" w:rsidRDefault="00A20E10" w:rsidP="00A20E10">
      <w:pPr>
        <w:pStyle w:val="SingleTxtG"/>
      </w:pPr>
      <w:r>
        <w:tab/>
        <w:t>16.</w:t>
      </w:r>
      <w:r>
        <w:tab/>
      </w:r>
      <w:r w:rsidR="00150D57">
        <w:t xml:space="preserve">In </w:t>
      </w:r>
      <w:r w:rsidR="00150D57">
        <w:rPr>
          <w:rFonts w:hint="eastAsia"/>
        </w:rPr>
        <w:t>S</w:t>
      </w:r>
      <w:r w:rsidR="00150D57">
        <w:t>P 366</w:t>
      </w:r>
      <w:r w:rsidR="000B7BAF">
        <w:t xml:space="preserve">, </w:t>
      </w:r>
      <w:r w:rsidR="0024030A">
        <w:t>add gallium</w:t>
      </w:r>
      <w:r w:rsidR="000B7BAF">
        <w:t xml:space="preserve"> as follows</w:t>
      </w:r>
      <w:r w:rsidR="0024030A" w:rsidRPr="004534D2">
        <w:rPr>
          <w:lang w:val="en-US"/>
        </w:rPr>
        <w:t>:</w:t>
      </w:r>
    </w:p>
    <w:p w14:paraId="3C73302E" w14:textId="67685D00" w:rsidR="0024030A" w:rsidRDefault="00C956EB" w:rsidP="00393E66">
      <w:pPr>
        <w:pStyle w:val="SingleTxtG"/>
        <w:ind w:left="2268" w:hanging="567"/>
      </w:pPr>
      <w:r>
        <w:t>“</w:t>
      </w:r>
      <w:r w:rsidR="0024030A" w:rsidRPr="00AC242F">
        <w:t>366</w:t>
      </w:r>
      <w:r>
        <w:tab/>
      </w:r>
      <w:r w:rsidR="0024030A" w:rsidRPr="00AC242F">
        <w:t>For land and sea transport, manufactured instruments and articles containing not more</w:t>
      </w:r>
      <w:r w:rsidR="0024030A">
        <w:t xml:space="preserve"> </w:t>
      </w:r>
      <w:r w:rsidR="0024030A" w:rsidRPr="00AC242F">
        <w:t>than 1 kg of mercury</w:t>
      </w:r>
      <w:r w:rsidR="0024030A" w:rsidRPr="00AC242F">
        <w:rPr>
          <w:b/>
          <w:u w:val="single"/>
        </w:rPr>
        <w:t xml:space="preserve"> or gallium</w:t>
      </w:r>
      <w:r w:rsidR="0024030A">
        <w:t xml:space="preserve"> </w:t>
      </w:r>
      <w:r w:rsidR="0024030A" w:rsidRPr="00AC242F">
        <w:t>are not subject to these Regulations. For air transport, articles</w:t>
      </w:r>
      <w:r w:rsidR="0024030A">
        <w:t xml:space="preserve"> </w:t>
      </w:r>
      <w:r w:rsidR="0024030A" w:rsidRPr="00AC242F">
        <w:t xml:space="preserve">containing not more than 15 g of mercury </w:t>
      </w:r>
      <w:r w:rsidR="0024030A" w:rsidRPr="00AC242F">
        <w:rPr>
          <w:b/>
          <w:u w:val="single"/>
        </w:rPr>
        <w:t>or gallium</w:t>
      </w:r>
      <w:r w:rsidR="0024030A">
        <w:rPr>
          <w:b/>
          <w:u w:val="single"/>
        </w:rPr>
        <w:t xml:space="preserve"> </w:t>
      </w:r>
      <w:r w:rsidR="0024030A" w:rsidRPr="00AC242F">
        <w:t>are not subject to these Regulations.</w:t>
      </w:r>
      <w:r w:rsidR="00C832C7" w:rsidRPr="0010132B">
        <w:t>”</w:t>
      </w:r>
    </w:p>
    <w:p w14:paraId="2A0C257C" w14:textId="70334C63" w:rsidR="0024030A" w:rsidRPr="00D753A1" w:rsidRDefault="00A20E10" w:rsidP="00A20E10">
      <w:pPr>
        <w:pStyle w:val="H23G"/>
      </w:pPr>
      <w:r>
        <w:lastRenderedPageBreak/>
        <w:tab/>
      </w:r>
      <w:r>
        <w:tab/>
      </w:r>
      <w:r w:rsidR="0024030A">
        <w:rPr>
          <w:rFonts w:hint="eastAsia"/>
        </w:rPr>
        <w:t>O</w:t>
      </w:r>
      <w:r w:rsidR="0024030A">
        <w:t>ption 2</w:t>
      </w:r>
    </w:p>
    <w:p w14:paraId="34AE25D0" w14:textId="694B2557" w:rsidR="0024030A" w:rsidRDefault="00A20E10" w:rsidP="00A20E10">
      <w:pPr>
        <w:pStyle w:val="SingleTxtG"/>
      </w:pPr>
      <w:r>
        <w:tab/>
        <w:t>17.</w:t>
      </w:r>
      <w:r>
        <w:tab/>
      </w:r>
      <w:r w:rsidR="009C6130">
        <w:t>Add</w:t>
      </w:r>
      <w:r w:rsidR="0024030A">
        <w:t xml:space="preserve"> gallium to the first sentence of SP</w:t>
      </w:r>
      <w:r w:rsidR="00B44915">
        <w:t xml:space="preserve"> </w:t>
      </w:r>
      <w:r w:rsidR="0024030A">
        <w:t xml:space="preserve">366 for land and sea transport, </w:t>
      </w:r>
      <w:r w:rsidR="00210794">
        <w:t>and</w:t>
      </w:r>
      <w:r w:rsidR="007918A8">
        <w:t xml:space="preserve"> </w:t>
      </w:r>
      <w:r w:rsidR="009C6130">
        <w:t>insert in a second sentence</w:t>
      </w:r>
      <w:r w:rsidR="0024030A">
        <w:t xml:space="preserve"> relevant </w:t>
      </w:r>
      <w:r w:rsidR="000706E5">
        <w:t>provisions</w:t>
      </w:r>
      <w:r w:rsidR="0024030A">
        <w:t xml:space="preserve"> </w:t>
      </w:r>
      <w:r w:rsidR="009C6130">
        <w:t xml:space="preserve">for air transport </w:t>
      </w:r>
      <w:r w:rsidR="007918A8">
        <w:t>on</w:t>
      </w:r>
      <w:r w:rsidR="0024030A">
        <w:t xml:space="preserve"> machinery, apparatus and articles containing mercury or gallium in </w:t>
      </w:r>
      <w:r w:rsidR="00EC3332">
        <w:t>line with</w:t>
      </w:r>
      <w:r w:rsidR="0024030A">
        <w:t xml:space="preserve"> special provision A69 of the </w:t>
      </w:r>
      <w:r w:rsidR="007409AE">
        <w:t>IC</w:t>
      </w:r>
      <w:r w:rsidR="000706E5">
        <w:t>AO</w:t>
      </w:r>
      <w:r w:rsidR="007409AE">
        <w:t xml:space="preserve"> </w:t>
      </w:r>
      <w:r w:rsidR="0024030A" w:rsidRPr="00EC3332">
        <w:rPr>
          <w:iCs/>
        </w:rPr>
        <w:t>Technical Instructions</w:t>
      </w:r>
      <w:r w:rsidR="0024030A">
        <w:t xml:space="preserve"> </w:t>
      </w:r>
      <w:r w:rsidR="00E76F74">
        <w:t>as follows</w:t>
      </w:r>
      <w:r w:rsidR="0024030A">
        <w:t>:</w:t>
      </w:r>
    </w:p>
    <w:p w14:paraId="091B3F2B" w14:textId="4FFABC1F" w:rsidR="0024030A" w:rsidRDefault="00E76F74" w:rsidP="00F25D2A">
      <w:pPr>
        <w:pStyle w:val="SingleTxtG"/>
        <w:ind w:left="2268" w:hanging="567"/>
      </w:pPr>
      <w:r>
        <w:t>“</w:t>
      </w:r>
      <w:r w:rsidR="0024030A" w:rsidRPr="00AC242F">
        <w:t>366</w:t>
      </w:r>
      <w:r w:rsidR="00F25D2A">
        <w:tab/>
      </w:r>
      <w:r w:rsidR="0024030A" w:rsidRPr="00AC242F">
        <w:t>For land and sea transport, manufactured instruments and articles containing not more</w:t>
      </w:r>
      <w:r w:rsidR="0024030A">
        <w:t xml:space="preserve"> </w:t>
      </w:r>
      <w:r w:rsidR="0024030A" w:rsidRPr="00AC242F">
        <w:t>than 1 kg of mercury</w:t>
      </w:r>
      <w:r w:rsidR="0024030A" w:rsidRPr="00AC242F">
        <w:rPr>
          <w:b/>
          <w:u w:val="single"/>
        </w:rPr>
        <w:t xml:space="preserve"> or gallium</w:t>
      </w:r>
      <w:r w:rsidR="0024030A">
        <w:t xml:space="preserve"> </w:t>
      </w:r>
      <w:r w:rsidR="0024030A" w:rsidRPr="00AC242F">
        <w:t>are not subject to these Regulations.</w:t>
      </w:r>
    </w:p>
    <w:p w14:paraId="7552F9DC" w14:textId="416F1FB7" w:rsidR="0024030A" w:rsidRDefault="0024030A" w:rsidP="00F25D2A">
      <w:pPr>
        <w:pStyle w:val="SingleTxtG"/>
        <w:ind w:left="2268"/>
      </w:pPr>
      <w:r w:rsidRPr="00AC242F">
        <w:t>For air transport,</w:t>
      </w:r>
      <w:r>
        <w:t xml:space="preserve"> </w:t>
      </w:r>
      <w:r w:rsidRPr="001C2EA1">
        <w:rPr>
          <w:b/>
          <w:u w:val="single"/>
        </w:rPr>
        <w:t>the following are not subject to these Regulations:</w:t>
      </w:r>
    </w:p>
    <w:p w14:paraId="0B485154" w14:textId="61A34D4C" w:rsidR="0024030A" w:rsidRPr="000F17F6" w:rsidRDefault="009E6A67" w:rsidP="00F25D2A">
      <w:pPr>
        <w:pStyle w:val="SingleTxtG"/>
        <w:ind w:left="2268"/>
        <w:rPr>
          <w:b/>
          <w:u w:val="single"/>
        </w:rPr>
      </w:pPr>
      <w:r>
        <w:rPr>
          <w:b/>
          <w:u w:val="single"/>
        </w:rPr>
        <w:t>(</w:t>
      </w:r>
      <w:r w:rsidR="0024030A" w:rsidRPr="000F17F6">
        <w:rPr>
          <w:b/>
          <w:u w:val="single"/>
        </w:rPr>
        <w:t>a)</w:t>
      </w:r>
      <w:r w:rsidR="009E7153">
        <w:rPr>
          <w:b/>
        </w:rPr>
        <w:tab/>
      </w:r>
      <w:r w:rsidR="0024030A" w:rsidRPr="00E21DB4">
        <w:t xml:space="preserve">articles </w:t>
      </w:r>
      <w:r w:rsidR="0024030A" w:rsidRPr="000F17F6">
        <w:rPr>
          <w:b/>
          <w:u w:val="single"/>
        </w:rPr>
        <w:t>other than lamps, each</w:t>
      </w:r>
      <w:r w:rsidR="0024030A" w:rsidRPr="00E21DB4">
        <w:t xml:space="preserve"> containing </w:t>
      </w:r>
      <w:r w:rsidR="0024030A" w:rsidRPr="000F17F6">
        <w:rPr>
          <w:b/>
          <w:u w:val="single"/>
        </w:rPr>
        <w:t>a total quantity</w:t>
      </w:r>
      <w:r w:rsidR="0024030A" w:rsidRPr="000F17F6">
        <w:rPr>
          <w:rFonts w:hint="eastAsia"/>
          <w:b/>
          <w:u w:val="single"/>
        </w:rPr>
        <w:t xml:space="preserve"> </w:t>
      </w:r>
      <w:r w:rsidR="0024030A" w:rsidRPr="000F17F6">
        <w:rPr>
          <w:b/>
          <w:u w:val="single"/>
        </w:rPr>
        <w:t xml:space="preserve">of </w:t>
      </w:r>
      <w:r w:rsidR="0024030A">
        <w:t xml:space="preserve">not more than 15 g of mercury </w:t>
      </w:r>
      <w:r w:rsidR="0024030A" w:rsidRPr="000F17F6">
        <w:rPr>
          <w:b/>
          <w:u w:val="single"/>
        </w:rPr>
        <w:t xml:space="preserve">or gallium, if they are installed as an integral part of a machine or apparatus and so fitted that shock or impact damage, leading to leakage of mercury </w:t>
      </w:r>
      <w:r w:rsidR="0024030A" w:rsidRPr="000F17F6">
        <w:rPr>
          <w:rFonts w:hint="eastAsia"/>
          <w:b/>
          <w:u w:val="single"/>
        </w:rPr>
        <w:t>or</w:t>
      </w:r>
      <w:r w:rsidR="0024030A" w:rsidRPr="000F17F6">
        <w:rPr>
          <w:b/>
          <w:u w:val="single"/>
        </w:rPr>
        <w:t xml:space="preserve"> gallium, is unlikely to occur under normal conditions of transport</w:t>
      </w:r>
      <w:r w:rsidR="0024354A">
        <w:rPr>
          <w:rFonts w:hint="eastAsia"/>
          <w:b/>
          <w:u w:val="single"/>
        </w:rPr>
        <w:t>;</w:t>
      </w:r>
    </w:p>
    <w:p w14:paraId="7064C646" w14:textId="6867466E" w:rsidR="0024030A" w:rsidRPr="000F17F6" w:rsidRDefault="009E7153" w:rsidP="00F25D2A">
      <w:pPr>
        <w:pStyle w:val="SingleTxtG"/>
        <w:ind w:left="2268"/>
        <w:rPr>
          <w:b/>
          <w:u w:val="single"/>
        </w:rPr>
      </w:pPr>
      <w:r>
        <w:rPr>
          <w:b/>
          <w:u w:val="single"/>
        </w:rPr>
        <w:t>(</w:t>
      </w:r>
      <w:r w:rsidR="0024030A" w:rsidRPr="000F17F6">
        <w:rPr>
          <w:b/>
          <w:u w:val="single"/>
        </w:rPr>
        <w:t>b)</w:t>
      </w:r>
      <w:r>
        <w:rPr>
          <w:b/>
          <w:u w:val="single"/>
        </w:rPr>
        <w:tab/>
      </w:r>
      <w:r w:rsidR="0024030A" w:rsidRPr="000F17F6">
        <w:rPr>
          <w:b/>
          <w:u w:val="single"/>
        </w:rPr>
        <w:t>articles other than lamps, each containing not more than 100 mg of merc</w:t>
      </w:r>
      <w:r w:rsidR="0024030A" w:rsidRPr="001C2EA1">
        <w:rPr>
          <w:b/>
          <w:u w:val="single"/>
        </w:rPr>
        <w:t>ury, gallium</w:t>
      </w:r>
      <w:r w:rsidR="0024030A" w:rsidRPr="00436AC1">
        <w:rPr>
          <w:b/>
          <w:u w:val="single"/>
        </w:rPr>
        <w:t xml:space="preserve"> or inert gas</w:t>
      </w:r>
      <w:r w:rsidR="0024030A" w:rsidRPr="000F17F6">
        <w:rPr>
          <w:b/>
          <w:u w:val="single"/>
        </w:rPr>
        <w:t xml:space="preserve"> and packaged so that the quantity of mercury</w:t>
      </w:r>
      <w:r w:rsidR="0024030A">
        <w:rPr>
          <w:b/>
          <w:u w:val="single"/>
        </w:rPr>
        <w:t>,</w:t>
      </w:r>
      <w:r w:rsidR="0024030A" w:rsidRPr="000F17F6">
        <w:rPr>
          <w:b/>
          <w:u w:val="single"/>
        </w:rPr>
        <w:t xml:space="preserve"> gallium</w:t>
      </w:r>
      <w:r w:rsidR="0024030A">
        <w:rPr>
          <w:b/>
          <w:u w:val="single"/>
        </w:rPr>
        <w:t xml:space="preserve"> </w:t>
      </w:r>
      <w:r w:rsidR="0024030A" w:rsidRPr="00436AC1">
        <w:rPr>
          <w:b/>
          <w:u w:val="single"/>
        </w:rPr>
        <w:t>or inert gas</w:t>
      </w:r>
      <w:r w:rsidR="0024030A" w:rsidRPr="000F17F6">
        <w:rPr>
          <w:b/>
          <w:u w:val="single"/>
        </w:rPr>
        <w:t xml:space="preserve"> per package is 1 g or less</w:t>
      </w:r>
      <w:r w:rsidR="0024030A" w:rsidRPr="00436AC1">
        <w:t xml:space="preserve"> </w:t>
      </w:r>
      <w:r w:rsidR="0024030A" w:rsidRPr="001C2EA1">
        <w:rPr>
          <w:strike/>
        </w:rPr>
        <w:t>are not subject to these Regulations</w:t>
      </w:r>
      <w:r w:rsidR="0024030A" w:rsidRPr="001C2EA1">
        <w:t>.</w:t>
      </w:r>
      <w:r w:rsidR="00E76F74" w:rsidRPr="0010132B">
        <w:t>”</w:t>
      </w:r>
    </w:p>
    <w:p w14:paraId="65176590" w14:textId="629654C2" w:rsidR="00A16541" w:rsidRPr="009E7153" w:rsidRDefault="009E7153" w:rsidP="009E7153">
      <w:pPr>
        <w:spacing w:before="240"/>
        <w:jc w:val="center"/>
        <w:rPr>
          <w:u w:val="single"/>
        </w:rPr>
      </w:pPr>
      <w:r>
        <w:rPr>
          <w:u w:val="single"/>
        </w:rPr>
        <w:tab/>
      </w:r>
      <w:r>
        <w:rPr>
          <w:u w:val="single"/>
        </w:rPr>
        <w:tab/>
      </w:r>
      <w:r>
        <w:rPr>
          <w:u w:val="single"/>
        </w:rPr>
        <w:tab/>
      </w:r>
    </w:p>
    <w:sectPr w:rsidR="00A16541" w:rsidRPr="009E7153" w:rsidSect="00665C1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73FA0" w14:textId="77777777" w:rsidR="00E33AB9" w:rsidRPr="00C47B2E" w:rsidRDefault="00E33AB9" w:rsidP="00C47B2E">
      <w:pPr>
        <w:pStyle w:val="Footer"/>
      </w:pPr>
    </w:p>
  </w:endnote>
  <w:endnote w:type="continuationSeparator" w:id="0">
    <w:p w14:paraId="47F273FA" w14:textId="77777777" w:rsidR="00E33AB9" w:rsidRPr="00C47B2E" w:rsidRDefault="00E33AB9" w:rsidP="00C47B2E">
      <w:pPr>
        <w:pStyle w:val="Footer"/>
      </w:pPr>
    </w:p>
  </w:endnote>
  <w:endnote w:type="continuationNotice" w:id="1">
    <w:p w14:paraId="3CE6E7B2" w14:textId="77777777" w:rsidR="00E33AB9" w:rsidRPr="00C47B2E" w:rsidRDefault="00E33AB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4E8D" w14:textId="77777777" w:rsidR="00E33AB9" w:rsidRPr="00C47B2E" w:rsidRDefault="00E33AB9" w:rsidP="00C47B2E">
      <w:pPr>
        <w:tabs>
          <w:tab w:val="right" w:pos="2155"/>
        </w:tabs>
        <w:spacing w:after="80" w:line="240" w:lineRule="auto"/>
        <w:ind w:left="680"/>
      </w:pPr>
      <w:r>
        <w:rPr>
          <w:u w:val="single"/>
        </w:rPr>
        <w:tab/>
      </w:r>
    </w:p>
  </w:footnote>
  <w:footnote w:type="continuationSeparator" w:id="0">
    <w:p w14:paraId="055E9E78" w14:textId="77777777" w:rsidR="00E33AB9" w:rsidRPr="00C47B2E" w:rsidRDefault="00E33AB9" w:rsidP="005E716E">
      <w:pPr>
        <w:tabs>
          <w:tab w:val="right" w:pos="2155"/>
        </w:tabs>
        <w:spacing w:after="80" w:line="240" w:lineRule="auto"/>
        <w:ind w:left="680"/>
      </w:pPr>
      <w:r>
        <w:rPr>
          <w:u w:val="single"/>
        </w:rPr>
        <w:tab/>
      </w:r>
    </w:p>
  </w:footnote>
  <w:footnote w:type="continuationNotice" w:id="1">
    <w:p w14:paraId="76D188B3" w14:textId="77777777" w:rsidR="00E33AB9" w:rsidRPr="00C47B2E" w:rsidRDefault="00E33AB9" w:rsidP="00C47B2E">
      <w:pPr>
        <w:pStyle w:val="Footer"/>
      </w:pPr>
    </w:p>
  </w:footnote>
  <w:footnote w:id="2">
    <w:p w14:paraId="79723F49" w14:textId="4428AAE9" w:rsidR="00E80235" w:rsidRPr="00E80235" w:rsidRDefault="00E80235" w:rsidP="00E80235">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4260DE14" w:rsidR="00D55239" w:rsidRPr="00D55239" w:rsidRDefault="00D55239">
    <w:pPr>
      <w:pStyle w:val="Header"/>
      <w:rPr>
        <w:lang w:val="fr-CH"/>
      </w:rPr>
    </w:pPr>
    <w:r>
      <w:rPr>
        <w:lang w:val="fr-CH"/>
      </w:rPr>
      <w:t>ST/SG/AC.10/C.3/2021/1</w:t>
    </w:r>
    <w:r w:rsidR="007B7150">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14C74231" w:rsidR="00D94B05" w:rsidRPr="0003716F" w:rsidRDefault="0003716F" w:rsidP="00665C12">
    <w:pPr>
      <w:pStyle w:val="Header"/>
      <w:jc w:val="right"/>
      <w:rPr>
        <w:lang w:val="fr-CH"/>
      </w:rPr>
    </w:pPr>
    <w:r>
      <w:rPr>
        <w:lang w:val="fr-CH"/>
      </w:rPr>
      <w:t>ST/SG/AC.1</w:t>
    </w:r>
    <w:r w:rsidR="00194194">
      <w:rPr>
        <w:lang w:val="fr-CH"/>
      </w:rPr>
      <w:t>0</w:t>
    </w:r>
    <w:r>
      <w:rPr>
        <w:lang w:val="fr-CH"/>
      </w:rPr>
      <w:t>/C.3/2020/1</w:t>
    </w:r>
    <w:r w:rsidR="007B7150">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576B"/>
    <w:multiLevelType w:val="hybridMultilevel"/>
    <w:tmpl w:val="DF707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A1A2E"/>
    <w:multiLevelType w:val="hybridMultilevel"/>
    <w:tmpl w:val="9B22E924"/>
    <w:lvl w:ilvl="0" w:tplc="6B76EFEA">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B7A5E35"/>
    <w:multiLevelType w:val="hybridMultilevel"/>
    <w:tmpl w:val="DBD0334C"/>
    <w:lvl w:ilvl="0" w:tplc="7234B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56874975"/>
    <w:multiLevelType w:val="hybridMultilevel"/>
    <w:tmpl w:val="B99AC7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7EF3BE9"/>
    <w:multiLevelType w:val="hybridMultilevel"/>
    <w:tmpl w:val="4038230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7"/>
  </w:num>
  <w:num w:numId="2">
    <w:abstractNumId w:val="5"/>
  </w:num>
  <w:num w:numId="3">
    <w:abstractNumId w:val="0"/>
  </w:num>
  <w:num w:numId="4">
    <w:abstractNumId w:val="14"/>
  </w:num>
  <w:num w:numId="5">
    <w:abstractNumId w:val="15"/>
  </w:num>
  <w:num w:numId="6">
    <w:abstractNumId w:val="18"/>
  </w:num>
  <w:num w:numId="7">
    <w:abstractNumId w:val="4"/>
  </w:num>
  <w:num w:numId="8">
    <w:abstractNumId w:val="1"/>
  </w:num>
  <w:num w:numId="9">
    <w:abstractNumId w:val="16"/>
  </w:num>
  <w:num w:numId="10">
    <w:abstractNumId w:val="1"/>
  </w:num>
  <w:num w:numId="11">
    <w:abstractNumId w:val="16"/>
  </w:num>
  <w:num w:numId="12">
    <w:abstractNumId w:val="3"/>
  </w:num>
  <w:num w:numId="13">
    <w:abstractNumId w:val="3"/>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9"/>
  </w:num>
  <w:num w:numId="19">
    <w:abstractNumId w:val="13"/>
  </w:num>
  <w:num w:numId="20">
    <w:abstractNumId w:val="12"/>
  </w:num>
  <w:num w:numId="21">
    <w:abstractNumId w:val="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02239"/>
    <w:rsid w:val="00021EA0"/>
    <w:rsid w:val="0003716F"/>
    <w:rsid w:val="00041485"/>
    <w:rsid w:val="00041F99"/>
    <w:rsid w:val="00046E92"/>
    <w:rsid w:val="000567C4"/>
    <w:rsid w:val="00063C90"/>
    <w:rsid w:val="00066F5E"/>
    <w:rsid w:val="000706E5"/>
    <w:rsid w:val="000A3957"/>
    <w:rsid w:val="000B6BB0"/>
    <w:rsid w:val="000B7BAF"/>
    <w:rsid w:val="000E433D"/>
    <w:rsid w:val="000E4CBA"/>
    <w:rsid w:val="00101B98"/>
    <w:rsid w:val="001027BF"/>
    <w:rsid w:val="00127EC9"/>
    <w:rsid w:val="00135694"/>
    <w:rsid w:val="00150D57"/>
    <w:rsid w:val="0015138C"/>
    <w:rsid w:val="001514D1"/>
    <w:rsid w:val="001518E2"/>
    <w:rsid w:val="00157284"/>
    <w:rsid w:val="00161D40"/>
    <w:rsid w:val="001704CD"/>
    <w:rsid w:val="00183E40"/>
    <w:rsid w:val="00194194"/>
    <w:rsid w:val="00196CEE"/>
    <w:rsid w:val="001A2FD2"/>
    <w:rsid w:val="001B03CD"/>
    <w:rsid w:val="001B7A9C"/>
    <w:rsid w:val="001C103D"/>
    <w:rsid w:val="001C4901"/>
    <w:rsid w:val="001D1567"/>
    <w:rsid w:val="001E3818"/>
    <w:rsid w:val="001F5CD4"/>
    <w:rsid w:val="00210794"/>
    <w:rsid w:val="002125DA"/>
    <w:rsid w:val="00222A0E"/>
    <w:rsid w:val="00226AE5"/>
    <w:rsid w:val="002345C0"/>
    <w:rsid w:val="0024030A"/>
    <w:rsid w:val="002415CA"/>
    <w:rsid w:val="0024354A"/>
    <w:rsid w:val="00247E2C"/>
    <w:rsid w:val="00250A2A"/>
    <w:rsid w:val="002A32CB"/>
    <w:rsid w:val="002B2ACF"/>
    <w:rsid w:val="002C04E3"/>
    <w:rsid w:val="002C2BB2"/>
    <w:rsid w:val="002C4EB9"/>
    <w:rsid w:val="002C6809"/>
    <w:rsid w:val="002C7E1A"/>
    <w:rsid w:val="002D5B2C"/>
    <w:rsid w:val="002D6C53"/>
    <w:rsid w:val="002F3A68"/>
    <w:rsid w:val="002F5595"/>
    <w:rsid w:val="00306D49"/>
    <w:rsid w:val="00333F20"/>
    <w:rsid w:val="00334F6A"/>
    <w:rsid w:val="00342AC8"/>
    <w:rsid w:val="00343302"/>
    <w:rsid w:val="00361775"/>
    <w:rsid w:val="0036301F"/>
    <w:rsid w:val="0037386D"/>
    <w:rsid w:val="00375AC0"/>
    <w:rsid w:val="00385374"/>
    <w:rsid w:val="00393E66"/>
    <w:rsid w:val="00397076"/>
    <w:rsid w:val="003979DE"/>
    <w:rsid w:val="003A4D95"/>
    <w:rsid w:val="003B01C0"/>
    <w:rsid w:val="003B4550"/>
    <w:rsid w:val="003D2A18"/>
    <w:rsid w:val="003E0565"/>
    <w:rsid w:val="00411B8E"/>
    <w:rsid w:val="00413386"/>
    <w:rsid w:val="00415ECF"/>
    <w:rsid w:val="00417637"/>
    <w:rsid w:val="00457655"/>
    <w:rsid w:val="00461253"/>
    <w:rsid w:val="004858F5"/>
    <w:rsid w:val="00493B08"/>
    <w:rsid w:val="004A2814"/>
    <w:rsid w:val="004B0297"/>
    <w:rsid w:val="004C0622"/>
    <w:rsid w:val="004C73F2"/>
    <w:rsid w:val="00503D6C"/>
    <w:rsid w:val="005042C2"/>
    <w:rsid w:val="00524ECB"/>
    <w:rsid w:val="0052534A"/>
    <w:rsid w:val="00526EA0"/>
    <w:rsid w:val="00547709"/>
    <w:rsid w:val="00577996"/>
    <w:rsid w:val="00583B11"/>
    <w:rsid w:val="00586F41"/>
    <w:rsid w:val="005872B3"/>
    <w:rsid w:val="00596699"/>
    <w:rsid w:val="005A5925"/>
    <w:rsid w:val="005B1885"/>
    <w:rsid w:val="005B30C1"/>
    <w:rsid w:val="005C1B40"/>
    <w:rsid w:val="005E716E"/>
    <w:rsid w:val="00620ABE"/>
    <w:rsid w:val="00623396"/>
    <w:rsid w:val="006471C8"/>
    <w:rsid w:val="006476E1"/>
    <w:rsid w:val="006562B1"/>
    <w:rsid w:val="00657CAC"/>
    <w:rsid w:val="006604DF"/>
    <w:rsid w:val="00665C12"/>
    <w:rsid w:val="00671529"/>
    <w:rsid w:val="00682C2C"/>
    <w:rsid w:val="00692849"/>
    <w:rsid w:val="00696DF8"/>
    <w:rsid w:val="006A5A68"/>
    <w:rsid w:val="006B1800"/>
    <w:rsid w:val="006D79DC"/>
    <w:rsid w:val="006E174B"/>
    <w:rsid w:val="006E7309"/>
    <w:rsid w:val="006E762B"/>
    <w:rsid w:val="00702220"/>
    <w:rsid w:val="0070489D"/>
    <w:rsid w:val="0071305D"/>
    <w:rsid w:val="00715A05"/>
    <w:rsid w:val="0072517D"/>
    <w:rsid w:val="007268F9"/>
    <w:rsid w:val="00734141"/>
    <w:rsid w:val="00734927"/>
    <w:rsid w:val="007409AE"/>
    <w:rsid w:val="00750282"/>
    <w:rsid w:val="00751942"/>
    <w:rsid w:val="007569F0"/>
    <w:rsid w:val="00764440"/>
    <w:rsid w:val="0077101B"/>
    <w:rsid w:val="00773D2D"/>
    <w:rsid w:val="007918A8"/>
    <w:rsid w:val="007A3C6E"/>
    <w:rsid w:val="007A4FA7"/>
    <w:rsid w:val="007B0507"/>
    <w:rsid w:val="007B7150"/>
    <w:rsid w:val="007C2822"/>
    <w:rsid w:val="007C52B0"/>
    <w:rsid w:val="007C6033"/>
    <w:rsid w:val="007E2AAC"/>
    <w:rsid w:val="007E7F87"/>
    <w:rsid w:val="008147C8"/>
    <w:rsid w:val="0081753A"/>
    <w:rsid w:val="008562F6"/>
    <w:rsid w:val="00857D23"/>
    <w:rsid w:val="008602A5"/>
    <w:rsid w:val="00867FAF"/>
    <w:rsid w:val="00872359"/>
    <w:rsid w:val="008B3F35"/>
    <w:rsid w:val="008B5C09"/>
    <w:rsid w:val="008C50E6"/>
    <w:rsid w:val="008D46C4"/>
    <w:rsid w:val="008D5BDB"/>
    <w:rsid w:val="008E064A"/>
    <w:rsid w:val="008E1159"/>
    <w:rsid w:val="009002CF"/>
    <w:rsid w:val="009027CD"/>
    <w:rsid w:val="0093347D"/>
    <w:rsid w:val="009411B4"/>
    <w:rsid w:val="0094453D"/>
    <w:rsid w:val="00946F1D"/>
    <w:rsid w:val="00952613"/>
    <w:rsid w:val="00967B07"/>
    <w:rsid w:val="009805A2"/>
    <w:rsid w:val="00982C9F"/>
    <w:rsid w:val="00986A8A"/>
    <w:rsid w:val="0099288F"/>
    <w:rsid w:val="00995188"/>
    <w:rsid w:val="009C5FA2"/>
    <w:rsid w:val="009C6130"/>
    <w:rsid w:val="009D0139"/>
    <w:rsid w:val="009D717D"/>
    <w:rsid w:val="009E6A67"/>
    <w:rsid w:val="009E7153"/>
    <w:rsid w:val="009F5CDC"/>
    <w:rsid w:val="00A072D7"/>
    <w:rsid w:val="00A14092"/>
    <w:rsid w:val="00A16541"/>
    <w:rsid w:val="00A20E10"/>
    <w:rsid w:val="00A31B0F"/>
    <w:rsid w:val="00A407A4"/>
    <w:rsid w:val="00A41B2B"/>
    <w:rsid w:val="00A532D4"/>
    <w:rsid w:val="00A749FF"/>
    <w:rsid w:val="00A775CF"/>
    <w:rsid w:val="00A96B55"/>
    <w:rsid w:val="00AA165B"/>
    <w:rsid w:val="00AB61AF"/>
    <w:rsid w:val="00AC4F4A"/>
    <w:rsid w:val="00AC58DB"/>
    <w:rsid w:val="00AD1A9C"/>
    <w:rsid w:val="00AE0482"/>
    <w:rsid w:val="00AE41E4"/>
    <w:rsid w:val="00AE4DD8"/>
    <w:rsid w:val="00AF1E47"/>
    <w:rsid w:val="00AF5173"/>
    <w:rsid w:val="00AF5DE1"/>
    <w:rsid w:val="00B00CC6"/>
    <w:rsid w:val="00B045AF"/>
    <w:rsid w:val="00B06045"/>
    <w:rsid w:val="00B14D0C"/>
    <w:rsid w:val="00B206DD"/>
    <w:rsid w:val="00B22767"/>
    <w:rsid w:val="00B23081"/>
    <w:rsid w:val="00B32B14"/>
    <w:rsid w:val="00B412AE"/>
    <w:rsid w:val="00B44915"/>
    <w:rsid w:val="00B51568"/>
    <w:rsid w:val="00B52EF4"/>
    <w:rsid w:val="00B571C0"/>
    <w:rsid w:val="00B777AD"/>
    <w:rsid w:val="00B9672D"/>
    <w:rsid w:val="00BD0195"/>
    <w:rsid w:val="00C03015"/>
    <w:rsid w:val="00C0358D"/>
    <w:rsid w:val="00C05F7C"/>
    <w:rsid w:val="00C26759"/>
    <w:rsid w:val="00C35A27"/>
    <w:rsid w:val="00C47B2E"/>
    <w:rsid w:val="00C70FDC"/>
    <w:rsid w:val="00C71F3D"/>
    <w:rsid w:val="00C7503F"/>
    <w:rsid w:val="00C76FAF"/>
    <w:rsid w:val="00C832C7"/>
    <w:rsid w:val="00C956EB"/>
    <w:rsid w:val="00C95FC3"/>
    <w:rsid w:val="00C97377"/>
    <w:rsid w:val="00CB2326"/>
    <w:rsid w:val="00CC78F1"/>
    <w:rsid w:val="00CC7CC1"/>
    <w:rsid w:val="00CD052B"/>
    <w:rsid w:val="00CD223B"/>
    <w:rsid w:val="00CD49B3"/>
    <w:rsid w:val="00CF09F2"/>
    <w:rsid w:val="00D0680A"/>
    <w:rsid w:val="00D17ED6"/>
    <w:rsid w:val="00D31D53"/>
    <w:rsid w:val="00D32C45"/>
    <w:rsid w:val="00D353C9"/>
    <w:rsid w:val="00D42BFB"/>
    <w:rsid w:val="00D46469"/>
    <w:rsid w:val="00D53494"/>
    <w:rsid w:val="00D55239"/>
    <w:rsid w:val="00D6085D"/>
    <w:rsid w:val="00D63CD2"/>
    <w:rsid w:val="00D82088"/>
    <w:rsid w:val="00D87522"/>
    <w:rsid w:val="00D87DC2"/>
    <w:rsid w:val="00D94B05"/>
    <w:rsid w:val="00DC7FEF"/>
    <w:rsid w:val="00DF1A14"/>
    <w:rsid w:val="00E02C2B"/>
    <w:rsid w:val="00E1324D"/>
    <w:rsid w:val="00E21C27"/>
    <w:rsid w:val="00E22CB6"/>
    <w:rsid w:val="00E26BCF"/>
    <w:rsid w:val="00E33AB9"/>
    <w:rsid w:val="00E34DD3"/>
    <w:rsid w:val="00E35440"/>
    <w:rsid w:val="00E4374B"/>
    <w:rsid w:val="00E47D17"/>
    <w:rsid w:val="00E52109"/>
    <w:rsid w:val="00E539B1"/>
    <w:rsid w:val="00E60F21"/>
    <w:rsid w:val="00E6349C"/>
    <w:rsid w:val="00E75317"/>
    <w:rsid w:val="00E76F74"/>
    <w:rsid w:val="00E80235"/>
    <w:rsid w:val="00E9438A"/>
    <w:rsid w:val="00EA1FFD"/>
    <w:rsid w:val="00EC0CE6"/>
    <w:rsid w:val="00EC3332"/>
    <w:rsid w:val="00EC3554"/>
    <w:rsid w:val="00EC7799"/>
    <w:rsid w:val="00EC7C1D"/>
    <w:rsid w:val="00ED34FB"/>
    <w:rsid w:val="00ED3BFA"/>
    <w:rsid w:val="00ED59C3"/>
    <w:rsid w:val="00ED6C48"/>
    <w:rsid w:val="00EE3045"/>
    <w:rsid w:val="00EE5E15"/>
    <w:rsid w:val="00F101D0"/>
    <w:rsid w:val="00F208C0"/>
    <w:rsid w:val="00F25D2A"/>
    <w:rsid w:val="00F530B6"/>
    <w:rsid w:val="00F62A1E"/>
    <w:rsid w:val="00F65F5D"/>
    <w:rsid w:val="00F71F76"/>
    <w:rsid w:val="00F86A3A"/>
    <w:rsid w:val="00F86F31"/>
    <w:rsid w:val="00F87E55"/>
    <w:rsid w:val="00F937B5"/>
    <w:rsid w:val="00FA0ADE"/>
    <w:rsid w:val="00FA6135"/>
    <w:rsid w:val="00FD28B0"/>
    <w:rsid w:val="00FD576F"/>
    <w:rsid w:val="00FD67FE"/>
    <w:rsid w:val="00FE628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DD4B1E60-E447-4467-AA56-234A150F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 w:type="character" w:customStyle="1" w:styleId="HChGChar">
    <w:name w:val="_ H _Ch_G Char"/>
    <w:link w:val="HChG"/>
    <w:locked/>
    <w:rsid w:val="008E115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2.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97</TotalTime>
  <Pages>5</Pages>
  <Words>1833</Words>
  <Characters>9771</Characters>
  <Application>Microsoft Office Word</Application>
  <DocSecurity>0</DocSecurity>
  <Lines>375</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keywords/>
  <cp:lastModifiedBy>Laurence Berthet</cp:lastModifiedBy>
  <cp:revision>92</cp:revision>
  <cp:lastPrinted>2021-04-16T12:41:00Z</cp:lastPrinted>
  <dcterms:created xsi:type="dcterms:W3CDTF">2021-04-08T23:34:00Z</dcterms:created>
  <dcterms:modified xsi:type="dcterms:W3CDTF">2021-04-16T12:41:00Z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