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2B194C" w14:paraId="1F38DB93" w14:textId="77777777" w:rsidTr="00A27C92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A475FF3" w14:textId="77777777" w:rsidR="002B194C" w:rsidRPr="002B194C" w:rsidRDefault="002B194C" w:rsidP="002B194C">
            <w:pPr>
              <w:jc w:val="right"/>
              <w:rPr>
                <w:lang w:val="en-US"/>
              </w:rPr>
            </w:pPr>
            <w:r w:rsidRPr="002B194C">
              <w:rPr>
                <w:sz w:val="40"/>
                <w:lang w:val="en-US"/>
              </w:rPr>
              <w:t>E</w:t>
            </w:r>
            <w:r w:rsidRPr="002B194C">
              <w:rPr>
                <w:lang w:val="en-US"/>
              </w:rPr>
              <w:t>/ECE/324/Rev.1/Add.94/Rev.2/Amend.5−</w:t>
            </w:r>
            <w:r w:rsidRPr="002B194C">
              <w:rPr>
                <w:sz w:val="40"/>
                <w:lang w:val="en-US"/>
              </w:rPr>
              <w:t>E</w:t>
            </w:r>
            <w:r w:rsidRPr="002B194C">
              <w:rPr>
                <w:lang w:val="en-US"/>
              </w:rPr>
              <w:t>/ECE/TRANS/505/Rev.1/Add.94/Rev.2/Amend.5</w:t>
            </w:r>
          </w:p>
        </w:tc>
      </w:tr>
      <w:tr w:rsidR="00421A10" w:rsidRPr="00DB58B5" w14:paraId="57F4168A" w14:textId="77777777" w:rsidTr="00A27C92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34C5843" w14:textId="77777777" w:rsidR="00421A10" w:rsidRPr="002B194C" w:rsidRDefault="00421A10" w:rsidP="00A27C92">
            <w:pPr>
              <w:spacing w:before="120" w:line="380" w:lineRule="exact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2E2F595" w14:textId="5166D914" w:rsidR="00421A10" w:rsidRPr="00DB58B5" w:rsidRDefault="002B194C" w:rsidP="00861031">
            <w:pPr>
              <w:spacing w:before="720" w:line="240" w:lineRule="exact"/>
            </w:pPr>
            <w:r>
              <w:t>2 février 2021</w:t>
            </w:r>
          </w:p>
        </w:tc>
      </w:tr>
    </w:tbl>
    <w:p w14:paraId="4A119BEE" w14:textId="77777777"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>Accord</w:t>
      </w:r>
    </w:p>
    <w:p w14:paraId="2097C43E" w14:textId="58078605" w:rsidR="00421A10" w:rsidRPr="00583D68" w:rsidRDefault="0029791D" w:rsidP="0029791D">
      <w:pPr>
        <w:pStyle w:val="H1G"/>
      </w:pPr>
      <w:r>
        <w:tab/>
      </w:r>
      <w:r>
        <w:tab/>
      </w:r>
      <w:r w:rsidR="00421A10" w:rsidRPr="00583D68">
        <w:t xml:space="preserve">Concernant l’adoption </w:t>
      </w:r>
      <w:r w:rsidR="002B194C" w:rsidRPr="006F4FF1">
        <w:rPr>
          <w:lang w:val="fr-FR"/>
        </w:rPr>
        <w:t xml:space="preserve">de Règlements techniques harmonisés </w:t>
      </w:r>
      <w:r w:rsidR="002B194C">
        <w:rPr>
          <w:lang w:val="fr-FR"/>
        </w:rPr>
        <w:br/>
      </w:r>
      <w:r w:rsidR="002B194C" w:rsidRPr="006F4FF1">
        <w:rPr>
          <w:lang w:val="fr-FR"/>
        </w:rPr>
        <w:t>de l</w:t>
      </w:r>
      <w:r w:rsidR="002B194C">
        <w:rPr>
          <w:b w:val="0"/>
          <w:lang w:val="fr-FR"/>
        </w:rPr>
        <w:t>’</w:t>
      </w:r>
      <w:r w:rsidR="002B194C" w:rsidRPr="006F4FF1">
        <w:rPr>
          <w:lang w:val="fr-FR"/>
        </w:rPr>
        <w:t xml:space="preserve">ONU applicables aux véhicules à roues et aux équipements </w:t>
      </w:r>
      <w:r w:rsidR="002B194C">
        <w:rPr>
          <w:lang w:val="fr-FR"/>
        </w:rPr>
        <w:br/>
      </w:r>
      <w:r w:rsidR="002B194C" w:rsidRPr="006F4FF1">
        <w:rPr>
          <w:lang w:val="fr-FR"/>
        </w:rPr>
        <w:t>et pièces susceptibles d</w:t>
      </w:r>
      <w:r w:rsidR="002B194C">
        <w:rPr>
          <w:b w:val="0"/>
          <w:lang w:val="fr-FR"/>
        </w:rPr>
        <w:t>’</w:t>
      </w:r>
      <w:r w:rsidR="002B194C" w:rsidRPr="006F4FF1">
        <w:rPr>
          <w:lang w:val="fr-FR"/>
        </w:rPr>
        <w:t xml:space="preserve">être montés ou utilisés sur les véhicules </w:t>
      </w:r>
      <w:r w:rsidR="002B194C">
        <w:rPr>
          <w:lang w:val="fr-FR"/>
        </w:rPr>
        <w:br/>
      </w:r>
      <w:r w:rsidR="002B194C" w:rsidRPr="006F4FF1">
        <w:rPr>
          <w:lang w:val="fr-FR"/>
        </w:rPr>
        <w:t>à roues et les conditions de reconnaissance réciproque des homologations délivrées conformément à ces Règlements</w:t>
      </w:r>
      <w:r w:rsidR="00442E31" w:rsidRPr="002B194C">
        <w:rPr>
          <w:rStyle w:val="Appelnotedebasdep"/>
          <w:b w:val="0"/>
          <w:bCs/>
          <w:sz w:val="20"/>
          <w:vertAlign w:val="baseline"/>
        </w:rPr>
        <w:footnoteReference w:customMarkFollows="1" w:id="2"/>
        <w:t>*</w:t>
      </w:r>
    </w:p>
    <w:p w14:paraId="79503CA3" w14:textId="1D81C8CE" w:rsidR="00421A10" w:rsidRPr="00A12483" w:rsidRDefault="00421A10" w:rsidP="0029791D">
      <w:pPr>
        <w:pStyle w:val="SingleTxtG"/>
        <w:jc w:val="left"/>
        <w:rPr>
          <w:b/>
          <w:sz w:val="24"/>
          <w:szCs w:val="24"/>
        </w:rPr>
      </w:pPr>
      <w:r w:rsidRPr="006549FF">
        <w:t xml:space="preserve">(Révision </w:t>
      </w:r>
      <w:r w:rsidR="002B194C" w:rsidRPr="006F4FF1">
        <w:rPr>
          <w:rFonts w:eastAsia="Calibri"/>
          <w:lang w:val="fr-FR"/>
        </w:rPr>
        <w:t>3, comprenant les amendements entrés en vigueur le 14</w:t>
      </w:r>
      <w:r w:rsidR="002B194C">
        <w:rPr>
          <w:rFonts w:eastAsia="Calibri"/>
          <w:lang w:val="fr-FR"/>
        </w:rPr>
        <w:t> </w:t>
      </w:r>
      <w:r w:rsidR="002B194C" w:rsidRPr="006F4FF1">
        <w:rPr>
          <w:rFonts w:eastAsia="Calibri"/>
          <w:lang w:val="fr-FR"/>
        </w:rPr>
        <w:t>septembre 2017</w:t>
      </w:r>
      <w:r w:rsidRPr="006549FF">
        <w:t>)</w:t>
      </w:r>
    </w:p>
    <w:p w14:paraId="1633294F" w14:textId="77777777" w:rsidR="00421A10" w:rsidRPr="006549FF" w:rsidRDefault="0029791D" w:rsidP="0029791D">
      <w:pPr>
        <w:jc w:val="center"/>
      </w:pPr>
      <w:r>
        <w:t>_______________</w:t>
      </w:r>
    </w:p>
    <w:p w14:paraId="43C48B59" w14:textId="13691901"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 xml:space="preserve">Additif </w:t>
      </w:r>
      <w:r w:rsidR="002B194C">
        <w:t>94 </w:t>
      </w:r>
      <w:r w:rsidR="00421A10" w:rsidRPr="006549FF">
        <w:t>: Règlement</w:t>
      </w:r>
      <w:r w:rsidR="00421A10">
        <w:t xml:space="preserve"> </w:t>
      </w:r>
      <w:r w:rsidR="001E7643">
        <w:t xml:space="preserve">ONU </w:t>
      </w:r>
      <w:r w:rsidR="00421A10" w:rsidRPr="00B371BF">
        <w:t>n</w:t>
      </w:r>
      <w:r w:rsidR="00421A10" w:rsidRPr="00B371BF">
        <w:rPr>
          <w:vertAlign w:val="superscript"/>
        </w:rPr>
        <w:t>o</w:t>
      </w:r>
      <w:r w:rsidR="00421A10">
        <w:t> </w:t>
      </w:r>
      <w:r w:rsidR="002B194C">
        <w:t>95</w:t>
      </w:r>
    </w:p>
    <w:p w14:paraId="6622B264" w14:textId="5C974B6A" w:rsidR="00421A10" w:rsidRPr="006549FF" w:rsidRDefault="0029791D" w:rsidP="0029791D">
      <w:pPr>
        <w:pStyle w:val="H1G"/>
      </w:pPr>
      <w:r>
        <w:tab/>
      </w:r>
      <w:r>
        <w:tab/>
      </w:r>
      <w:r w:rsidR="00421A10" w:rsidRPr="006549FF">
        <w:t xml:space="preserve">Révision </w:t>
      </w:r>
      <w:r w:rsidR="002B194C">
        <w:t>2 − Amendement 5</w:t>
      </w:r>
    </w:p>
    <w:p w14:paraId="5C229718" w14:textId="45B0F524" w:rsidR="00421A10" w:rsidRPr="004A7E44" w:rsidRDefault="002B194C" w:rsidP="0029791D">
      <w:pPr>
        <w:pStyle w:val="SingleTxtG"/>
        <w:spacing w:after="0"/>
      </w:pPr>
      <w:r w:rsidRPr="006F4FF1">
        <w:rPr>
          <w:spacing w:val="-2"/>
          <w:lang w:val="fr-FR"/>
        </w:rPr>
        <w:t>Série 04 d</w:t>
      </w:r>
      <w:r>
        <w:rPr>
          <w:spacing w:val="-2"/>
          <w:lang w:val="fr-FR"/>
        </w:rPr>
        <w:t>’</w:t>
      </w:r>
      <w:r w:rsidRPr="006F4FF1">
        <w:rPr>
          <w:spacing w:val="-2"/>
          <w:lang w:val="fr-FR"/>
        </w:rPr>
        <w:t xml:space="preserve">amendements </w:t>
      </w:r>
      <w:r>
        <w:rPr>
          <w:spacing w:val="-2"/>
          <w:lang w:val="fr-FR"/>
        </w:rPr>
        <w:t>−</w:t>
      </w:r>
      <w:r w:rsidRPr="006F4FF1">
        <w:rPr>
          <w:spacing w:val="-2"/>
          <w:lang w:val="fr-FR"/>
        </w:rPr>
        <w:t xml:space="preserve"> Date d</w:t>
      </w:r>
      <w:r>
        <w:rPr>
          <w:spacing w:val="-2"/>
          <w:lang w:val="fr-FR"/>
        </w:rPr>
        <w:t>’</w:t>
      </w:r>
      <w:r w:rsidRPr="006F4FF1">
        <w:rPr>
          <w:spacing w:val="-2"/>
          <w:lang w:val="fr-FR"/>
        </w:rPr>
        <w:t xml:space="preserve">entrée en vigueur : </w:t>
      </w:r>
      <w:r w:rsidRPr="006F4FF1">
        <w:rPr>
          <w:lang w:val="fr-FR"/>
        </w:rPr>
        <w:t>3 janvier 2021</w:t>
      </w:r>
    </w:p>
    <w:p w14:paraId="6CCA802D" w14:textId="1418023B" w:rsidR="00421A10" w:rsidRDefault="0029791D" w:rsidP="0029791D">
      <w:pPr>
        <w:pStyle w:val="H1G"/>
      </w:pPr>
      <w:r>
        <w:tab/>
      </w:r>
      <w:r>
        <w:tab/>
      </w:r>
      <w:r w:rsidR="00421A10" w:rsidRPr="007619D3">
        <w:t xml:space="preserve">Prescriptions uniformes </w:t>
      </w:r>
      <w:r w:rsidR="002B194C" w:rsidRPr="006F4FF1">
        <w:rPr>
          <w:bCs/>
          <w:szCs w:val="24"/>
          <w:lang w:val="fr-FR"/>
        </w:rPr>
        <w:t>relatives à l</w:t>
      </w:r>
      <w:r w:rsidR="002B194C">
        <w:rPr>
          <w:bCs/>
          <w:szCs w:val="24"/>
          <w:lang w:val="fr-FR"/>
        </w:rPr>
        <w:t>’</w:t>
      </w:r>
      <w:r w:rsidR="002B194C" w:rsidRPr="006F4FF1">
        <w:rPr>
          <w:bCs/>
          <w:szCs w:val="24"/>
          <w:lang w:val="fr-FR"/>
        </w:rPr>
        <w:t>homologation de véhicules</w:t>
      </w:r>
      <w:r w:rsidR="002B194C" w:rsidRPr="006F4FF1">
        <w:rPr>
          <w:bCs/>
          <w:szCs w:val="24"/>
          <w:lang w:val="fr-FR"/>
        </w:rPr>
        <w:br/>
        <w:t>en ce qui concerne la protection de leurs occupants</w:t>
      </w:r>
      <w:r w:rsidR="002B194C">
        <w:rPr>
          <w:bCs/>
          <w:szCs w:val="24"/>
          <w:lang w:val="fr-FR"/>
        </w:rPr>
        <w:t xml:space="preserve"> </w:t>
      </w:r>
      <w:r w:rsidR="002B194C" w:rsidRPr="006F4FF1">
        <w:rPr>
          <w:bCs/>
          <w:szCs w:val="24"/>
          <w:lang w:val="fr-FR"/>
        </w:rPr>
        <w:t xml:space="preserve">en cas </w:t>
      </w:r>
      <w:r w:rsidR="002B194C">
        <w:rPr>
          <w:bCs/>
          <w:szCs w:val="24"/>
          <w:lang w:val="fr-FR"/>
        </w:rPr>
        <w:br/>
      </w:r>
      <w:r w:rsidR="002B194C" w:rsidRPr="006F4FF1">
        <w:rPr>
          <w:bCs/>
          <w:szCs w:val="24"/>
          <w:lang w:val="fr-FR"/>
        </w:rPr>
        <w:t>de collision latérale</w:t>
      </w:r>
    </w:p>
    <w:p w14:paraId="2FA4327D" w14:textId="5AF3B27E" w:rsidR="002B194C" w:rsidRDefault="002B194C" w:rsidP="002B194C">
      <w:pPr>
        <w:pStyle w:val="SingleTxtG"/>
        <w:spacing w:after="0"/>
      </w:pPr>
      <w:r w:rsidRPr="006F4FF1">
        <w:rPr>
          <w:spacing w:val="-4"/>
          <w:lang w:val="fr-FR" w:eastAsia="en-GB"/>
        </w:rPr>
        <w:t>Le présent document est communiqué uniquement à titre d</w:t>
      </w:r>
      <w:r>
        <w:rPr>
          <w:spacing w:val="-4"/>
          <w:lang w:val="fr-FR" w:eastAsia="en-GB"/>
        </w:rPr>
        <w:t>’</w:t>
      </w:r>
      <w:r w:rsidRPr="006F4FF1">
        <w:rPr>
          <w:spacing w:val="-4"/>
          <w:lang w:val="fr-FR" w:eastAsia="en-GB"/>
        </w:rPr>
        <w:t xml:space="preserve">information. Le texte authentique, juridiquement contraignant, est celui du document </w:t>
      </w:r>
      <w:r w:rsidRPr="006F4FF1">
        <w:rPr>
          <w:spacing w:val="-6"/>
          <w:lang w:val="fr-FR" w:eastAsia="en-GB"/>
        </w:rPr>
        <w:t>ECE/TRANS/WP.29/2020/61</w:t>
      </w:r>
    </w:p>
    <w:p w14:paraId="4931ADDE" w14:textId="521381C9" w:rsidR="002B194C" w:rsidRDefault="00861031">
      <w:pPr>
        <w:suppressAutoHyphens w:val="0"/>
        <w:kinsoku/>
        <w:overflowPunct/>
        <w:autoSpaceDE/>
        <w:autoSpaceDN/>
        <w:adjustRightInd/>
        <w:snapToGrid/>
        <w:spacing w:line="240" w:lineRule="auto"/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E7E9EE" wp14:editId="7A54D1C1">
                <wp:simplePos x="0" y="0"/>
                <wp:positionH relativeFrom="margin">
                  <wp:posOffset>932</wp:posOffset>
                </wp:positionH>
                <wp:positionV relativeFrom="margin">
                  <wp:posOffset>6302141</wp:posOffset>
                </wp:positionV>
                <wp:extent cx="6119495" cy="1204466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9495" cy="12044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FAA64B" w14:textId="77777777" w:rsidR="00442E31" w:rsidRPr="0029791D" w:rsidRDefault="00442E31" w:rsidP="00861031">
                            <w:pPr>
                              <w:spacing w:after="120"/>
                              <w:ind w:left="1134" w:right="1134"/>
                              <w:jc w:val="center"/>
                            </w:pPr>
                            <w:r>
                              <w:t>_______________</w:t>
                            </w:r>
                          </w:p>
                          <w:p w14:paraId="7FCA727E" w14:textId="77777777" w:rsidR="00442E31" w:rsidRDefault="00442E31" w:rsidP="00C9521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lang w:eastAsia="fr-CH"/>
                              </w:rPr>
                              <w:drawing>
                                <wp:inline distT="0" distB="0" distL="0" distR="0" wp14:anchorId="31B9B09A" wp14:editId="3BB8CAD4">
                                  <wp:extent cx="914400" cy="771525"/>
                                  <wp:effectExtent l="0" t="0" r="0" b="9525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7608" r="-760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4975785" w14:textId="77777777" w:rsidR="00442E31" w:rsidRDefault="00442E31" w:rsidP="00C6525D">
                            <w:pPr>
                              <w:jc w:val="center"/>
                            </w:pPr>
                            <w:r w:rsidRPr="0029791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Nations Unies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E7E9EE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.05pt;margin-top:496.25pt;width:481.85pt;height:94.8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" stroked="f">
                <v:textbox inset="0,0,0,0">
                  <w:txbxContent>
                    <w:p w14:paraId="59FAA64B" w14:textId="77777777" w:rsidR="00442E31" w:rsidRPr="0029791D" w:rsidRDefault="00442E31" w:rsidP="00861031">
                      <w:pPr>
                        <w:spacing w:after="120"/>
                        <w:ind w:left="1134" w:right="1134"/>
                        <w:jc w:val="center"/>
                      </w:pPr>
                      <w:r>
                        <w:t>_______________</w:t>
                      </w:r>
                    </w:p>
                    <w:p w14:paraId="7FCA727E" w14:textId="77777777" w:rsidR="00442E31" w:rsidRDefault="00442E31" w:rsidP="00C9521D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noProof/>
                          <w:lang w:eastAsia="fr-CH"/>
                        </w:rPr>
                        <w:drawing>
                          <wp:inline distT="0" distB="0" distL="0" distR="0" wp14:anchorId="31B9B09A" wp14:editId="3BB8CAD4">
                            <wp:extent cx="914400" cy="771525"/>
                            <wp:effectExtent l="0" t="0" r="0" b="9525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7608" r="-760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4975785" w14:textId="77777777" w:rsidR="00442E31" w:rsidRDefault="00442E31" w:rsidP="00C6525D">
                      <w:pPr>
                        <w:jc w:val="center"/>
                      </w:pPr>
                      <w:r w:rsidRPr="0029791D">
                        <w:rPr>
                          <w:b/>
                          <w:bCs/>
                          <w:sz w:val="24"/>
                          <w:szCs w:val="24"/>
                        </w:rPr>
                        <w:t>Nations Unies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2B194C">
        <w:br w:type="page"/>
      </w:r>
    </w:p>
    <w:p w14:paraId="7740C81C" w14:textId="77777777" w:rsidR="002B194C" w:rsidRPr="006F4FF1" w:rsidRDefault="002B194C" w:rsidP="002B194C">
      <w:pPr>
        <w:pStyle w:val="SingleTxtG"/>
        <w:rPr>
          <w:lang w:val="fr-FR"/>
        </w:rPr>
      </w:pPr>
      <w:r w:rsidRPr="002B194C">
        <w:rPr>
          <w:i/>
          <w:iCs/>
          <w:lang w:val="fr-FR"/>
        </w:rPr>
        <w:lastRenderedPageBreak/>
        <w:t>Paragraphe 1</w:t>
      </w:r>
      <w:r w:rsidRPr="006F4FF1">
        <w:rPr>
          <w:lang w:val="fr-FR"/>
        </w:rPr>
        <w:t>, lire :</w:t>
      </w:r>
    </w:p>
    <w:p w14:paraId="0B49C373" w14:textId="1D84427A" w:rsidR="002B194C" w:rsidRPr="006F4FF1" w:rsidRDefault="002B194C" w:rsidP="002B194C">
      <w:pPr>
        <w:pStyle w:val="HChG"/>
        <w:ind w:left="2268"/>
        <w:rPr>
          <w:lang w:val="fr-FR"/>
        </w:rPr>
      </w:pPr>
      <w:r w:rsidRPr="006F4FF1">
        <w:rPr>
          <w:lang w:val="fr-FR"/>
        </w:rPr>
        <w:t>« 1.</w:t>
      </w:r>
      <w:r w:rsidRPr="006F4FF1">
        <w:rPr>
          <w:lang w:val="fr-FR"/>
        </w:rPr>
        <w:tab/>
      </w:r>
      <w:r w:rsidRPr="006F4FF1">
        <w:rPr>
          <w:lang w:val="fr-FR"/>
        </w:rPr>
        <w:tab/>
        <w:t>Domaine d</w:t>
      </w:r>
      <w:r>
        <w:rPr>
          <w:lang w:val="fr-FR"/>
        </w:rPr>
        <w:t>’</w:t>
      </w:r>
      <w:r w:rsidRPr="006F4FF1">
        <w:rPr>
          <w:lang w:val="fr-FR"/>
        </w:rPr>
        <w:t>application</w:t>
      </w:r>
      <w:bookmarkStart w:id="0" w:name="_Toc355617304"/>
      <w:bookmarkEnd w:id="0"/>
    </w:p>
    <w:p w14:paraId="27DBCE33" w14:textId="77777777" w:rsidR="002B194C" w:rsidRPr="006F4FF1" w:rsidRDefault="002B194C" w:rsidP="002B194C">
      <w:pPr>
        <w:pStyle w:val="SingleTxtG"/>
        <w:ind w:left="2268"/>
        <w:rPr>
          <w:lang w:val="fr-FR"/>
        </w:rPr>
      </w:pPr>
      <w:r w:rsidRPr="006F4FF1">
        <w:rPr>
          <w:lang w:val="fr-FR"/>
        </w:rPr>
        <w:tab/>
        <w:t>Le présent Règlement s</w:t>
      </w:r>
      <w:r>
        <w:rPr>
          <w:lang w:val="fr-FR"/>
        </w:rPr>
        <w:t>’</w:t>
      </w:r>
      <w:r w:rsidRPr="006F4FF1">
        <w:rPr>
          <w:lang w:val="fr-FR"/>
        </w:rPr>
        <w:t>applique aux véhicules de la catégorie M</w:t>
      </w:r>
      <w:r w:rsidRPr="006F4FF1">
        <w:rPr>
          <w:vertAlign w:val="subscript"/>
          <w:lang w:val="fr-FR"/>
        </w:rPr>
        <w:t>1</w:t>
      </w:r>
      <w:r w:rsidRPr="006F4FF1">
        <w:rPr>
          <w:lang w:val="fr-FR"/>
        </w:rPr>
        <w:t xml:space="preserve"> dont la masse maximale admissible ne dépasse pas 3 500 kilogrammes et aux véhicules de la catégorie N</w:t>
      </w:r>
      <w:r w:rsidRPr="006F4FF1">
        <w:rPr>
          <w:vertAlign w:val="subscript"/>
          <w:lang w:val="fr-FR"/>
        </w:rPr>
        <w:t>1</w:t>
      </w:r>
      <w:r w:rsidRPr="0035657D">
        <w:rPr>
          <w:rStyle w:val="Appelnotedebasdep"/>
        </w:rPr>
        <w:footnoteReference w:id="3"/>
      </w:r>
      <w:r w:rsidRPr="006F4FF1">
        <w:rPr>
          <w:vertAlign w:val="subscript"/>
          <w:lang w:val="fr-FR"/>
        </w:rPr>
        <w:t> </w:t>
      </w:r>
      <w:r w:rsidRPr="006F4FF1">
        <w:rPr>
          <w:lang w:val="fr-FR"/>
        </w:rPr>
        <w:t>; ».</w:t>
      </w:r>
    </w:p>
    <w:p w14:paraId="36822F94" w14:textId="77777777" w:rsidR="002B194C" w:rsidRPr="006F4FF1" w:rsidRDefault="002B194C" w:rsidP="002B194C">
      <w:pPr>
        <w:pStyle w:val="SingleTxtG"/>
        <w:rPr>
          <w:rFonts w:eastAsia="Calibri"/>
          <w:i/>
          <w:lang w:val="fr-FR"/>
        </w:rPr>
      </w:pPr>
      <w:r w:rsidRPr="006F4FF1">
        <w:rPr>
          <w:rFonts w:eastAsia="Calibri"/>
          <w:i/>
          <w:iCs/>
          <w:lang w:val="fr-FR"/>
        </w:rPr>
        <w:t>Ajouter un nouveau paragraphe 2.40</w:t>
      </w:r>
      <w:r w:rsidRPr="006F4FF1">
        <w:rPr>
          <w:rFonts w:eastAsia="Calibri"/>
          <w:lang w:val="fr-FR"/>
        </w:rPr>
        <w:t>, libellé comme suit :</w:t>
      </w:r>
    </w:p>
    <w:p w14:paraId="3B680B52" w14:textId="77777777" w:rsidR="002B194C" w:rsidRPr="006F4FF1" w:rsidRDefault="002B194C" w:rsidP="002B194C">
      <w:pPr>
        <w:pStyle w:val="SingleTxtG"/>
        <w:ind w:left="2268" w:hanging="1134"/>
        <w:rPr>
          <w:rFonts w:eastAsia="Calibri" w:cs="Courier New"/>
          <w:szCs w:val="18"/>
          <w:lang w:val="fr-FR"/>
        </w:rPr>
      </w:pPr>
      <w:r w:rsidRPr="006F4FF1">
        <w:rPr>
          <w:rFonts w:eastAsia="Calibri"/>
          <w:lang w:val="fr-FR"/>
        </w:rPr>
        <w:t>« 2.40</w:t>
      </w:r>
      <w:r w:rsidRPr="006F4FF1">
        <w:rPr>
          <w:rFonts w:eastAsia="Calibri"/>
          <w:lang w:val="fr-FR"/>
        </w:rPr>
        <w:tab/>
        <w:t>Par “</w:t>
      </w:r>
      <w:r w:rsidRPr="006F4FF1">
        <w:rPr>
          <w:rFonts w:eastAsia="Calibri"/>
          <w:i/>
          <w:lang w:val="fr-FR"/>
        </w:rPr>
        <w:t>dispositif de déplacement</w:t>
      </w:r>
      <w:r w:rsidRPr="006F4FF1">
        <w:rPr>
          <w:rFonts w:eastAsia="Calibri"/>
          <w:lang w:val="fr-FR"/>
        </w:rPr>
        <w:t>”, un dispositif permettant une translation ou une rotation, sans position intermédiaire fixe, du siège ou de l</w:t>
      </w:r>
      <w:r>
        <w:rPr>
          <w:rFonts w:eastAsia="Calibri"/>
          <w:lang w:val="fr-FR"/>
        </w:rPr>
        <w:t>’</w:t>
      </w:r>
      <w:r w:rsidRPr="006F4FF1">
        <w:rPr>
          <w:rFonts w:eastAsia="Calibri"/>
          <w:lang w:val="fr-FR"/>
        </w:rPr>
        <w:t>une de ses parties, pour faciliter l</w:t>
      </w:r>
      <w:r>
        <w:rPr>
          <w:rFonts w:eastAsia="Calibri"/>
          <w:lang w:val="fr-FR"/>
        </w:rPr>
        <w:t>’</w:t>
      </w:r>
      <w:r w:rsidRPr="006F4FF1">
        <w:rPr>
          <w:rFonts w:eastAsia="Calibri"/>
          <w:lang w:val="fr-FR"/>
        </w:rPr>
        <w:t>accès des occupants à l</w:t>
      </w:r>
      <w:r>
        <w:rPr>
          <w:rFonts w:eastAsia="Calibri"/>
          <w:lang w:val="fr-FR"/>
        </w:rPr>
        <w:t>’</w:t>
      </w:r>
      <w:r w:rsidRPr="006F4FF1">
        <w:rPr>
          <w:rFonts w:eastAsia="Calibri"/>
          <w:lang w:val="fr-FR"/>
        </w:rPr>
        <w:t>espace derrière le siège déplacé et leur sortie de cet espace. ».</w:t>
      </w:r>
    </w:p>
    <w:p w14:paraId="2187185D" w14:textId="77777777" w:rsidR="002B194C" w:rsidRPr="006F4FF1" w:rsidRDefault="002B194C" w:rsidP="002B194C">
      <w:pPr>
        <w:pStyle w:val="SingleTxtG"/>
        <w:rPr>
          <w:rFonts w:eastAsia="Calibri"/>
          <w:i/>
          <w:lang w:val="fr-FR"/>
        </w:rPr>
      </w:pPr>
      <w:r w:rsidRPr="006F4FF1">
        <w:rPr>
          <w:rFonts w:eastAsia="Calibri"/>
          <w:i/>
          <w:iCs/>
          <w:lang w:val="fr-FR"/>
        </w:rPr>
        <w:t>Paragraphe 5.3.3.1</w:t>
      </w:r>
      <w:r w:rsidRPr="006F4FF1">
        <w:rPr>
          <w:rFonts w:eastAsia="Calibri"/>
          <w:lang w:val="fr-FR"/>
        </w:rPr>
        <w:t>, lire :</w:t>
      </w:r>
    </w:p>
    <w:p w14:paraId="56BE7DE0" w14:textId="77777777" w:rsidR="002B194C" w:rsidRPr="006F4FF1" w:rsidRDefault="002B194C" w:rsidP="002B194C">
      <w:pPr>
        <w:pStyle w:val="SingleTxtG"/>
        <w:ind w:left="2268" w:hanging="1134"/>
        <w:rPr>
          <w:rFonts w:eastAsia="Calibri"/>
          <w:lang w:val="fr-FR"/>
        </w:rPr>
      </w:pPr>
      <w:r w:rsidRPr="006F4FF1">
        <w:rPr>
          <w:rFonts w:eastAsia="Calibri"/>
          <w:lang w:val="fr-FR"/>
        </w:rPr>
        <w:t>« 5.3.3.1</w:t>
      </w:r>
      <w:r w:rsidRPr="006F4FF1">
        <w:rPr>
          <w:rFonts w:eastAsia="Calibri"/>
          <w:lang w:val="fr-FR"/>
        </w:rPr>
        <w:tab/>
        <w:t>D</w:t>
      </w:r>
      <w:r>
        <w:rPr>
          <w:rFonts w:eastAsia="Calibri"/>
          <w:lang w:val="fr-FR"/>
        </w:rPr>
        <w:t>’</w:t>
      </w:r>
      <w:r w:rsidRPr="006F4FF1">
        <w:rPr>
          <w:rFonts w:eastAsia="Calibri"/>
          <w:lang w:val="fr-FR"/>
        </w:rPr>
        <w:t>ouvrir au moins une porte par rangée de sièges. Lorsqu</w:t>
      </w:r>
      <w:r>
        <w:rPr>
          <w:rFonts w:eastAsia="Calibri"/>
          <w:lang w:val="fr-FR"/>
        </w:rPr>
        <w:t>’</w:t>
      </w:r>
      <w:r w:rsidRPr="006F4FF1">
        <w:rPr>
          <w:rFonts w:eastAsia="Calibri"/>
          <w:lang w:val="fr-FR"/>
        </w:rPr>
        <w:t>il n</w:t>
      </w:r>
      <w:r>
        <w:rPr>
          <w:rFonts w:eastAsia="Calibri"/>
          <w:lang w:val="fr-FR"/>
        </w:rPr>
        <w:t>’</w:t>
      </w:r>
      <w:r w:rsidRPr="006F4FF1">
        <w:rPr>
          <w:rFonts w:eastAsia="Calibri"/>
          <w:lang w:val="fr-FR"/>
        </w:rPr>
        <w:t>y a pas de porte, il doit être possible d</w:t>
      </w:r>
      <w:r>
        <w:rPr>
          <w:rFonts w:eastAsia="Calibri"/>
          <w:lang w:val="fr-FR"/>
        </w:rPr>
        <w:t>’</w:t>
      </w:r>
      <w:r w:rsidRPr="006F4FF1">
        <w:rPr>
          <w:rFonts w:eastAsia="Calibri"/>
          <w:lang w:val="fr-FR"/>
        </w:rPr>
        <w:t>évacuer tous les occupants en activant le dispositif de déplacement des sièges, si nécessaire. En absence d</w:t>
      </w:r>
      <w:r>
        <w:rPr>
          <w:rFonts w:eastAsia="Calibri"/>
          <w:lang w:val="fr-FR"/>
        </w:rPr>
        <w:t>’</w:t>
      </w:r>
      <w:r w:rsidRPr="006F4FF1">
        <w:rPr>
          <w:rFonts w:eastAsia="Calibri"/>
          <w:lang w:val="fr-FR"/>
        </w:rPr>
        <w:t>un tel système pour l</w:t>
      </w:r>
      <w:r>
        <w:rPr>
          <w:rFonts w:eastAsia="Calibri"/>
          <w:lang w:val="fr-FR"/>
        </w:rPr>
        <w:t>’</w:t>
      </w:r>
      <w:r w:rsidRPr="006F4FF1">
        <w:rPr>
          <w:rFonts w:eastAsia="Calibri"/>
          <w:lang w:val="fr-FR"/>
        </w:rPr>
        <w:t>évacuation des occupants des sièges arrière, il doit être démontré qu</w:t>
      </w:r>
      <w:r>
        <w:rPr>
          <w:rFonts w:eastAsia="Calibri"/>
          <w:lang w:val="fr-FR"/>
        </w:rPr>
        <w:t>’</w:t>
      </w:r>
      <w:r w:rsidRPr="006F4FF1">
        <w:rPr>
          <w:rFonts w:eastAsia="Calibri"/>
          <w:lang w:val="fr-FR"/>
        </w:rPr>
        <w:t>un mannequin du cinquantième centile peut être évacué sans l</w:t>
      </w:r>
      <w:r>
        <w:rPr>
          <w:rFonts w:eastAsia="Calibri"/>
          <w:lang w:val="fr-FR"/>
        </w:rPr>
        <w:t>’</w:t>
      </w:r>
      <w:r w:rsidRPr="006F4FF1">
        <w:rPr>
          <w:rFonts w:eastAsia="Calibri"/>
          <w:lang w:val="fr-FR"/>
        </w:rPr>
        <w:t>aide d</w:t>
      </w:r>
      <w:r>
        <w:rPr>
          <w:rFonts w:eastAsia="Calibri"/>
          <w:lang w:val="fr-FR"/>
        </w:rPr>
        <w:t>’</w:t>
      </w:r>
      <w:r w:rsidRPr="006F4FF1">
        <w:rPr>
          <w:rFonts w:eastAsia="Calibri"/>
          <w:lang w:val="fr-FR"/>
        </w:rPr>
        <w:t>un dispositif destiné à en soutenir le poids ni d</w:t>
      </w:r>
      <w:r>
        <w:rPr>
          <w:rFonts w:eastAsia="Calibri"/>
          <w:lang w:val="fr-FR"/>
        </w:rPr>
        <w:t>’</w:t>
      </w:r>
      <w:r w:rsidRPr="006F4FF1">
        <w:rPr>
          <w:rFonts w:eastAsia="Calibri"/>
          <w:lang w:val="fr-FR"/>
        </w:rPr>
        <w:t>aucun autre outil.</w:t>
      </w:r>
    </w:p>
    <w:p w14:paraId="64EFEF43" w14:textId="77777777" w:rsidR="002B194C" w:rsidRPr="006F4FF1" w:rsidRDefault="002B194C" w:rsidP="002B194C">
      <w:pPr>
        <w:pStyle w:val="SingleTxtG"/>
        <w:ind w:left="2268"/>
        <w:rPr>
          <w:rFonts w:eastAsia="Calibri"/>
          <w:lang w:val="fr-FR"/>
        </w:rPr>
      </w:pPr>
      <w:r w:rsidRPr="006F4FF1">
        <w:rPr>
          <w:rFonts w:eastAsia="Calibri"/>
          <w:lang w:val="fr-FR"/>
        </w:rPr>
        <w:t>Dans le cas des véhicules de la catégorie N</w:t>
      </w:r>
      <w:r w:rsidRPr="006F4FF1">
        <w:rPr>
          <w:rFonts w:eastAsia="Calibri"/>
          <w:vertAlign w:val="subscript"/>
          <w:lang w:val="fr-FR"/>
        </w:rPr>
        <w:t>1</w:t>
      </w:r>
      <w:r w:rsidRPr="006F4FF1">
        <w:rPr>
          <w:rFonts w:eastAsia="Calibri"/>
          <w:lang w:val="fr-FR"/>
        </w:rPr>
        <w:t>, cette évacuation peut se faire par une fenêtre de secours si cette fenêtre peut être facilement ouverte, mais si des outils sont nécessaires (par exemple pour briser la vitre), ceux-ci doivent alors être fournis par le constructeur et doivent être visibles et situés à proximité.</w:t>
      </w:r>
    </w:p>
    <w:p w14:paraId="63BAC4F7" w14:textId="77777777" w:rsidR="002B194C" w:rsidRPr="006F4FF1" w:rsidRDefault="002B194C" w:rsidP="002B194C">
      <w:pPr>
        <w:pStyle w:val="SingleTxtG"/>
        <w:ind w:left="2268"/>
        <w:rPr>
          <w:rFonts w:eastAsia="Calibri"/>
          <w:iCs/>
          <w:lang w:val="fr-FR"/>
        </w:rPr>
      </w:pPr>
      <w:r w:rsidRPr="006F4FF1">
        <w:rPr>
          <w:rFonts w:eastAsia="Calibri"/>
          <w:lang w:val="fr-FR"/>
        </w:rPr>
        <w:tab/>
        <w:t>Cette évaluation doit être effectuée dans toutes les configurations ou dans la configuration la plus défavorable compte tenu du nombre de portes de chaque côté du véhicule, pour les véhicules à conduite à gauche ou à conduite à droite, selon le cas. ».</w:t>
      </w:r>
    </w:p>
    <w:p w14:paraId="0F231997" w14:textId="77777777" w:rsidR="002B194C" w:rsidRPr="006F4FF1" w:rsidRDefault="002B194C" w:rsidP="002B194C">
      <w:pPr>
        <w:pStyle w:val="SingleTxtG"/>
        <w:rPr>
          <w:rFonts w:eastAsia="Calibri"/>
          <w:iCs/>
          <w:color w:val="000000"/>
          <w:lang w:val="fr-FR"/>
        </w:rPr>
      </w:pPr>
      <w:r w:rsidRPr="006F4FF1">
        <w:rPr>
          <w:rFonts w:eastAsia="Calibri"/>
          <w:i/>
          <w:iCs/>
          <w:lang w:val="fr-FR"/>
        </w:rPr>
        <w:t>Ajouter un nouveau paragraphe 5.3.8</w:t>
      </w:r>
      <w:r w:rsidRPr="006F4FF1">
        <w:rPr>
          <w:rFonts w:eastAsia="Calibri"/>
          <w:lang w:val="fr-FR"/>
        </w:rPr>
        <w:t>, libellé comme suit :</w:t>
      </w:r>
    </w:p>
    <w:p w14:paraId="509971DF" w14:textId="77777777" w:rsidR="002B194C" w:rsidRPr="006F4FF1" w:rsidRDefault="002B194C" w:rsidP="002B194C">
      <w:pPr>
        <w:pStyle w:val="SingleTxtG"/>
        <w:ind w:left="2268" w:hanging="1134"/>
        <w:rPr>
          <w:rFonts w:eastAsia="Calibri"/>
          <w:iCs/>
          <w:color w:val="000000"/>
          <w:lang w:val="fr-FR"/>
        </w:rPr>
      </w:pPr>
      <w:r w:rsidRPr="006F4FF1">
        <w:rPr>
          <w:rFonts w:eastAsia="Calibri"/>
          <w:lang w:val="fr-FR"/>
        </w:rPr>
        <w:t>« 5.3.8</w:t>
      </w:r>
      <w:r w:rsidRPr="006F4FF1">
        <w:rPr>
          <w:rFonts w:eastAsia="Calibri"/>
          <w:lang w:val="fr-FR"/>
        </w:rPr>
        <w:tab/>
        <w:t>Le système d</w:t>
      </w:r>
      <w:r>
        <w:rPr>
          <w:rFonts w:eastAsia="Calibri"/>
          <w:lang w:val="fr-FR"/>
        </w:rPr>
        <w:t>’</w:t>
      </w:r>
      <w:r w:rsidRPr="006F4FF1">
        <w:rPr>
          <w:rFonts w:eastAsia="Calibri"/>
          <w:lang w:val="fr-FR"/>
        </w:rPr>
        <w:t>alimentation en carburant et le système à haute tension doivent être évalués dans toutes les configurations ou dans la configuration la plus défavorable pour les véhicules à conduite à gauche ou à conduite à droite, selon le cas. ».</w:t>
      </w:r>
    </w:p>
    <w:p w14:paraId="29B264CF" w14:textId="77777777" w:rsidR="002B194C" w:rsidRPr="006F4FF1" w:rsidRDefault="002B194C" w:rsidP="002B194C">
      <w:pPr>
        <w:pStyle w:val="SingleTxtG"/>
        <w:rPr>
          <w:rFonts w:eastAsia="Calibri"/>
          <w:iCs/>
          <w:color w:val="000000"/>
          <w:lang w:val="fr-FR"/>
        </w:rPr>
      </w:pPr>
      <w:r w:rsidRPr="006F4FF1">
        <w:rPr>
          <w:rFonts w:eastAsia="Calibri"/>
          <w:i/>
          <w:iCs/>
          <w:lang w:val="fr-FR"/>
        </w:rPr>
        <w:t>Ajouter les nouveaux paragraphes 10.13 à 10.17</w:t>
      </w:r>
      <w:r w:rsidRPr="006F4FF1">
        <w:rPr>
          <w:rFonts w:eastAsia="Calibri"/>
          <w:lang w:val="fr-FR"/>
        </w:rPr>
        <w:t>, libellés comme suit :</w:t>
      </w:r>
    </w:p>
    <w:p w14:paraId="3BD22926" w14:textId="281ADBC2" w:rsidR="002B194C" w:rsidRPr="006F4FF1" w:rsidRDefault="002B194C" w:rsidP="002B194C">
      <w:pPr>
        <w:pStyle w:val="SingleTxtG"/>
        <w:ind w:left="2268" w:hanging="1134"/>
        <w:rPr>
          <w:rFonts w:eastAsia="Calibri"/>
          <w:bCs/>
          <w:lang w:val="fr-FR"/>
        </w:rPr>
      </w:pPr>
      <w:r w:rsidRPr="006F4FF1">
        <w:rPr>
          <w:rFonts w:eastAsia="Calibri"/>
          <w:lang w:val="fr-FR"/>
        </w:rPr>
        <w:t>« 10.13</w:t>
      </w:r>
      <w:r w:rsidRPr="006F4FF1">
        <w:rPr>
          <w:rFonts w:eastAsia="Calibri"/>
          <w:lang w:val="fr-FR"/>
        </w:rPr>
        <w:tab/>
      </w:r>
      <w:r w:rsidRPr="006F4FF1">
        <w:rPr>
          <w:rFonts w:eastAsia="Calibri"/>
          <w:lang w:val="fr-FR"/>
        </w:rPr>
        <w:tab/>
        <w:t>À compter de la date officielle d</w:t>
      </w:r>
      <w:r>
        <w:rPr>
          <w:rFonts w:eastAsia="Calibri"/>
          <w:lang w:val="fr-FR"/>
        </w:rPr>
        <w:t>’</w:t>
      </w:r>
      <w:r w:rsidRPr="006F4FF1">
        <w:rPr>
          <w:rFonts w:eastAsia="Calibri"/>
          <w:lang w:val="fr-FR"/>
        </w:rPr>
        <w:t>entrée en vigueur de la série</w:t>
      </w:r>
      <w:r>
        <w:rPr>
          <w:rFonts w:eastAsia="Calibri"/>
          <w:lang w:val="fr-FR"/>
        </w:rPr>
        <w:t> </w:t>
      </w:r>
      <w:r w:rsidRPr="006F4FF1">
        <w:rPr>
          <w:rFonts w:eastAsia="Calibri"/>
          <w:lang w:val="fr-FR"/>
        </w:rPr>
        <w:t>04 d</w:t>
      </w:r>
      <w:r>
        <w:rPr>
          <w:rFonts w:eastAsia="Calibri"/>
          <w:lang w:val="fr-FR"/>
        </w:rPr>
        <w:t>’</w:t>
      </w:r>
      <w:r w:rsidRPr="006F4FF1">
        <w:rPr>
          <w:rFonts w:eastAsia="Calibri"/>
          <w:lang w:val="fr-FR"/>
        </w:rPr>
        <w:t>amendements, aucune Partie contractante appliquant le présent Règlement ne pourra refuser d</w:t>
      </w:r>
      <w:r>
        <w:rPr>
          <w:rFonts w:eastAsia="Calibri"/>
          <w:lang w:val="fr-FR"/>
        </w:rPr>
        <w:t>’</w:t>
      </w:r>
      <w:r w:rsidRPr="006F4FF1">
        <w:rPr>
          <w:rFonts w:eastAsia="Calibri"/>
          <w:lang w:val="fr-FR"/>
        </w:rPr>
        <w:t>accorder ou d</w:t>
      </w:r>
      <w:r>
        <w:rPr>
          <w:rFonts w:eastAsia="Calibri"/>
          <w:lang w:val="fr-FR"/>
        </w:rPr>
        <w:t>’</w:t>
      </w:r>
      <w:r w:rsidRPr="006F4FF1">
        <w:rPr>
          <w:rFonts w:eastAsia="Calibri"/>
          <w:lang w:val="fr-FR"/>
        </w:rPr>
        <w:t>accepter une homologation de type accordée en vertu du présent Règlement tel que modifié par la série 04 d</w:t>
      </w:r>
      <w:r>
        <w:rPr>
          <w:rFonts w:eastAsia="Calibri"/>
          <w:lang w:val="fr-FR"/>
        </w:rPr>
        <w:t>’</w:t>
      </w:r>
      <w:r w:rsidRPr="006F4FF1">
        <w:rPr>
          <w:rFonts w:eastAsia="Calibri"/>
          <w:lang w:val="fr-FR"/>
        </w:rPr>
        <w:t>amendements.</w:t>
      </w:r>
    </w:p>
    <w:p w14:paraId="08816961" w14:textId="77777777" w:rsidR="002B194C" w:rsidRPr="006F4FF1" w:rsidRDefault="002B194C" w:rsidP="002B194C">
      <w:pPr>
        <w:pStyle w:val="SingleTxtG"/>
        <w:ind w:left="2268" w:hanging="1134"/>
        <w:rPr>
          <w:rFonts w:eastAsia="MS Mincho"/>
          <w:bCs/>
          <w:lang w:val="fr-FR"/>
        </w:rPr>
      </w:pPr>
      <w:r w:rsidRPr="006F4FF1">
        <w:rPr>
          <w:rFonts w:eastAsia="Calibri"/>
          <w:lang w:val="fr-FR"/>
        </w:rPr>
        <w:t>10.14</w:t>
      </w:r>
      <w:r w:rsidRPr="006F4FF1">
        <w:rPr>
          <w:rFonts w:eastAsia="Calibri"/>
          <w:lang w:val="fr-FR"/>
        </w:rPr>
        <w:tab/>
      </w:r>
      <w:r w:rsidRPr="006F4FF1">
        <w:rPr>
          <w:rFonts w:eastAsia="Calibri"/>
          <w:lang w:val="fr-FR"/>
        </w:rPr>
        <w:tab/>
        <w:t>À compter du 5 juillet 2022, les Parties contractantes appliquant le présent Règlement ne seront plus tenues d</w:t>
      </w:r>
      <w:r>
        <w:rPr>
          <w:rFonts w:eastAsia="Calibri"/>
          <w:lang w:val="fr-FR"/>
        </w:rPr>
        <w:t>’</w:t>
      </w:r>
      <w:r w:rsidRPr="006F4FF1">
        <w:rPr>
          <w:rFonts w:eastAsia="Calibri"/>
          <w:lang w:val="fr-FR"/>
        </w:rPr>
        <w:t>accepter les homologations de type établies conformément aux précédentes séries d</w:t>
      </w:r>
      <w:r>
        <w:rPr>
          <w:rFonts w:eastAsia="Calibri"/>
          <w:lang w:val="fr-FR"/>
        </w:rPr>
        <w:t>’</w:t>
      </w:r>
      <w:r w:rsidRPr="006F4FF1">
        <w:rPr>
          <w:rFonts w:eastAsia="Calibri"/>
          <w:lang w:val="fr-FR"/>
        </w:rPr>
        <w:t>amendements, délivrées pour la première fois après cette date.</w:t>
      </w:r>
    </w:p>
    <w:p w14:paraId="67B46828" w14:textId="77777777" w:rsidR="002B194C" w:rsidRPr="006F4FF1" w:rsidRDefault="002B194C" w:rsidP="002B194C">
      <w:pPr>
        <w:pStyle w:val="SingleTxtG"/>
        <w:ind w:left="2268" w:hanging="1134"/>
        <w:rPr>
          <w:rFonts w:eastAsia="MS Mincho"/>
          <w:bCs/>
          <w:lang w:val="fr-FR"/>
        </w:rPr>
      </w:pPr>
      <w:r w:rsidRPr="006F4FF1">
        <w:rPr>
          <w:rFonts w:eastAsia="Calibri"/>
          <w:lang w:val="fr-FR"/>
        </w:rPr>
        <w:t>10.15</w:t>
      </w:r>
      <w:r w:rsidRPr="006F4FF1">
        <w:rPr>
          <w:rFonts w:eastAsia="Calibri"/>
          <w:lang w:val="fr-FR"/>
        </w:rPr>
        <w:tab/>
        <w:t>Jusqu</w:t>
      </w:r>
      <w:r>
        <w:rPr>
          <w:rFonts w:eastAsia="Calibri"/>
          <w:lang w:val="fr-FR"/>
        </w:rPr>
        <w:t>’</w:t>
      </w:r>
      <w:r w:rsidRPr="006F4FF1">
        <w:rPr>
          <w:rFonts w:eastAsia="Calibri"/>
          <w:lang w:val="fr-FR"/>
        </w:rPr>
        <w:t>au 5 juillet 2024, les Parties contractantes appliquant le présent Règlement seront tenues d</w:t>
      </w:r>
      <w:r>
        <w:rPr>
          <w:rFonts w:eastAsia="Calibri"/>
          <w:lang w:val="fr-FR"/>
        </w:rPr>
        <w:t>’</w:t>
      </w:r>
      <w:r w:rsidRPr="006F4FF1">
        <w:rPr>
          <w:rFonts w:eastAsia="Calibri"/>
          <w:lang w:val="fr-FR"/>
        </w:rPr>
        <w:t>accepter les homologations de type établies conformément aux précédentes séries d</w:t>
      </w:r>
      <w:r>
        <w:rPr>
          <w:rFonts w:eastAsia="Calibri"/>
          <w:lang w:val="fr-FR"/>
        </w:rPr>
        <w:t>’</w:t>
      </w:r>
      <w:r w:rsidRPr="006F4FF1">
        <w:rPr>
          <w:rFonts w:eastAsia="Calibri"/>
          <w:lang w:val="fr-FR"/>
        </w:rPr>
        <w:t>amendements, délivrées pour la première fois avant le 5 juillet 2022.</w:t>
      </w:r>
    </w:p>
    <w:p w14:paraId="0F0CB009" w14:textId="77777777" w:rsidR="002B194C" w:rsidRPr="006F4FF1" w:rsidRDefault="002B194C" w:rsidP="002B194C">
      <w:pPr>
        <w:pStyle w:val="SingleTxtG"/>
        <w:ind w:left="2268" w:hanging="1134"/>
        <w:rPr>
          <w:rFonts w:eastAsia="MS Mincho"/>
          <w:bCs/>
          <w:iCs/>
          <w:strike/>
          <w:spacing w:val="-4"/>
          <w:lang w:val="fr-FR"/>
        </w:rPr>
      </w:pPr>
      <w:r w:rsidRPr="006F4FF1">
        <w:rPr>
          <w:rFonts w:eastAsia="Calibri"/>
          <w:lang w:val="fr-FR"/>
        </w:rPr>
        <w:lastRenderedPageBreak/>
        <w:t>10.16</w:t>
      </w:r>
      <w:r w:rsidRPr="006F4FF1">
        <w:rPr>
          <w:rFonts w:eastAsia="Calibri"/>
          <w:lang w:val="fr-FR"/>
        </w:rPr>
        <w:tab/>
        <w:t>À compter du 5 juillet 2024, les Parties contractantes appliquant le présent Règlement ne seront plus tenues d</w:t>
      </w:r>
      <w:r>
        <w:rPr>
          <w:rFonts w:eastAsia="Calibri"/>
          <w:lang w:val="fr-FR"/>
        </w:rPr>
        <w:t>’</w:t>
      </w:r>
      <w:r w:rsidRPr="006F4FF1">
        <w:rPr>
          <w:rFonts w:eastAsia="Calibri"/>
          <w:lang w:val="fr-FR"/>
        </w:rPr>
        <w:t>accepter les homologations de type délivrées en vertu des précédentes séries d</w:t>
      </w:r>
      <w:r>
        <w:rPr>
          <w:rFonts w:eastAsia="Calibri"/>
          <w:lang w:val="fr-FR"/>
        </w:rPr>
        <w:t>’</w:t>
      </w:r>
      <w:r w:rsidRPr="006F4FF1">
        <w:rPr>
          <w:rFonts w:eastAsia="Calibri"/>
          <w:lang w:val="fr-FR"/>
        </w:rPr>
        <w:t xml:space="preserve">amendements. </w:t>
      </w:r>
    </w:p>
    <w:p w14:paraId="74C9F327" w14:textId="77777777" w:rsidR="002B194C" w:rsidRDefault="002B194C" w:rsidP="002B194C">
      <w:pPr>
        <w:pStyle w:val="SingleTxtG"/>
        <w:ind w:left="2268" w:hanging="1134"/>
        <w:rPr>
          <w:rFonts w:eastAsia="Calibri"/>
          <w:lang w:val="fr-FR"/>
        </w:rPr>
      </w:pPr>
      <w:r w:rsidRPr="006F4FF1">
        <w:rPr>
          <w:rFonts w:eastAsia="Calibri"/>
          <w:lang w:val="fr-FR"/>
        </w:rPr>
        <w:t>10.17</w:t>
      </w:r>
      <w:r w:rsidRPr="006F4FF1">
        <w:rPr>
          <w:rFonts w:eastAsia="Calibri"/>
          <w:lang w:val="fr-FR"/>
        </w:rPr>
        <w:tab/>
        <w:t>Nonobstant les dispositions du paragraphe 10.16, les Parties contractantes appliquant le présent Règlement devront continuer à reconnaître les homologations de type délivrées au titre des précédentes séries d</w:t>
      </w:r>
      <w:r>
        <w:rPr>
          <w:rFonts w:eastAsia="Calibri"/>
          <w:lang w:val="fr-FR"/>
        </w:rPr>
        <w:t>’</w:t>
      </w:r>
      <w:r w:rsidRPr="006F4FF1">
        <w:rPr>
          <w:rFonts w:eastAsia="Calibri"/>
          <w:lang w:val="fr-FR"/>
        </w:rPr>
        <w:t>amendements pour les véhicules non concernés par les modifications apportées par la série 04 d</w:t>
      </w:r>
      <w:r>
        <w:rPr>
          <w:rFonts w:eastAsia="Calibri"/>
          <w:lang w:val="fr-FR"/>
        </w:rPr>
        <w:t>’</w:t>
      </w:r>
      <w:r w:rsidRPr="006F4FF1">
        <w:rPr>
          <w:rFonts w:eastAsia="Calibri"/>
          <w:lang w:val="fr-FR"/>
        </w:rPr>
        <w:t>amendements. ».</w:t>
      </w:r>
    </w:p>
    <w:p w14:paraId="02820D9E" w14:textId="77777777" w:rsidR="002B194C" w:rsidRPr="006F4FF1" w:rsidRDefault="002B194C" w:rsidP="002B194C">
      <w:pPr>
        <w:pStyle w:val="SingleTxtG"/>
        <w:rPr>
          <w:lang w:val="fr-FR"/>
        </w:rPr>
      </w:pPr>
      <w:r w:rsidRPr="002B194C">
        <w:rPr>
          <w:i/>
          <w:lang w:val="fr-FR"/>
        </w:rPr>
        <w:t>Annexe 2</w:t>
      </w:r>
      <w:r w:rsidRPr="006F4FF1">
        <w:rPr>
          <w:lang w:val="fr-FR"/>
        </w:rPr>
        <w:t>, lire :</w:t>
      </w:r>
    </w:p>
    <w:p w14:paraId="52510FFC" w14:textId="77777777" w:rsidR="002B194C" w:rsidRPr="006F4FF1" w:rsidRDefault="002B194C" w:rsidP="002B194C">
      <w:pPr>
        <w:pStyle w:val="HChG"/>
        <w:rPr>
          <w:lang w:val="fr-FR"/>
        </w:rPr>
      </w:pPr>
      <w:bookmarkStart w:id="1" w:name="_Toc367432802"/>
      <w:r w:rsidRPr="002B194C">
        <w:rPr>
          <w:b w:val="0"/>
          <w:bCs/>
          <w:sz w:val="20"/>
          <w:szCs w:val="14"/>
          <w:lang w:val="fr-FR"/>
        </w:rPr>
        <w:t>« </w:t>
      </w:r>
      <w:r w:rsidRPr="006F4FF1">
        <w:rPr>
          <w:lang w:val="fr-FR"/>
        </w:rPr>
        <w:t>Annexe 2</w:t>
      </w:r>
      <w:bookmarkEnd w:id="1"/>
    </w:p>
    <w:p w14:paraId="0ADF0920" w14:textId="77777777" w:rsidR="002B194C" w:rsidRPr="006F4FF1" w:rsidRDefault="002B194C" w:rsidP="002B194C">
      <w:pPr>
        <w:pStyle w:val="HChG"/>
        <w:rPr>
          <w:lang w:val="fr-FR"/>
        </w:rPr>
      </w:pPr>
      <w:r w:rsidRPr="006F4FF1">
        <w:rPr>
          <w:lang w:val="fr-FR"/>
        </w:rPr>
        <w:tab/>
      </w:r>
      <w:r w:rsidRPr="006F4FF1">
        <w:rPr>
          <w:lang w:val="fr-FR"/>
        </w:rPr>
        <w:tab/>
      </w:r>
      <w:bookmarkStart w:id="2" w:name="_Toc367432803"/>
      <w:bookmarkEnd w:id="2"/>
      <w:r w:rsidRPr="006F4FF1">
        <w:rPr>
          <w:lang w:val="fr-FR"/>
        </w:rPr>
        <w:t>Exemples de marques d</w:t>
      </w:r>
      <w:r>
        <w:rPr>
          <w:lang w:val="fr-FR"/>
        </w:rPr>
        <w:t>’</w:t>
      </w:r>
      <w:r w:rsidRPr="006F4FF1">
        <w:rPr>
          <w:lang w:val="fr-FR"/>
        </w:rPr>
        <w:t>homologation</w:t>
      </w:r>
    </w:p>
    <w:p w14:paraId="296DBB30" w14:textId="77777777" w:rsidR="002B194C" w:rsidRPr="006F4FF1" w:rsidRDefault="002B194C" w:rsidP="002B194C">
      <w:pPr>
        <w:pStyle w:val="SingleTxtG"/>
        <w:jc w:val="left"/>
        <w:rPr>
          <w:lang w:val="fr-FR"/>
        </w:rPr>
      </w:pPr>
      <w:r w:rsidRPr="006F4FF1">
        <w:rPr>
          <w:lang w:val="fr-FR"/>
        </w:rPr>
        <w:t>Modèle A</w:t>
      </w:r>
      <w:r w:rsidRPr="006F4FF1">
        <w:rPr>
          <w:lang w:val="fr-FR"/>
        </w:rPr>
        <w:br/>
        <w:t>(Voir par. 4.5 du présent Règlement)</w:t>
      </w:r>
    </w:p>
    <w:p w14:paraId="71B2DA81" w14:textId="77777777" w:rsidR="002B194C" w:rsidRPr="006F4FF1" w:rsidRDefault="002B194C" w:rsidP="002B194C">
      <w:pPr>
        <w:ind w:left="1134"/>
        <w:rPr>
          <w:rFonts w:eastAsia="Calibri"/>
          <w:lang w:val="fr-FR"/>
        </w:rPr>
      </w:pPr>
      <w:r w:rsidRPr="006F4FF1">
        <w:rPr>
          <w:rFonts w:eastAsia="Calibri"/>
          <w:noProof/>
          <w:lang w:val="fr-FR"/>
        </w:rPr>
        <w:drawing>
          <wp:inline distT="0" distB="0" distL="0" distR="0" wp14:anchorId="6CDF88F9" wp14:editId="118DC93C">
            <wp:extent cx="5040000" cy="831600"/>
            <wp:effectExtent l="0" t="0" r="0" b="0"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0" cy="83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5757E4C" w14:textId="77777777" w:rsidR="002B194C" w:rsidRPr="006F4FF1" w:rsidRDefault="002B194C" w:rsidP="002B194C">
      <w:pPr>
        <w:pStyle w:val="SingleTxtG"/>
        <w:jc w:val="right"/>
        <w:rPr>
          <w:lang w:val="fr-FR"/>
        </w:rPr>
      </w:pPr>
      <w:r w:rsidRPr="006F4FF1">
        <w:rPr>
          <w:lang w:val="fr-FR"/>
        </w:rPr>
        <w:t>a = 8 mm min.</w:t>
      </w:r>
    </w:p>
    <w:p w14:paraId="377B1821" w14:textId="77777777" w:rsidR="002B194C" w:rsidRPr="006F4FF1" w:rsidRDefault="002B194C" w:rsidP="002B194C">
      <w:pPr>
        <w:pStyle w:val="SingleTxtG"/>
        <w:ind w:firstLine="567"/>
        <w:rPr>
          <w:lang w:val="fr-FR"/>
        </w:rPr>
      </w:pPr>
      <w:r w:rsidRPr="006F4FF1">
        <w:rPr>
          <w:lang w:val="fr-FR"/>
        </w:rPr>
        <w:t>La marque d</w:t>
      </w:r>
      <w:r>
        <w:rPr>
          <w:lang w:val="fr-FR"/>
        </w:rPr>
        <w:t>’</w:t>
      </w:r>
      <w:r w:rsidRPr="006F4FF1">
        <w:rPr>
          <w:lang w:val="fr-FR"/>
        </w:rPr>
        <w:t>homologation ci-dessus, apposée sur un véhicule, indique que le type de ce véhicule a été homologué aux Pays-Bas (E4) en ce qui concerne la protection des occupants en cas de collision latérale, en application du Règlement ONU n</w:t>
      </w:r>
      <w:r w:rsidRPr="006F4FF1">
        <w:rPr>
          <w:vertAlign w:val="superscript"/>
          <w:lang w:val="fr-FR"/>
        </w:rPr>
        <w:t>o</w:t>
      </w:r>
      <w:r w:rsidRPr="006F4FF1">
        <w:rPr>
          <w:lang w:val="fr-FR"/>
        </w:rPr>
        <w:t> 95 sous le numéro d</w:t>
      </w:r>
      <w:r>
        <w:rPr>
          <w:lang w:val="fr-FR"/>
        </w:rPr>
        <w:t>’</w:t>
      </w:r>
      <w:r w:rsidRPr="006F4FF1">
        <w:rPr>
          <w:lang w:val="fr-FR"/>
        </w:rPr>
        <w:t>homologation 041424. Le numéro d</w:t>
      </w:r>
      <w:r>
        <w:rPr>
          <w:lang w:val="fr-FR"/>
        </w:rPr>
        <w:t>’</w:t>
      </w:r>
      <w:r w:rsidRPr="006F4FF1">
        <w:rPr>
          <w:lang w:val="fr-FR"/>
        </w:rPr>
        <w:t>homologation indique que l</w:t>
      </w:r>
      <w:r>
        <w:rPr>
          <w:lang w:val="fr-FR"/>
        </w:rPr>
        <w:t>’</w:t>
      </w:r>
      <w:r w:rsidRPr="006F4FF1">
        <w:rPr>
          <w:lang w:val="fr-FR"/>
        </w:rPr>
        <w:t>homologation a été délivrée conformément aux prescriptions du Règlement ONU n</w:t>
      </w:r>
      <w:r w:rsidRPr="006F4FF1">
        <w:rPr>
          <w:vertAlign w:val="superscript"/>
          <w:lang w:val="fr-FR"/>
        </w:rPr>
        <w:t>o</w:t>
      </w:r>
      <w:r w:rsidRPr="006F4FF1">
        <w:rPr>
          <w:lang w:val="fr-FR"/>
        </w:rPr>
        <w:t> 95 tel que modifié par la série 04 d</w:t>
      </w:r>
      <w:r>
        <w:rPr>
          <w:lang w:val="fr-FR"/>
        </w:rPr>
        <w:t>’</w:t>
      </w:r>
      <w:r w:rsidRPr="006F4FF1">
        <w:rPr>
          <w:lang w:val="fr-FR"/>
        </w:rPr>
        <w:t>amendements.</w:t>
      </w:r>
    </w:p>
    <w:p w14:paraId="085980D5" w14:textId="77777777" w:rsidR="002B194C" w:rsidRPr="006F4FF1" w:rsidRDefault="002B194C" w:rsidP="002B194C">
      <w:pPr>
        <w:pStyle w:val="SingleTxtG"/>
        <w:jc w:val="left"/>
        <w:rPr>
          <w:lang w:val="fr-FR"/>
        </w:rPr>
      </w:pPr>
      <w:r w:rsidRPr="006F4FF1">
        <w:rPr>
          <w:lang w:val="fr-FR"/>
        </w:rPr>
        <w:t>Modèle B</w:t>
      </w:r>
      <w:r w:rsidRPr="006F4FF1">
        <w:rPr>
          <w:lang w:val="fr-FR"/>
        </w:rPr>
        <w:br/>
        <w:t>(Voir par. 4.6 du présent Règlement)</w:t>
      </w:r>
    </w:p>
    <w:p w14:paraId="6CB032DC" w14:textId="77777777" w:rsidR="002B194C" w:rsidRPr="006F4FF1" w:rsidRDefault="002B194C" w:rsidP="002B194C">
      <w:pPr>
        <w:ind w:left="1134"/>
        <w:rPr>
          <w:rFonts w:eastAsia="Calibri"/>
          <w:lang w:val="fr-FR"/>
        </w:rPr>
      </w:pPr>
      <w:r w:rsidRPr="006F4FF1">
        <w:rPr>
          <w:noProof/>
          <w:lang w:val="fr-FR" w:eastAsia="zh-CN"/>
        </w:rPr>
        <w:drawing>
          <wp:anchor distT="0" distB="0" distL="114300" distR="114300" simplePos="0" relativeHeight="251660288" behindDoc="0" locked="0" layoutInCell="1" allowOverlap="1" wp14:anchorId="6E98E42D" wp14:editId="7A768E93">
            <wp:simplePos x="0" y="0"/>
            <wp:positionH relativeFrom="column">
              <wp:posOffset>4705667</wp:posOffset>
            </wp:positionH>
            <wp:positionV relativeFrom="paragraph">
              <wp:posOffset>146685</wp:posOffset>
            </wp:positionV>
            <wp:extent cx="400050" cy="644525"/>
            <wp:effectExtent l="0" t="0" r="0" b="3175"/>
            <wp:wrapNone/>
            <wp:docPr id="32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4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4FF1">
        <w:rPr>
          <w:rFonts w:eastAsia="Calibri"/>
          <w:noProof/>
          <w:lang w:val="fr-FR"/>
        </w:rPr>
        <w:drawing>
          <wp:inline distT="0" distB="0" distL="0" distR="0" wp14:anchorId="3148A3E6" wp14:editId="4AC48A31">
            <wp:extent cx="1627505" cy="902335"/>
            <wp:effectExtent l="0" t="0" r="0" b="0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50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F4FF1">
        <w:rPr>
          <w:rFonts w:eastAsia="Calibri"/>
          <w:noProof/>
          <w:lang w:val="fr-FR"/>
        </w:rPr>
        <w:drawing>
          <wp:inline distT="0" distB="0" distL="0" distR="0" wp14:anchorId="70F65942" wp14:editId="21192A54">
            <wp:extent cx="2730500" cy="800100"/>
            <wp:effectExtent l="0" t="0" r="0" b="0"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E9C06B3" w14:textId="77777777" w:rsidR="002B194C" w:rsidRPr="006F4FF1" w:rsidRDefault="002B194C" w:rsidP="002B194C">
      <w:pPr>
        <w:pStyle w:val="SingleTxtG"/>
        <w:jc w:val="right"/>
        <w:rPr>
          <w:lang w:val="fr-FR"/>
        </w:rPr>
      </w:pPr>
      <w:r w:rsidRPr="006F4FF1">
        <w:rPr>
          <w:lang w:val="fr-FR"/>
        </w:rPr>
        <w:t>a = 8 mm min.</w:t>
      </w:r>
    </w:p>
    <w:p w14:paraId="02B9E6B6" w14:textId="0F12D94C" w:rsidR="002B194C" w:rsidRDefault="002B194C" w:rsidP="002B194C">
      <w:pPr>
        <w:pStyle w:val="SingleTxtG"/>
        <w:ind w:firstLine="567"/>
        <w:rPr>
          <w:lang w:val="fr-FR"/>
        </w:rPr>
      </w:pPr>
      <w:r w:rsidRPr="006F4FF1">
        <w:rPr>
          <w:lang w:val="fr-FR"/>
        </w:rPr>
        <w:t>La marque d</w:t>
      </w:r>
      <w:r>
        <w:rPr>
          <w:lang w:val="fr-FR"/>
        </w:rPr>
        <w:t>’</w:t>
      </w:r>
      <w:r w:rsidRPr="006F4FF1">
        <w:rPr>
          <w:lang w:val="fr-FR"/>
        </w:rPr>
        <w:t>homologation ci-dessus, apposée sur un véhicule, indique que le type de ce véhicule a été homologué aux Pays-Bas (E4) en application des Règlements ONU n</w:t>
      </w:r>
      <w:r w:rsidRPr="006F4FF1">
        <w:rPr>
          <w:vertAlign w:val="superscript"/>
          <w:lang w:val="fr-FR"/>
        </w:rPr>
        <w:t>os</w:t>
      </w:r>
      <w:r w:rsidRPr="006F4FF1">
        <w:rPr>
          <w:lang w:val="fr-FR"/>
        </w:rPr>
        <w:t> 95 et 24</w:t>
      </w:r>
      <w:r w:rsidRPr="0035657D">
        <w:rPr>
          <w:rStyle w:val="Appelnotedebasdep"/>
        </w:rPr>
        <w:footnoteReference w:id="4"/>
      </w:r>
      <w:r w:rsidRPr="006F4FF1">
        <w:rPr>
          <w:lang w:val="fr-FR"/>
        </w:rPr>
        <w:t>. Les deux premiers chiffres des numéros d</w:t>
      </w:r>
      <w:r>
        <w:rPr>
          <w:lang w:val="fr-FR"/>
        </w:rPr>
        <w:t>’</w:t>
      </w:r>
      <w:r w:rsidRPr="006F4FF1">
        <w:rPr>
          <w:lang w:val="fr-FR"/>
        </w:rPr>
        <w:t>homologation signifient qu</w:t>
      </w:r>
      <w:r>
        <w:rPr>
          <w:lang w:val="fr-FR"/>
        </w:rPr>
        <w:t>’</w:t>
      </w:r>
      <w:r w:rsidRPr="006F4FF1">
        <w:rPr>
          <w:lang w:val="fr-FR"/>
        </w:rPr>
        <w:t>aux dates où les homologations respectives ont été délivrées, le Règlement ONU n</w:t>
      </w:r>
      <w:r w:rsidRPr="006F4FF1">
        <w:rPr>
          <w:vertAlign w:val="superscript"/>
          <w:lang w:val="fr-FR"/>
        </w:rPr>
        <w:t>o</w:t>
      </w:r>
      <w:r w:rsidRPr="006F4FF1">
        <w:rPr>
          <w:lang w:val="fr-FR"/>
        </w:rPr>
        <w:t> 95 comprenait la série</w:t>
      </w:r>
      <w:r w:rsidR="00D31272">
        <w:rPr>
          <w:lang w:val="fr-FR"/>
        </w:rPr>
        <w:t> </w:t>
      </w:r>
      <w:r w:rsidRPr="006F4FF1">
        <w:rPr>
          <w:lang w:val="fr-FR"/>
        </w:rPr>
        <w:t>04 d</w:t>
      </w:r>
      <w:r>
        <w:rPr>
          <w:lang w:val="fr-FR"/>
        </w:rPr>
        <w:t>’</w:t>
      </w:r>
      <w:r w:rsidRPr="006F4FF1">
        <w:rPr>
          <w:lang w:val="fr-FR"/>
        </w:rPr>
        <w:t>amendements et le Règlement ONU n</w:t>
      </w:r>
      <w:r w:rsidRPr="006F4FF1">
        <w:rPr>
          <w:vertAlign w:val="superscript"/>
          <w:lang w:val="fr-FR"/>
        </w:rPr>
        <w:t>o</w:t>
      </w:r>
      <w:r w:rsidRPr="006F4FF1">
        <w:rPr>
          <w:lang w:val="fr-FR"/>
        </w:rPr>
        <w:t> 24 la série 03 d</w:t>
      </w:r>
      <w:r>
        <w:rPr>
          <w:lang w:val="fr-FR"/>
        </w:rPr>
        <w:t>’</w:t>
      </w:r>
      <w:r w:rsidRPr="006F4FF1">
        <w:rPr>
          <w:lang w:val="fr-FR"/>
        </w:rPr>
        <w:t>amendements. ».</w:t>
      </w:r>
    </w:p>
    <w:p w14:paraId="6126E6B0" w14:textId="054DFC17" w:rsidR="00D31272" w:rsidRPr="00D31272" w:rsidRDefault="00D31272" w:rsidP="00D31272">
      <w:pPr>
        <w:pStyle w:val="SingleTxtG"/>
        <w:spacing w:before="240" w:after="0"/>
        <w:jc w:val="center"/>
        <w:rPr>
          <w:u w:val="single"/>
          <w:lang w:val="fr-FR"/>
        </w:rPr>
      </w:pP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sectPr w:rsidR="00D31272" w:rsidRPr="00D31272" w:rsidSect="002B194C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7" w:h="16840" w:code="9"/>
      <w:pgMar w:top="1417" w:right="1134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BC7D71" w14:textId="77777777" w:rsidR="001371BA" w:rsidRDefault="001371BA"/>
  </w:endnote>
  <w:endnote w:type="continuationSeparator" w:id="0">
    <w:p w14:paraId="69AD8F64" w14:textId="77777777" w:rsidR="001371BA" w:rsidRDefault="001371BA">
      <w:pPr>
        <w:pStyle w:val="Pieddepage"/>
      </w:pPr>
    </w:p>
  </w:endnote>
  <w:endnote w:type="continuationNotice" w:id="1">
    <w:p w14:paraId="657589A4" w14:textId="77777777" w:rsidR="001371BA" w:rsidRPr="00C451B9" w:rsidRDefault="001371BA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24E994" w14:textId="77777777" w:rsidR="002B194C" w:rsidRPr="002B194C" w:rsidRDefault="002B194C" w:rsidP="002B194C">
    <w:pPr>
      <w:pStyle w:val="Pieddepage"/>
      <w:tabs>
        <w:tab w:val="right" w:pos="9638"/>
      </w:tabs>
    </w:pPr>
    <w:r w:rsidRPr="002B194C">
      <w:rPr>
        <w:b/>
        <w:sz w:val="18"/>
      </w:rPr>
      <w:fldChar w:fldCharType="begin"/>
    </w:r>
    <w:r w:rsidRPr="002B194C">
      <w:rPr>
        <w:b/>
        <w:sz w:val="18"/>
      </w:rPr>
      <w:instrText xml:space="preserve"> PAGE  \* MERGEFORMAT </w:instrText>
    </w:r>
    <w:r w:rsidRPr="002B194C">
      <w:rPr>
        <w:b/>
        <w:sz w:val="18"/>
      </w:rPr>
      <w:fldChar w:fldCharType="separate"/>
    </w:r>
    <w:r w:rsidRPr="002B194C">
      <w:rPr>
        <w:b/>
        <w:noProof/>
        <w:sz w:val="18"/>
      </w:rPr>
      <w:t>2</w:t>
    </w:r>
    <w:r w:rsidRPr="002B194C">
      <w:rPr>
        <w:b/>
        <w:sz w:val="18"/>
      </w:rPr>
      <w:fldChar w:fldCharType="end"/>
    </w:r>
    <w:r>
      <w:rPr>
        <w:b/>
        <w:sz w:val="18"/>
      </w:rPr>
      <w:tab/>
    </w:r>
    <w:r>
      <w:t>GE.21-01320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ADB38D" w14:textId="77777777" w:rsidR="002B194C" w:rsidRPr="002B194C" w:rsidRDefault="002B194C" w:rsidP="002B194C">
    <w:pPr>
      <w:pStyle w:val="Pieddepage"/>
      <w:tabs>
        <w:tab w:val="right" w:pos="9638"/>
      </w:tabs>
      <w:rPr>
        <w:b/>
        <w:sz w:val="18"/>
      </w:rPr>
    </w:pPr>
    <w:r>
      <w:t>GE.21-01320</w:t>
    </w:r>
    <w:r>
      <w:tab/>
    </w:r>
    <w:r w:rsidRPr="002B194C">
      <w:rPr>
        <w:b/>
        <w:sz w:val="18"/>
      </w:rPr>
      <w:fldChar w:fldCharType="begin"/>
    </w:r>
    <w:r w:rsidRPr="002B194C">
      <w:rPr>
        <w:b/>
        <w:sz w:val="18"/>
      </w:rPr>
      <w:instrText xml:space="preserve"> PAGE  \* MERGEFORMAT </w:instrText>
    </w:r>
    <w:r w:rsidRPr="002B194C">
      <w:rPr>
        <w:b/>
        <w:sz w:val="18"/>
      </w:rPr>
      <w:fldChar w:fldCharType="separate"/>
    </w:r>
    <w:r w:rsidRPr="002B194C">
      <w:rPr>
        <w:b/>
        <w:noProof/>
        <w:sz w:val="18"/>
      </w:rPr>
      <w:t>3</w:t>
    </w:r>
    <w:r w:rsidRPr="002B194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932AB" w14:textId="4FB15767" w:rsidR="00467F2C" w:rsidRPr="002B194C" w:rsidRDefault="002B194C" w:rsidP="002B194C">
    <w:pPr>
      <w:pStyle w:val="Pieddepage"/>
      <w:spacing w:before="120"/>
      <w:rPr>
        <w:sz w:val="20"/>
      </w:rPr>
    </w:pPr>
    <w:r>
      <w:rPr>
        <w:sz w:val="20"/>
      </w:rPr>
      <w:t>GE.</w:t>
    </w:r>
    <w:r w:rsidR="00467F2C">
      <w:rPr>
        <w:noProof/>
        <w:lang w:eastAsia="fr-CH"/>
      </w:rPr>
      <w:drawing>
        <wp:anchor distT="0" distB="0" distL="114300" distR="114300" simplePos="0" relativeHeight="251659264" behindDoc="0" locked="0" layoutInCell="1" allowOverlap="1" wp14:anchorId="2F8EAC06" wp14:editId="0F6A23BF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4900" cy="2286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21-01320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0613EDF7" wp14:editId="459CD779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1272">
      <w:rPr>
        <w:sz w:val="20"/>
      </w:rPr>
      <w:t xml:space="preserve">    230421    260421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26843B" w14:textId="77777777" w:rsidR="001371BA" w:rsidRPr="00D27D5E" w:rsidRDefault="001371BA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3BE5D3E" w14:textId="77777777" w:rsidR="001371BA" w:rsidRPr="00D171D4" w:rsidRDefault="001371BA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14:paraId="16761ECD" w14:textId="77777777" w:rsidR="001371BA" w:rsidRPr="00C451B9" w:rsidRDefault="001371BA" w:rsidP="00C451B9">
      <w:pPr>
        <w:spacing w:line="240" w:lineRule="auto"/>
        <w:rPr>
          <w:sz w:val="2"/>
          <w:szCs w:val="2"/>
        </w:rPr>
      </w:pPr>
    </w:p>
  </w:footnote>
  <w:footnote w:id="2">
    <w:p w14:paraId="2D032662" w14:textId="77777777" w:rsidR="00591072" w:rsidRPr="00591072" w:rsidRDefault="00442E31" w:rsidP="00591072">
      <w:pPr>
        <w:pStyle w:val="Notedebasdepage"/>
      </w:pPr>
      <w:r w:rsidRPr="00591072">
        <w:rPr>
          <w:rStyle w:val="Appelnotedebasdep"/>
        </w:rPr>
        <w:tab/>
      </w:r>
      <w:r w:rsidRPr="00591072">
        <w:rPr>
          <w:rStyle w:val="Appelnotedebasdep"/>
          <w:sz w:val="20"/>
          <w:vertAlign w:val="baseline"/>
        </w:rPr>
        <w:t>*</w:t>
      </w:r>
      <w:r w:rsidRPr="00591072">
        <w:rPr>
          <w:rStyle w:val="Appelnotedebasdep"/>
          <w:sz w:val="20"/>
          <w:vertAlign w:val="baseline"/>
        </w:rPr>
        <w:tab/>
      </w:r>
      <w:r w:rsidR="00591072" w:rsidRPr="00591072">
        <w:t>Anciens titres de l’Accord :</w:t>
      </w:r>
    </w:p>
    <w:p w14:paraId="6CE446E1" w14:textId="77777777" w:rsidR="00591072" w:rsidRPr="00591072" w:rsidRDefault="00591072" w:rsidP="00591072">
      <w:pPr>
        <w:pStyle w:val="Notedebasdepage"/>
      </w:pPr>
      <w:r w:rsidRPr="002B194C">
        <w:tab/>
      </w:r>
      <w:r w:rsidRPr="002B194C">
        <w:tab/>
        <w:t xml:space="preserve">Accord </w:t>
      </w:r>
      <w:r w:rsidRPr="00591072">
        <w:t>concernant l’adoption de conditions uniformes d’homologation et la reconnaissance réciproque de l’homologation des équipements et pièces de véhicules à moteur, en date, à Genève, du 20 mars 1958 (version originale) ;</w:t>
      </w:r>
    </w:p>
    <w:p w14:paraId="0C80184F" w14:textId="77777777" w:rsidR="00591072" w:rsidRPr="00591072" w:rsidRDefault="00591072" w:rsidP="00591072">
      <w:pPr>
        <w:pStyle w:val="Notedebasdepage"/>
      </w:pPr>
      <w:r>
        <w:tab/>
      </w:r>
      <w:r>
        <w:tab/>
      </w:r>
      <w:r w:rsidRPr="00591072">
        <w:t>Accord concernant l’adoption de prescriptions techniques uniformes applicables aux véhicules à</w:t>
      </w:r>
      <w:r>
        <w:t> </w:t>
      </w:r>
      <w:r w:rsidRPr="00591072">
        <w:t>roues, aux équipements et aux pièces susceptibles d’être montés ou utilisés sur un véhicule à roues et les conditions de reconnaissance réciproque des homologations délivrées conformément à ces prescriptions, en date, à Genève, du 5 octobre 1995 (Révision 2).</w:t>
      </w:r>
    </w:p>
    <w:p w14:paraId="293137D6" w14:textId="77777777" w:rsidR="00442E31" w:rsidRPr="00442E31" w:rsidRDefault="00442E31">
      <w:pPr>
        <w:pStyle w:val="Notedebasdepage"/>
      </w:pPr>
    </w:p>
  </w:footnote>
  <w:footnote w:id="3">
    <w:p w14:paraId="4CF95283" w14:textId="77777777" w:rsidR="002B194C" w:rsidRPr="006F4FF1" w:rsidRDefault="002B194C" w:rsidP="002B194C">
      <w:pPr>
        <w:pStyle w:val="Notedebasdepage"/>
        <w:rPr>
          <w:lang w:val="fr-FR"/>
        </w:rPr>
      </w:pPr>
      <w:r w:rsidRPr="006F4FF1">
        <w:rPr>
          <w:lang w:val="fr-FR"/>
        </w:rPr>
        <w:tab/>
      </w:r>
      <w:r w:rsidRPr="0035657D">
        <w:rPr>
          <w:rStyle w:val="Appelnotedebasdep"/>
        </w:rPr>
        <w:footnoteRef/>
      </w:r>
      <w:r w:rsidRPr="006F4FF1">
        <w:rPr>
          <w:lang w:val="fr-FR"/>
        </w:rPr>
        <w:tab/>
        <w:t>Selon les définitions de la Résolution d’ensemble sur la construction des véhicules (R.E.3), document ECE/TRANS/WP.29/78/Rev.6, par. 2 − www.unece.org/trans/main/wp29/wp29wgs/ wp29gen/wp29resolutions.html.</w:t>
      </w:r>
    </w:p>
  </w:footnote>
  <w:footnote w:id="4">
    <w:p w14:paraId="13DF5CE2" w14:textId="77777777" w:rsidR="002B194C" w:rsidRPr="006F4FF1" w:rsidRDefault="002B194C" w:rsidP="002B194C">
      <w:pPr>
        <w:pStyle w:val="Notedebasdepage"/>
        <w:rPr>
          <w:lang w:val="fr-FR"/>
        </w:rPr>
      </w:pPr>
      <w:r w:rsidRPr="006F4FF1">
        <w:rPr>
          <w:lang w:val="fr-FR"/>
        </w:rPr>
        <w:tab/>
      </w:r>
      <w:r w:rsidRPr="0035657D">
        <w:rPr>
          <w:rStyle w:val="Appelnotedebasdep"/>
        </w:rPr>
        <w:footnoteRef/>
      </w:r>
      <w:r w:rsidRPr="006F4FF1">
        <w:rPr>
          <w:lang w:val="fr-FR"/>
        </w:rPr>
        <w:tab/>
        <w:t>Le second numéro n’est donné qu’à titre d’exemple.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5C017F" w14:textId="2232FBC4" w:rsidR="002B194C" w:rsidRPr="002B194C" w:rsidRDefault="002B194C">
    <w:pPr>
      <w:pStyle w:val="En-tte"/>
      <w:rPr>
        <w:lang w:val="en-US"/>
      </w:rPr>
    </w:pPr>
    <w:r>
      <w:fldChar w:fldCharType="begin"/>
    </w:r>
    <w:r w:rsidRPr="002B194C">
      <w:rPr>
        <w:lang w:val="en-US"/>
      </w:rPr>
      <w:instrText xml:space="preserve"> TITLE  \* MERGEFORMAT </w:instrText>
    </w:r>
    <w:r>
      <w:fldChar w:fldCharType="separate"/>
    </w:r>
    <w:r w:rsidR="0056340B">
      <w:rPr>
        <w:lang w:val="en-US"/>
      </w:rPr>
      <w:t>E/ECE/324/Rev.1/Add.94/Rev.2/Amend.5</w:t>
    </w:r>
    <w:r>
      <w:fldChar w:fldCharType="end"/>
    </w:r>
    <w:r w:rsidRPr="002B194C">
      <w:rPr>
        <w:lang w:val="en-US"/>
      </w:rPr>
      <w:br/>
    </w:r>
    <w:r>
      <w:fldChar w:fldCharType="begin"/>
    </w:r>
    <w:r w:rsidRPr="002B194C">
      <w:rPr>
        <w:lang w:val="en-US"/>
      </w:rPr>
      <w:instrText xml:space="preserve"> KEYWORDS  \* MERGEFORMAT </w:instrText>
    </w:r>
    <w:r>
      <w:fldChar w:fldCharType="separate"/>
    </w:r>
    <w:r w:rsidR="0056340B">
      <w:rPr>
        <w:lang w:val="en-US"/>
      </w:rPr>
      <w:t>E/ECE/TRANS/505/Rev.1/Add.94/Rev.2/Amend.5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71B6A5" w14:textId="170692EF" w:rsidR="002B194C" w:rsidRPr="002B194C" w:rsidRDefault="002B194C" w:rsidP="002B194C">
    <w:pPr>
      <w:pStyle w:val="En-tte"/>
      <w:jc w:val="right"/>
      <w:rPr>
        <w:lang w:val="en-US"/>
      </w:rPr>
    </w:pPr>
    <w:r>
      <w:fldChar w:fldCharType="begin"/>
    </w:r>
    <w:r w:rsidRPr="002B194C">
      <w:rPr>
        <w:lang w:val="en-US"/>
      </w:rPr>
      <w:instrText xml:space="preserve"> TITLE  \* MERGEFORMAT </w:instrText>
    </w:r>
    <w:r>
      <w:fldChar w:fldCharType="separate"/>
    </w:r>
    <w:r w:rsidR="0056340B">
      <w:rPr>
        <w:lang w:val="en-US"/>
      </w:rPr>
      <w:t>E/ECE/324/Rev.1/Add.94/Rev.2/Amend.5</w:t>
    </w:r>
    <w:r>
      <w:fldChar w:fldCharType="end"/>
    </w:r>
    <w:r w:rsidRPr="002B194C">
      <w:rPr>
        <w:lang w:val="en-US"/>
      </w:rPr>
      <w:br/>
    </w:r>
    <w:r>
      <w:fldChar w:fldCharType="begin"/>
    </w:r>
    <w:r w:rsidRPr="002B194C">
      <w:rPr>
        <w:lang w:val="en-US"/>
      </w:rPr>
      <w:instrText xml:space="preserve"> KEYWORDS  \* MERGEFORMAT </w:instrText>
    </w:r>
    <w:r>
      <w:fldChar w:fldCharType="separate"/>
    </w:r>
    <w:r w:rsidR="0056340B">
      <w:rPr>
        <w:lang w:val="en-US"/>
      </w:rPr>
      <w:t>E/ECE/TRANS/505/Rev.1/Add.94/Rev.2/Amend.5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0"/>
  <w:activeWritingStyle w:appName="MSWord" w:lang="en-GB" w:vendorID="64" w:dllVersion="5" w:nlCheck="1" w:checkStyle="1"/>
  <w:activeWritingStyle w:appName="MSWord" w:lang="fr-CH" w:vendorID="64" w:dllVersion="6" w:nlCheck="1" w:checkStyle="1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1BA"/>
    <w:rsid w:val="0001470D"/>
    <w:rsid w:val="00016165"/>
    <w:rsid w:val="00016AC5"/>
    <w:rsid w:val="00021126"/>
    <w:rsid w:val="00021907"/>
    <w:rsid w:val="000233A5"/>
    <w:rsid w:val="0002445D"/>
    <w:rsid w:val="00024C50"/>
    <w:rsid w:val="00025E92"/>
    <w:rsid w:val="000276A3"/>
    <w:rsid w:val="00032060"/>
    <w:rsid w:val="00034ED9"/>
    <w:rsid w:val="00040539"/>
    <w:rsid w:val="00040598"/>
    <w:rsid w:val="00047F10"/>
    <w:rsid w:val="00052157"/>
    <w:rsid w:val="0005346D"/>
    <w:rsid w:val="00055FE4"/>
    <w:rsid w:val="000641CE"/>
    <w:rsid w:val="00067310"/>
    <w:rsid w:val="00077E35"/>
    <w:rsid w:val="0008669E"/>
    <w:rsid w:val="00090599"/>
    <w:rsid w:val="000A1501"/>
    <w:rsid w:val="000A2494"/>
    <w:rsid w:val="000A6B7E"/>
    <w:rsid w:val="000B20D3"/>
    <w:rsid w:val="000C6CDB"/>
    <w:rsid w:val="000D5C25"/>
    <w:rsid w:val="000E4F06"/>
    <w:rsid w:val="000E5601"/>
    <w:rsid w:val="000E5602"/>
    <w:rsid w:val="000F41F2"/>
    <w:rsid w:val="0010373B"/>
    <w:rsid w:val="0011415F"/>
    <w:rsid w:val="00125446"/>
    <w:rsid w:val="001358D9"/>
    <w:rsid w:val="001371BA"/>
    <w:rsid w:val="00141E26"/>
    <w:rsid w:val="00143EB9"/>
    <w:rsid w:val="00152C5A"/>
    <w:rsid w:val="0015389C"/>
    <w:rsid w:val="00160540"/>
    <w:rsid w:val="00166C68"/>
    <w:rsid w:val="00174814"/>
    <w:rsid w:val="00181A90"/>
    <w:rsid w:val="00190D5D"/>
    <w:rsid w:val="00192EEB"/>
    <w:rsid w:val="00194484"/>
    <w:rsid w:val="001A2040"/>
    <w:rsid w:val="001A20FB"/>
    <w:rsid w:val="001A252F"/>
    <w:rsid w:val="001A376F"/>
    <w:rsid w:val="001B09BB"/>
    <w:rsid w:val="001C3D8D"/>
    <w:rsid w:val="001C6497"/>
    <w:rsid w:val="001D2614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E7643"/>
    <w:rsid w:val="001F3E68"/>
    <w:rsid w:val="001F4931"/>
    <w:rsid w:val="002000CD"/>
    <w:rsid w:val="00200CBA"/>
    <w:rsid w:val="00204B66"/>
    <w:rsid w:val="002059CE"/>
    <w:rsid w:val="00206AD4"/>
    <w:rsid w:val="00224B8B"/>
    <w:rsid w:val="00225A8C"/>
    <w:rsid w:val="00230ED3"/>
    <w:rsid w:val="00231A7F"/>
    <w:rsid w:val="00242BBD"/>
    <w:rsid w:val="00244817"/>
    <w:rsid w:val="0024586F"/>
    <w:rsid w:val="00246BC8"/>
    <w:rsid w:val="00251F95"/>
    <w:rsid w:val="00252317"/>
    <w:rsid w:val="002659F1"/>
    <w:rsid w:val="00271E41"/>
    <w:rsid w:val="00284C19"/>
    <w:rsid w:val="00286E23"/>
    <w:rsid w:val="002876A1"/>
    <w:rsid w:val="00287CA6"/>
    <w:rsid w:val="00287E79"/>
    <w:rsid w:val="002928F9"/>
    <w:rsid w:val="00294D5B"/>
    <w:rsid w:val="0029791D"/>
    <w:rsid w:val="002A2A2C"/>
    <w:rsid w:val="002A5D07"/>
    <w:rsid w:val="002B194C"/>
    <w:rsid w:val="002D25CA"/>
    <w:rsid w:val="002D3DA4"/>
    <w:rsid w:val="002E2F5C"/>
    <w:rsid w:val="002F0C48"/>
    <w:rsid w:val="003016B7"/>
    <w:rsid w:val="0030754C"/>
    <w:rsid w:val="00317E54"/>
    <w:rsid w:val="00322DF1"/>
    <w:rsid w:val="00324EBF"/>
    <w:rsid w:val="0032556C"/>
    <w:rsid w:val="00330508"/>
    <w:rsid w:val="0033286A"/>
    <w:rsid w:val="00333130"/>
    <w:rsid w:val="00346E32"/>
    <w:rsid w:val="003515AA"/>
    <w:rsid w:val="00364F13"/>
    <w:rsid w:val="0036776C"/>
    <w:rsid w:val="00370223"/>
    <w:rsid w:val="00372A7A"/>
    <w:rsid w:val="00372D1D"/>
    <w:rsid w:val="00374106"/>
    <w:rsid w:val="0037679A"/>
    <w:rsid w:val="0038047C"/>
    <w:rsid w:val="00390EEF"/>
    <w:rsid w:val="00394410"/>
    <w:rsid w:val="003976D5"/>
    <w:rsid w:val="003B53B6"/>
    <w:rsid w:val="003D6C68"/>
    <w:rsid w:val="003E01D0"/>
    <w:rsid w:val="003E49B9"/>
    <w:rsid w:val="003E5E5B"/>
    <w:rsid w:val="003E5F12"/>
    <w:rsid w:val="003E786C"/>
    <w:rsid w:val="003F2A89"/>
    <w:rsid w:val="003F4A54"/>
    <w:rsid w:val="003F7B62"/>
    <w:rsid w:val="0040144C"/>
    <w:rsid w:val="004067AE"/>
    <w:rsid w:val="00410521"/>
    <w:rsid w:val="00413BB0"/>
    <w:rsid w:val="004159D0"/>
    <w:rsid w:val="00417326"/>
    <w:rsid w:val="00421A10"/>
    <w:rsid w:val="00422499"/>
    <w:rsid w:val="00430EFC"/>
    <w:rsid w:val="004342E2"/>
    <w:rsid w:val="00434354"/>
    <w:rsid w:val="00440BC8"/>
    <w:rsid w:val="00442E31"/>
    <w:rsid w:val="00454F8D"/>
    <w:rsid w:val="004567EB"/>
    <w:rsid w:val="00457676"/>
    <w:rsid w:val="00460E72"/>
    <w:rsid w:val="00464191"/>
    <w:rsid w:val="00467412"/>
    <w:rsid w:val="00467F2C"/>
    <w:rsid w:val="00476265"/>
    <w:rsid w:val="0048687D"/>
    <w:rsid w:val="00490F56"/>
    <w:rsid w:val="00491F39"/>
    <w:rsid w:val="004A49A5"/>
    <w:rsid w:val="004A66A2"/>
    <w:rsid w:val="004B07A3"/>
    <w:rsid w:val="004B261D"/>
    <w:rsid w:val="004B51CD"/>
    <w:rsid w:val="004B576C"/>
    <w:rsid w:val="004C54C0"/>
    <w:rsid w:val="004C56B2"/>
    <w:rsid w:val="004C6F4A"/>
    <w:rsid w:val="004D00B2"/>
    <w:rsid w:val="004E3182"/>
    <w:rsid w:val="004E4963"/>
    <w:rsid w:val="004E6809"/>
    <w:rsid w:val="004E7F24"/>
    <w:rsid w:val="005111B1"/>
    <w:rsid w:val="0051457E"/>
    <w:rsid w:val="0051714B"/>
    <w:rsid w:val="00520F80"/>
    <w:rsid w:val="005239FF"/>
    <w:rsid w:val="00523DB8"/>
    <w:rsid w:val="00533150"/>
    <w:rsid w:val="00543B57"/>
    <w:rsid w:val="00543C47"/>
    <w:rsid w:val="00543D5E"/>
    <w:rsid w:val="00552260"/>
    <w:rsid w:val="00552777"/>
    <w:rsid w:val="00555494"/>
    <w:rsid w:val="00555CBA"/>
    <w:rsid w:val="00556C1A"/>
    <w:rsid w:val="0056340B"/>
    <w:rsid w:val="00565B29"/>
    <w:rsid w:val="00571BC1"/>
    <w:rsid w:val="00571F41"/>
    <w:rsid w:val="00575476"/>
    <w:rsid w:val="00583A20"/>
    <w:rsid w:val="00584373"/>
    <w:rsid w:val="0059061F"/>
    <w:rsid w:val="00591072"/>
    <w:rsid w:val="00591DB3"/>
    <w:rsid w:val="005939ED"/>
    <w:rsid w:val="005947BC"/>
    <w:rsid w:val="00595E8A"/>
    <w:rsid w:val="005A0268"/>
    <w:rsid w:val="005A6014"/>
    <w:rsid w:val="005B473C"/>
    <w:rsid w:val="005C549A"/>
    <w:rsid w:val="005D0035"/>
    <w:rsid w:val="005D7719"/>
    <w:rsid w:val="005E1B9B"/>
    <w:rsid w:val="005E32D1"/>
    <w:rsid w:val="005E5D1F"/>
    <w:rsid w:val="005F0207"/>
    <w:rsid w:val="005F5C1F"/>
    <w:rsid w:val="0061113B"/>
    <w:rsid w:val="00611D43"/>
    <w:rsid w:val="00612D48"/>
    <w:rsid w:val="00613A5E"/>
    <w:rsid w:val="00616B45"/>
    <w:rsid w:val="00617C8B"/>
    <w:rsid w:val="006241C6"/>
    <w:rsid w:val="00630D9B"/>
    <w:rsid w:val="00631953"/>
    <w:rsid w:val="0063208D"/>
    <w:rsid w:val="006434FD"/>
    <w:rsid w:val="00643814"/>
    <w:rsid w:val="006439EC"/>
    <w:rsid w:val="00645090"/>
    <w:rsid w:val="00647059"/>
    <w:rsid w:val="00647162"/>
    <w:rsid w:val="0065029A"/>
    <w:rsid w:val="006553F9"/>
    <w:rsid w:val="00661E96"/>
    <w:rsid w:val="00665786"/>
    <w:rsid w:val="00671C93"/>
    <w:rsid w:val="00671F00"/>
    <w:rsid w:val="006729C8"/>
    <w:rsid w:val="00675501"/>
    <w:rsid w:val="0068562A"/>
    <w:rsid w:val="006A6B31"/>
    <w:rsid w:val="006A6C95"/>
    <w:rsid w:val="006A7B29"/>
    <w:rsid w:val="006B0EB2"/>
    <w:rsid w:val="006B0FF8"/>
    <w:rsid w:val="006B4590"/>
    <w:rsid w:val="006C340C"/>
    <w:rsid w:val="006E29E5"/>
    <w:rsid w:val="006F1D0B"/>
    <w:rsid w:val="006F27A8"/>
    <w:rsid w:val="006F3493"/>
    <w:rsid w:val="006F3544"/>
    <w:rsid w:val="00700A8B"/>
    <w:rsid w:val="0070347C"/>
    <w:rsid w:val="007102D2"/>
    <w:rsid w:val="00714A66"/>
    <w:rsid w:val="007176C1"/>
    <w:rsid w:val="00720BC0"/>
    <w:rsid w:val="0072116B"/>
    <w:rsid w:val="00725063"/>
    <w:rsid w:val="00732E72"/>
    <w:rsid w:val="00741D90"/>
    <w:rsid w:val="00755D4F"/>
    <w:rsid w:val="007607B1"/>
    <w:rsid w:val="00765296"/>
    <w:rsid w:val="00766D28"/>
    <w:rsid w:val="007723C2"/>
    <w:rsid w:val="007815B9"/>
    <w:rsid w:val="00783E82"/>
    <w:rsid w:val="00785F1F"/>
    <w:rsid w:val="007869B6"/>
    <w:rsid w:val="00790B9D"/>
    <w:rsid w:val="00796316"/>
    <w:rsid w:val="007A1C58"/>
    <w:rsid w:val="007A20D2"/>
    <w:rsid w:val="007A79CD"/>
    <w:rsid w:val="007C16EA"/>
    <w:rsid w:val="007D2668"/>
    <w:rsid w:val="007D3119"/>
    <w:rsid w:val="007F1867"/>
    <w:rsid w:val="007F1EC4"/>
    <w:rsid w:val="007F55CB"/>
    <w:rsid w:val="007F768E"/>
    <w:rsid w:val="008021D4"/>
    <w:rsid w:val="008149F9"/>
    <w:rsid w:val="008245B7"/>
    <w:rsid w:val="0082755E"/>
    <w:rsid w:val="00831A18"/>
    <w:rsid w:val="00837345"/>
    <w:rsid w:val="00844750"/>
    <w:rsid w:val="00851A74"/>
    <w:rsid w:val="00853AB8"/>
    <w:rsid w:val="00854C34"/>
    <w:rsid w:val="0085586A"/>
    <w:rsid w:val="00856DB2"/>
    <w:rsid w:val="00861031"/>
    <w:rsid w:val="00895DE5"/>
    <w:rsid w:val="008A0FA8"/>
    <w:rsid w:val="008A1EC0"/>
    <w:rsid w:val="008A4A2E"/>
    <w:rsid w:val="008B44C4"/>
    <w:rsid w:val="008C322B"/>
    <w:rsid w:val="008C4B74"/>
    <w:rsid w:val="008D1156"/>
    <w:rsid w:val="008D59DB"/>
    <w:rsid w:val="008E0319"/>
    <w:rsid w:val="008E4DE2"/>
    <w:rsid w:val="008E6252"/>
    <w:rsid w:val="008E7CE2"/>
    <w:rsid w:val="008E7FAE"/>
    <w:rsid w:val="00911BF7"/>
    <w:rsid w:val="0091594A"/>
    <w:rsid w:val="009230F1"/>
    <w:rsid w:val="00926925"/>
    <w:rsid w:val="00935490"/>
    <w:rsid w:val="009418DE"/>
    <w:rsid w:val="009516B7"/>
    <w:rsid w:val="009545F1"/>
    <w:rsid w:val="00957CE5"/>
    <w:rsid w:val="009624E2"/>
    <w:rsid w:val="009707E4"/>
    <w:rsid w:val="00973B8F"/>
    <w:rsid w:val="00974DD2"/>
    <w:rsid w:val="00977EC8"/>
    <w:rsid w:val="00996562"/>
    <w:rsid w:val="009A3048"/>
    <w:rsid w:val="009A6C26"/>
    <w:rsid w:val="009B17AD"/>
    <w:rsid w:val="009B3BD6"/>
    <w:rsid w:val="009B3F8C"/>
    <w:rsid w:val="009B45E0"/>
    <w:rsid w:val="009B540F"/>
    <w:rsid w:val="009D3A8C"/>
    <w:rsid w:val="009E1BA9"/>
    <w:rsid w:val="009E2876"/>
    <w:rsid w:val="009E2F0B"/>
    <w:rsid w:val="009E7956"/>
    <w:rsid w:val="009F072F"/>
    <w:rsid w:val="009F26C1"/>
    <w:rsid w:val="009F3F95"/>
    <w:rsid w:val="00A023FC"/>
    <w:rsid w:val="00A0338D"/>
    <w:rsid w:val="00A05DD1"/>
    <w:rsid w:val="00A077E9"/>
    <w:rsid w:val="00A2492E"/>
    <w:rsid w:val="00A27C92"/>
    <w:rsid w:val="00A31163"/>
    <w:rsid w:val="00A34593"/>
    <w:rsid w:val="00A364DB"/>
    <w:rsid w:val="00A45E90"/>
    <w:rsid w:val="00A4770F"/>
    <w:rsid w:val="00A50D6B"/>
    <w:rsid w:val="00A51050"/>
    <w:rsid w:val="00A56945"/>
    <w:rsid w:val="00A57027"/>
    <w:rsid w:val="00A5750C"/>
    <w:rsid w:val="00A72C35"/>
    <w:rsid w:val="00A752BB"/>
    <w:rsid w:val="00A81F93"/>
    <w:rsid w:val="00A84FCF"/>
    <w:rsid w:val="00A9247E"/>
    <w:rsid w:val="00AA0DCA"/>
    <w:rsid w:val="00AA7796"/>
    <w:rsid w:val="00AC67A1"/>
    <w:rsid w:val="00AC7977"/>
    <w:rsid w:val="00AC7E56"/>
    <w:rsid w:val="00AE2617"/>
    <w:rsid w:val="00AE352C"/>
    <w:rsid w:val="00AE39A5"/>
    <w:rsid w:val="00AE79AC"/>
    <w:rsid w:val="00B01AAD"/>
    <w:rsid w:val="00B101DB"/>
    <w:rsid w:val="00B13E4F"/>
    <w:rsid w:val="00B21751"/>
    <w:rsid w:val="00B256F0"/>
    <w:rsid w:val="00B31D7D"/>
    <w:rsid w:val="00B32E2D"/>
    <w:rsid w:val="00B416B8"/>
    <w:rsid w:val="00B42351"/>
    <w:rsid w:val="00B43741"/>
    <w:rsid w:val="00B45642"/>
    <w:rsid w:val="00B52F29"/>
    <w:rsid w:val="00B5388D"/>
    <w:rsid w:val="00B61990"/>
    <w:rsid w:val="00B6249B"/>
    <w:rsid w:val="00B70CCD"/>
    <w:rsid w:val="00B75E66"/>
    <w:rsid w:val="00B773BF"/>
    <w:rsid w:val="00BC3F20"/>
    <w:rsid w:val="00BC76F0"/>
    <w:rsid w:val="00BD13E6"/>
    <w:rsid w:val="00BD28B2"/>
    <w:rsid w:val="00BD5A8D"/>
    <w:rsid w:val="00BD7343"/>
    <w:rsid w:val="00BF0556"/>
    <w:rsid w:val="00BF1C7D"/>
    <w:rsid w:val="00BF37EE"/>
    <w:rsid w:val="00BF3FEB"/>
    <w:rsid w:val="00C024A1"/>
    <w:rsid w:val="00C02C42"/>
    <w:rsid w:val="00C10FB1"/>
    <w:rsid w:val="00C11282"/>
    <w:rsid w:val="00C14108"/>
    <w:rsid w:val="00C261F8"/>
    <w:rsid w:val="00C27662"/>
    <w:rsid w:val="00C32914"/>
    <w:rsid w:val="00C33100"/>
    <w:rsid w:val="00C42EDB"/>
    <w:rsid w:val="00C451B9"/>
    <w:rsid w:val="00C51D9C"/>
    <w:rsid w:val="00C54DA4"/>
    <w:rsid w:val="00C55118"/>
    <w:rsid w:val="00C577D1"/>
    <w:rsid w:val="00C57A2D"/>
    <w:rsid w:val="00C6018C"/>
    <w:rsid w:val="00C6525D"/>
    <w:rsid w:val="00C67D23"/>
    <w:rsid w:val="00C71827"/>
    <w:rsid w:val="00C75D25"/>
    <w:rsid w:val="00C825E5"/>
    <w:rsid w:val="00C95EB8"/>
    <w:rsid w:val="00CA0756"/>
    <w:rsid w:val="00CB02C5"/>
    <w:rsid w:val="00CB0D41"/>
    <w:rsid w:val="00CB39CD"/>
    <w:rsid w:val="00CC2A62"/>
    <w:rsid w:val="00CC7CE6"/>
    <w:rsid w:val="00CD044C"/>
    <w:rsid w:val="00CD1A71"/>
    <w:rsid w:val="00CD1FBB"/>
    <w:rsid w:val="00CE033D"/>
    <w:rsid w:val="00CE08E5"/>
    <w:rsid w:val="00D016B5"/>
    <w:rsid w:val="00D034F1"/>
    <w:rsid w:val="00D05828"/>
    <w:rsid w:val="00D06712"/>
    <w:rsid w:val="00D13CAA"/>
    <w:rsid w:val="00D14C21"/>
    <w:rsid w:val="00D14F42"/>
    <w:rsid w:val="00D171D4"/>
    <w:rsid w:val="00D244CB"/>
    <w:rsid w:val="00D27D5E"/>
    <w:rsid w:val="00D31272"/>
    <w:rsid w:val="00D32B08"/>
    <w:rsid w:val="00D407D1"/>
    <w:rsid w:val="00D43E5F"/>
    <w:rsid w:val="00D51CE6"/>
    <w:rsid w:val="00D639BD"/>
    <w:rsid w:val="00D65777"/>
    <w:rsid w:val="00D66E0D"/>
    <w:rsid w:val="00D7425A"/>
    <w:rsid w:val="00D74F7E"/>
    <w:rsid w:val="00D7695F"/>
    <w:rsid w:val="00D9039B"/>
    <w:rsid w:val="00D93582"/>
    <w:rsid w:val="00DA41A2"/>
    <w:rsid w:val="00DA43A1"/>
    <w:rsid w:val="00DA5E1D"/>
    <w:rsid w:val="00DB01CD"/>
    <w:rsid w:val="00DC161C"/>
    <w:rsid w:val="00DC3628"/>
    <w:rsid w:val="00DC4F43"/>
    <w:rsid w:val="00DE083E"/>
    <w:rsid w:val="00DE6D90"/>
    <w:rsid w:val="00DF002F"/>
    <w:rsid w:val="00E0244D"/>
    <w:rsid w:val="00E026DF"/>
    <w:rsid w:val="00E02F48"/>
    <w:rsid w:val="00E03712"/>
    <w:rsid w:val="00E06B3F"/>
    <w:rsid w:val="00E10A73"/>
    <w:rsid w:val="00E14F27"/>
    <w:rsid w:val="00E171D2"/>
    <w:rsid w:val="00E25534"/>
    <w:rsid w:val="00E319B6"/>
    <w:rsid w:val="00E32145"/>
    <w:rsid w:val="00E32F5A"/>
    <w:rsid w:val="00E510F3"/>
    <w:rsid w:val="00E51874"/>
    <w:rsid w:val="00E60012"/>
    <w:rsid w:val="00E62CFF"/>
    <w:rsid w:val="00E665EE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483E"/>
    <w:rsid w:val="00E96710"/>
    <w:rsid w:val="00E97E2C"/>
    <w:rsid w:val="00EA3B1D"/>
    <w:rsid w:val="00EB77B9"/>
    <w:rsid w:val="00EB7D07"/>
    <w:rsid w:val="00ED3A26"/>
    <w:rsid w:val="00EF70BB"/>
    <w:rsid w:val="00F02FA9"/>
    <w:rsid w:val="00F06660"/>
    <w:rsid w:val="00F07AE1"/>
    <w:rsid w:val="00F116EB"/>
    <w:rsid w:val="00F1794E"/>
    <w:rsid w:val="00F211AF"/>
    <w:rsid w:val="00F25EC3"/>
    <w:rsid w:val="00F32ADB"/>
    <w:rsid w:val="00F32C98"/>
    <w:rsid w:val="00F37E12"/>
    <w:rsid w:val="00F424BD"/>
    <w:rsid w:val="00F4527A"/>
    <w:rsid w:val="00F45D41"/>
    <w:rsid w:val="00F515AD"/>
    <w:rsid w:val="00F57DD7"/>
    <w:rsid w:val="00F636AD"/>
    <w:rsid w:val="00F66827"/>
    <w:rsid w:val="00F734D9"/>
    <w:rsid w:val="00F73F83"/>
    <w:rsid w:val="00F74902"/>
    <w:rsid w:val="00F85A4E"/>
    <w:rsid w:val="00F9353A"/>
    <w:rsid w:val="00F965C2"/>
    <w:rsid w:val="00FA27D4"/>
    <w:rsid w:val="00FA5A79"/>
    <w:rsid w:val="00FB0BFE"/>
    <w:rsid w:val="00FB4300"/>
    <w:rsid w:val="00FB4C51"/>
    <w:rsid w:val="00FB734D"/>
    <w:rsid w:val="00FD02A2"/>
    <w:rsid w:val="00FD5E64"/>
    <w:rsid w:val="00FD7985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75EA0763"/>
  <w15:docId w15:val="{38C6710D-8AB8-4F80-AACB-179D67BA8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5D4F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Theme="minorHAnsi"/>
      <w:lang w:val="fr-CH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48687D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48687D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48687D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48687D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48687D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48687D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48687D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48687D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F66827"/>
    <w:pPr>
      <w:spacing w:after="120"/>
      <w:ind w:left="1134" w:right="1134"/>
      <w:jc w:val="both"/>
    </w:pPr>
  </w:style>
  <w:style w:type="paragraph" w:styleId="Notedefin">
    <w:name w:val="endnote text"/>
    <w:aliases w:val="2_G"/>
    <w:basedOn w:val="Notedebasdepage"/>
    <w:link w:val="NotedefinCar"/>
    <w:qFormat/>
    <w:rsid w:val="0048687D"/>
  </w:style>
  <w:style w:type="paragraph" w:styleId="Notedebasdepage">
    <w:name w:val="footnote text"/>
    <w:aliases w:val="5_G"/>
    <w:basedOn w:val="Normal"/>
    <w:link w:val="NotedebasdepageCar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Pieddepage">
    <w:name w:val="footer"/>
    <w:aliases w:val="3_G"/>
    <w:basedOn w:val="Normal"/>
    <w:next w:val="Normal"/>
    <w:link w:val="PieddepageCar"/>
    <w:qFormat/>
    <w:rsid w:val="0048687D"/>
    <w:pPr>
      <w:spacing w:line="240" w:lineRule="auto"/>
    </w:pPr>
    <w:rPr>
      <w:sz w:val="16"/>
    </w:rPr>
  </w:style>
  <w:style w:type="character" w:styleId="Appeldenotedefin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Appelnotedebasdep">
    <w:name w:val="footnote reference"/>
    <w:aliases w:val="4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Numrodepage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En-tte">
    <w:name w:val="header"/>
    <w:aliases w:val="6_G"/>
    <w:basedOn w:val="Normal"/>
    <w:next w:val="Normal"/>
    <w:link w:val="En-tteC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ChG">
    <w:name w:val="_ H _Ch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Grilledutableau">
    <w:name w:val="Table Grid"/>
    <w:basedOn w:val="TableauNormal"/>
    <w:rsid w:val="0048687D"/>
    <w:pPr>
      <w:suppressAutoHyphens/>
      <w:spacing w:line="240" w:lineRule="atLeast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rsid w:val="00F66827"/>
    <w:rPr>
      <w:rFonts w:eastAsiaTheme="minorHAnsi"/>
      <w:lang w:val="fr-CH"/>
    </w:rPr>
  </w:style>
  <w:style w:type="character" w:styleId="Lienhypertexte">
    <w:name w:val="Hyperlink"/>
    <w:semiHidden/>
    <w:rsid w:val="0048687D"/>
    <w:rPr>
      <w:color w:val="0000FF"/>
      <w:u w:val="none"/>
    </w:rPr>
  </w:style>
  <w:style w:type="character" w:styleId="Lienhypertextesuivivisit">
    <w:name w:val="FollowedHyperlink"/>
    <w:semiHidden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F66827"/>
    <w:pPr>
      <w:numPr>
        <w:numId w:val="6"/>
      </w:numPr>
      <w:tabs>
        <w:tab w:val="clear" w:pos="1701"/>
      </w:tabs>
      <w:spacing w:after="120"/>
      <w:ind w:right="1134"/>
      <w:jc w:val="both"/>
    </w:pPr>
  </w:style>
  <w:style w:type="character" w:customStyle="1" w:styleId="En-tteCar">
    <w:name w:val="En-tête Car"/>
    <w:aliases w:val="6_G Car"/>
    <w:link w:val="En-tte"/>
    <w:rsid w:val="0048687D"/>
    <w:rPr>
      <w:rFonts w:eastAsiaTheme="minorHAnsi"/>
      <w:b/>
      <w:sz w:val="18"/>
      <w:lang w:val="fr-CH"/>
    </w:rPr>
  </w:style>
  <w:style w:type="character" w:customStyle="1" w:styleId="NotedebasdepageCar">
    <w:name w:val="Note de bas de page Car"/>
    <w:aliases w:val="5_G Car"/>
    <w:link w:val="Notedebasdepage"/>
    <w:rsid w:val="0048687D"/>
    <w:rPr>
      <w:rFonts w:eastAsiaTheme="minorHAnsi"/>
      <w:sz w:val="18"/>
      <w:lang w:val="fr-CH"/>
    </w:rPr>
  </w:style>
  <w:style w:type="character" w:customStyle="1" w:styleId="NotedefinCar">
    <w:name w:val="Note de fin Car"/>
    <w:aliases w:val="2_G Car"/>
    <w:link w:val="Notedefin"/>
    <w:rsid w:val="0048687D"/>
    <w:rPr>
      <w:rFonts w:eastAsiaTheme="minorHAnsi"/>
      <w:sz w:val="18"/>
      <w:lang w:val="fr-CH"/>
    </w:rPr>
  </w:style>
  <w:style w:type="character" w:customStyle="1" w:styleId="PieddepageCar">
    <w:name w:val="Pied de page Car"/>
    <w:aliases w:val="3_G Car"/>
    <w:link w:val="Pieddepage"/>
    <w:rsid w:val="0048687D"/>
    <w:rPr>
      <w:rFonts w:eastAsiaTheme="minorHAnsi"/>
      <w:sz w:val="16"/>
      <w:lang w:val="fr-CH"/>
    </w:rPr>
  </w:style>
  <w:style w:type="character" w:customStyle="1" w:styleId="Titre1Car">
    <w:name w:val="Titre 1 Car"/>
    <w:aliases w:val="Table_G Car"/>
    <w:link w:val="Titre1"/>
    <w:rsid w:val="0048687D"/>
    <w:rPr>
      <w:rFonts w:eastAsiaTheme="minorHAnsi"/>
      <w:lang w:val="fr-CH"/>
    </w:rPr>
  </w:style>
  <w:style w:type="character" w:customStyle="1" w:styleId="Titre2Car">
    <w:name w:val="Titre 2 Car"/>
    <w:link w:val="Titre2"/>
    <w:semiHidden/>
    <w:rsid w:val="00755D4F"/>
    <w:rPr>
      <w:rFonts w:eastAsiaTheme="minorHAnsi"/>
      <w:lang w:val="fr-CH"/>
    </w:rPr>
  </w:style>
  <w:style w:type="character" w:customStyle="1" w:styleId="Titre3Car">
    <w:name w:val="Titre 3 Car"/>
    <w:link w:val="Titre3"/>
    <w:semiHidden/>
    <w:rsid w:val="00755D4F"/>
    <w:rPr>
      <w:rFonts w:eastAsiaTheme="minorHAnsi"/>
      <w:lang w:val="fr-CH"/>
    </w:rPr>
  </w:style>
  <w:style w:type="character" w:customStyle="1" w:styleId="Titre4Car">
    <w:name w:val="Titre 4 Car"/>
    <w:link w:val="Titre4"/>
    <w:semiHidden/>
    <w:rsid w:val="00755D4F"/>
    <w:rPr>
      <w:rFonts w:eastAsiaTheme="minorHAnsi"/>
      <w:lang w:val="fr-CH"/>
    </w:rPr>
  </w:style>
  <w:style w:type="character" w:customStyle="1" w:styleId="Titre5Car">
    <w:name w:val="Titre 5 Car"/>
    <w:link w:val="Titre5"/>
    <w:semiHidden/>
    <w:rsid w:val="00755D4F"/>
    <w:rPr>
      <w:rFonts w:eastAsiaTheme="minorHAnsi"/>
      <w:lang w:val="fr-CH"/>
    </w:rPr>
  </w:style>
  <w:style w:type="character" w:customStyle="1" w:styleId="Titre6Car">
    <w:name w:val="Titre 6 Car"/>
    <w:link w:val="Titre6"/>
    <w:semiHidden/>
    <w:rsid w:val="00755D4F"/>
    <w:rPr>
      <w:rFonts w:eastAsiaTheme="minorHAnsi"/>
      <w:lang w:val="fr-CH"/>
    </w:rPr>
  </w:style>
  <w:style w:type="character" w:customStyle="1" w:styleId="Titre7Car">
    <w:name w:val="Titre 7 Car"/>
    <w:link w:val="Titre7"/>
    <w:semiHidden/>
    <w:rsid w:val="00755D4F"/>
    <w:rPr>
      <w:rFonts w:eastAsiaTheme="minorHAnsi"/>
      <w:lang w:val="fr-CH"/>
    </w:rPr>
  </w:style>
  <w:style w:type="character" w:customStyle="1" w:styleId="Titre8Car">
    <w:name w:val="Titre 8 Car"/>
    <w:link w:val="Titre8"/>
    <w:semiHidden/>
    <w:rsid w:val="00755D4F"/>
    <w:rPr>
      <w:rFonts w:eastAsiaTheme="minorHAnsi"/>
      <w:lang w:val="fr-CH"/>
    </w:rPr>
  </w:style>
  <w:style w:type="character" w:customStyle="1" w:styleId="Titre9Car">
    <w:name w:val="Titre 9 Car"/>
    <w:link w:val="Titre9"/>
    <w:semiHidden/>
    <w:rsid w:val="00755D4F"/>
    <w:rPr>
      <w:rFonts w:eastAsiaTheme="minorHAnsi"/>
      <w:lang w:val="fr-CH"/>
    </w:rPr>
  </w:style>
  <w:style w:type="paragraph" w:styleId="Textedebulles">
    <w:name w:val="Balloon Text"/>
    <w:basedOn w:val="Normal"/>
    <w:link w:val="TextedebullesCar"/>
    <w:semiHidden/>
    <w:rsid w:val="00442E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755D4F"/>
    <w:rPr>
      <w:rFonts w:ascii="Tahoma" w:eastAsiaTheme="minorHAnsi" w:hAnsi="Tahoma" w:cs="Tahoma"/>
      <w:sz w:val="16"/>
      <w:szCs w:val="16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98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7.gif"/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Rapports\E_ECE_324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A5B17D-BD50-4FAB-91A8-3C21761B954E}"/>
</file>

<file path=customXml/itemProps2.xml><?xml version="1.0" encoding="utf-8"?>
<ds:datastoreItem xmlns:ds="http://schemas.openxmlformats.org/officeDocument/2006/customXml" ds:itemID="{001E8F75-B038-43A0-A0E8-709173A8C28E}"/>
</file>

<file path=customXml/itemProps3.xml><?xml version="1.0" encoding="utf-8"?>
<ds:datastoreItem xmlns:ds="http://schemas.openxmlformats.org/officeDocument/2006/customXml" ds:itemID="{86B61A52-43C1-45E0-9A1F-4DE3F78BE415}"/>
</file>

<file path=docProps/app.xml><?xml version="1.0" encoding="utf-8"?>
<Properties xmlns="http://schemas.openxmlformats.org/officeDocument/2006/extended-properties" xmlns:vt="http://schemas.openxmlformats.org/officeDocument/2006/docPropsVTypes">
  <Template>E_ECE_324.dotm</Template>
  <TotalTime>1</TotalTime>
  <Pages>3</Pages>
  <Words>821</Words>
  <Characters>4525</Characters>
  <Application>Microsoft Office Word</Application>
  <DocSecurity>0</DocSecurity>
  <Lines>94</Lines>
  <Paragraphs>37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E/ECE/324/Rev.1/Add.94/Rev.2/Amend.5</vt:lpstr>
    </vt:vector>
  </TitlesOfParts>
  <Company>CSD</Company>
  <LinksUpToDate>false</LinksUpToDate>
  <CharactersWithSpaces>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E/ECE/324/Rev.1/Add.94/Rev.2/Amend.5</dc:title>
  <dc:creator>Christine CHAUTAGNAT</dc:creator>
  <cp:keywords>E/ECE/TRANS/505/Rev.1/Add.94/Rev.2/Amend.5</cp:keywords>
  <cp:lastModifiedBy>Christine Chautagnat</cp:lastModifiedBy>
  <cp:revision>3</cp:revision>
  <cp:lastPrinted>2021-04-26T06:33:00Z</cp:lastPrinted>
  <dcterms:created xsi:type="dcterms:W3CDTF">2021-04-26T06:33:00Z</dcterms:created>
  <dcterms:modified xsi:type="dcterms:W3CDTF">2021-04-26T06:34:00Z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