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AAFCC" w14:textId="77777777" w:rsidR="00982036" w:rsidRPr="00267B69" w:rsidRDefault="00982036" w:rsidP="00982036">
      <w:pPr>
        <w:spacing w:before="120"/>
        <w:rPr>
          <w:b/>
          <w:sz w:val="28"/>
          <w:szCs w:val="28"/>
        </w:rPr>
      </w:pPr>
      <w:r w:rsidRPr="00267B69">
        <w:rPr>
          <w:b/>
          <w:sz w:val="28"/>
          <w:szCs w:val="28"/>
        </w:rPr>
        <w:t>Economic Commission for Europe</w:t>
      </w:r>
      <w:r w:rsidR="0090465E">
        <w:rPr>
          <w:b/>
          <w:sz w:val="28"/>
          <w:szCs w:val="28"/>
        </w:rPr>
        <w:t xml:space="preserve"> </w:t>
      </w:r>
    </w:p>
    <w:p w14:paraId="2ED6F609" w14:textId="77777777" w:rsidR="00982036" w:rsidRPr="00267B69" w:rsidRDefault="00982036" w:rsidP="00982036">
      <w:pPr>
        <w:spacing w:before="120"/>
        <w:rPr>
          <w:sz w:val="28"/>
          <w:szCs w:val="28"/>
        </w:rPr>
      </w:pPr>
      <w:r w:rsidRPr="00267B69">
        <w:rPr>
          <w:sz w:val="28"/>
          <w:szCs w:val="28"/>
        </w:rPr>
        <w:t>Inland Transport Committee</w:t>
      </w:r>
    </w:p>
    <w:p w14:paraId="07A97158" w14:textId="77777777" w:rsidR="00982036" w:rsidRPr="00267B69" w:rsidRDefault="00982036" w:rsidP="00982036">
      <w:pPr>
        <w:spacing w:before="120"/>
        <w:rPr>
          <w:b/>
          <w:sz w:val="24"/>
          <w:szCs w:val="24"/>
        </w:rPr>
      </w:pPr>
      <w:r w:rsidRPr="00267B69">
        <w:rPr>
          <w:b/>
          <w:sz w:val="24"/>
          <w:szCs w:val="24"/>
        </w:rPr>
        <w:t>Working Party on the Transport of Dangerous Goods</w:t>
      </w:r>
    </w:p>
    <w:p w14:paraId="0A6DE7AE" w14:textId="7E1F81E0" w:rsidR="00982036" w:rsidRPr="00267B69" w:rsidRDefault="007851CB" w:rsidP="00084795">
      <w:pPr>
        <w:spacing w:before="120"/>
        <w:rPr>
          <w:b/>
        </w:rPr>
      </w:pPr>
      <w:r w:rsidRPr="00267B69">
        <w:rPr>
          <w:b/>
        </w:rPr>
        <w:t>10</w:t>
      </w:r>
      <w:r w:rsidR="00A85344">
        <w:rPr>
          <w:b/>
        </w:rPr>
        <w:t>9</w:t>
      </w:r>
      <w:r w:rsidRPr="00267B69">
        <w:rPr>
          <w:b/>
        </w:rPr>
        <w:t>th</w:t>
      </w:r>
      <w:r w:rsidR="00982036" w:rsidRPr="00267B69">
        <w:rPr>
          <w:b/>
        </w:rPr>
        <w:t xml:space="preserve"> session</w:t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2709B0" w:rsidRPr="00267B69">
        <w:rPr>
          <w:b/>
        </w:rPr>
        <w:tab/>
      </w:r>
      <w:r w:rsidR="002709B0" w:rsidRPr="00267B69">
        <w:rPr>
          <w:b/>
        </w:rPr>
        <w:tab/>
      </w:r>
      <w:r w:rsidR="00D13D3B" w:rsidRPr="00267B69">
        <w:rPr>
          <w:b/>
        </w:rPr>
        <w:tab/>
      </w:r>
      <w:r w:rsidR="00B96BDE">
        <w:rPr>
          <w:b/>
        </w:rPr>
        <w:t xml:space="preserve"> </w:t>
      </w:r>
      <w:r w:rsidR="00C00D95">
        <w:rPr>
          <w:b/>
        </w:rPr>
        <w:t>21</w:t>
      </w:r>
      <w:r w:rsidR="00B00EB9">
        <w:rPr>
          <w:b/>
        </w:rPr>
        <w:t xml:space="preserve"> </w:t>
      </w:r>
      <w:r w:rsidR="003E6702">
        <w:rPr>
          <w:b/>
        </w:rPr>
        <w:t>April</w:t>
      </w:r>
      <w:r w:rsidR="0090465E">
        <w:rPr>
          <w:b/>
        </w:rPr>
        <w:t xml:space="preserve"> 202</w:t>
      </w:r>
      <w:r w:rsidR="003E6702">
        <w:rPr>
          <w:b/>
        </w:rPr>
        <w:t>1</w:t>
      </w:r>
    </w:p>
    <w:p w14:paraId="355DC638" w14:textId="77777777" w:rsidR="00982036" w:rsidRPr="00267B69" w:rsidRDefault="00982036" w:rsidP="00982036">
      <w:r w:rsidRPr="00267B69">
        <w:t>Geneva</w:t>
      </w:r>
      <w:r w:rsidR="00AF0EA9" w:rsidRPr="00267B69">
        <w:t xml:space="preserve">, </w:t>
      </w:r>
      <w:r w:rsidR="00A85344">
        <w:t>3</w:t>
      </w:r>
      <w:r w:rsidR="007851CB" w:rsidRPr="00267B69">
        <w:t>–</w:t>
      </w:r>
      <w:r w:rsidR="00A85344">
        <w:t>7 may</w:t>
      </w:r>
      <w:r w:rsidR="00AF0EA9" w:rsidRPr="00267B69">
        <w:t xml:space="preserve"> 20</w:t>
      </w:r>
      <w:r w:rsidR="0090465E">
        <w:t>2</w:t>
      </w:r>
      <w:r w:rsidR="00A85344">
        <w:t>1</w:t>
      </w:r>
    </w:p>
    <w:p w14:paraId="698A1B2C" w14:textId="77777777" w:rsidR="0090465E" w:rsidRPr="00982178" w:rsidRDefault="0090465E" w:rsidP="0090465E">
      <w:r w:rsidRPr="00982178">
        <w:t xml:space="preserve">Item </w:t>
      </w:r>
      <w:r w:rsidR="00A85344">
        <w:t>8</w:t>
      </w:r>
      <w:r w:rsidRPr="00982178">
        <w:t xml:space="preserve"> of the provisional agenda</w:t>
      </w:r>
    </w:p>
    <w:p w14:paraId="7241561A" w14:textId="77777777" w:rsidR="0090465E" w:rsidRPr="00982178" w:rsidRDefault="00A85344" w:rsidP="0090465E">
      <w:pPr>
        <w:rPr>
          <w:b/>
        </w:rPr>
      </w:pPr>
      <w:r>
        <w:rPr>
          <w:b/>
        </w:rPr>
        <w:t>Any other business</w:t>
      </w:r>
    </w:p>
    <w:p w14:paraId="4F910B98" w14:textId="77777777" w:rsidR="0090465E" w:rsidRDefault="0090465E" w:rsidP="0090465E">
      <w:pPr>
        <w:pStyle w:val="HChG"/>
        <w:rPr>
          <w:lang w:val="en-GB"/>
        </w:rPr>
      </w:pPr>
      <w:r>
        <w:tab/>
      </w:r>
      <w:r>
        <w:tab/>
      </w:r>
      <w:r w:rsidR="0007724B" w:rsidRPr="0007724B">
        <w:rPr>
          <w:lang w:val="en-GB"/>
        </w:rPr>
        <w:t>D</w:t>
      </w:r>
      <w:r w:rsidR="0007724B">
        <w:rPr>
          <w:lang w:val="en-GB"/>
        </w:rPr>
        <w:t>iscrepancies between h</w:t>
      </w:r>
      <w:r w:rsidR="00A85344">
        <w:rPr>
          <w:lang w:val="en-GB"/>
        </w:rPr>
        <w:t>igh consequence dangerous goods</w:t>
      </w:r>
      <w:r w:rsidR="0007724B">
        <w:rPr>
          <w:lang w:val="en-GB"/>
        </w:rPr>
        <w:t>, Table 1.10.3.1.2,</w:t>
      </w:r>
      <w:r w:rsidR="00A85344">
        <w:rPr>
          <w:lang w:val="en-GB"/>
        </w:rPr>
        <w:t xml:space="preserve"> in relation to Chapter 8.5, S1 (6) and sub-section 1.1.3.6</w:t>
      </w:r>
    </w:p>
    <w:p w14:paraId="0A76B2A5" w14:textId="77777777" w:rsidR="003D6AA5" w:rsidRPr="003D6AA5" w:rsidRDefault="003D6AA5" w:rsidP="003D6AA5">
      <w:pPr>
        <w:pStyle w:val="H1G"/>
      </w:pPr>
      <w:r>
        <w:tab/>
      </w:r>
      <w:r>
        <w:tab/>
        <w:t xml:space="preserve">Transmitted </w:t>
      </w:r>
      <w:r w:rsidR="00AF6091">
        <w:t>by</w:t>
      </w:r>
      <w:r>
        <w:t xml:space="preserve"> the Government</w:t>
      </w:r>
      <w:r w:rsidR="00A85344">
        <w:t>s</w:t>
      </w:r>
      <w:r>
        <w:t xml:space="preserve"> of Sweden</w:t>
      </w:r>
      <w:r w:rsidR="00A85344">
        <w:t xml:space="preserve"> and Norway</w:t>
      </w:r>
    </w:p>
    <w:p w14:paraId="06B0110D" w14:textId="77777777" w:rsidR="0090465E" w:rsidRDefault="0090465E" w:rsidP="008B1F31">
      <w:pPr>
        <w:pStyle w:val="HChG"/>
      </w:pPr>
      <w:r>
        <w:tab/>
      </w:r>
      <w:r>
        <w:tab/>
      </w:r>
      <w:r>
        <w:tab/>
        <w:t>Introduction</w:t>
      </w:r>
    </w:p>
    <w:p w14:paraId="2B8AE08A" w14:textId="68464F07" w:rsidR="00A85344" w:rsidRDefault="00CC1FEF" w:rsidP="008B1F31">
      <w:pPr>
        <w:pStyle w:val="SingleTxtG"/>
      </w:pPr>
      <w:r>
        <w:rPr>
          <w:lang w:val="fr-CH"/>
        </w:rPr>
        <w:t>1.</w:t>
      </w:r>
      <w:r>
        <w:rPr>
          <w:lang w:val="fr-CH"/>
        </w:rPr>
        <w:tab/>
      </w:r>
      <w:r w:rsidR="00CA0F0A">
        <w:t xml:space="preserve">Sweden </w:t>
      </w:r>
      <w:r w:rsidR="00A85344">
        <w:t xml:space="preserve">and </w:t>
      </w:r>
      <w:r w:rsidR="00CA0F0A">
        <w:t xml:space="preserve">Norway </w:t>
      </w:r>
      <w:r w:rsidR="00A85344">
        <w:t xml:space="preserve">have </w:t>
      </w:r>
      <w:r w:rsidR="00962CB0">
        <w:t xml:space="preserve">examined </w:t>
      </w:r>
      <w:r w:rsidR="00A85344">
        <w:t>the provisions</w:t>
      </w:r>
      <w:r w:rsidR="00E76D5E">
        <w:t xml:space="preserve"> in chapter 1.10</w:t>
      </w:r>
      <w:r w:rsidR="00962CB0">
        <w:t>,</w:t>
      </w:r>
      <w:r w:rsidR="00E76D5E">
        <w:t xml:space="preserve"> and especially the </w:t>
      </w:r>
      <w:r w:rsidR="00D54946">
        <w:t xml:space="preserve">divisions of Class 1 </w:t>
      </w:r>
      <w:r w:rsidR="00A85344">
        <w:t xml:space="preserve">listed </w:t>
      </w:r>
      <w:r w:rsidR="00143D55">
        <w:t xml:space="preserve">as high consequence dangerous goods </w:t>
      </w:r>
      <w:r w:rsidR="00A85344">
        <w:t xml:space="preserve">in Table 1.10.3.1.2. </w:t>
      </w:r>
    </w:p>
    <w:p w14:paraId="42C3A774" w14:textId="4D345BBC" w:rsidR="00143D55" w:rsidRDefault="00CC1FEF" w:rsidP="008B1F31">
      <w:pPr>
        <w:pStyle w:val="SingleTxtG"/>
      </w:pPr>
      <w:r>
        <w:rPr>
          <w:lang w:val="fr-CH"/>
        </w:rPr>
        <w:t>2.</w:t>
      </w:r>
      <w:r>
        <w:rPr>
          <w:lang w:val="fr-CH"/>
        </w:rPr>
        <w:tab/>
      </w:r>
      <w:r w:rsidR="00143D55">
        <w:t xml:space="preserve">The aim with </w:t>
      </w:r>
      <w:r w:rsidR="00D15DB2">
        <w:t>this exercise</w:t>
      </w:r>
      <w:r w:rsidR="00A6256A">
        <w:t xml:space="preserve"> was to compare </w:t>
      </w:r>
      <w:r w:rsidR="00FC0D31">
        <w:t>explosives in the divisions of Class 1 listed as</w:t>
      </w:r>
      <w:r w:rsidR="0048262F">
        <w:t xml:space="preserve"> </w:t>
      </w:r>
      <w:r w:rsidR="00A6256A">
        <w:t>high consequence dangerous goods with the additional requirement on supervision</w:t>
      </w:r>
      <w:r w:rsidR="00D15DB2">
        <w:t xml:space="preserve"> in</w:t>
      </w:r>
      <w:r w:rsidR="00A6256A">
        <w:t xml:space="preserve"> S1(6)</w:t>
      </w:r>
      <w:r w:rsidR="00D15DB2">
        <w:t xml:space="preserve">, chapter 8.5. </w:t>
      </w:r>
      <w:r w:rsidR="00A6256A">
        <w:t xml:space="preserve">A comparison </w:t>
      </w:r>
      <w:r w:rsidR="00011B06">
        <w:t>has also been</w:t>
      </w:r>
      <w:r w:rsidR="00A6256A">
        <w:t xml:space="preserve"> made </w:t>
      </w:r>
      <w:r w:rsidR="00E634C8">
        <w:t xml:space="preserve">with sub-section 1.1.3.6 and </w:t>
      </w:r>
      <w:r w:rsidR="00A6256A">
        <w:t>the possibility to carry high consequence dangerous goods in accordance with 1.1.3.6</w:t>
      </w:r>
      <w:r w:rsidR="00884086">
        <w:t xml:space="preserve">, </w:t>
      </w:r>
      <w:r w:rsidR="00A6256A">
        <w:t>without</w:t>
      </w:r>
      <w:r w:rsidR="00836336">
        <w:t xml:space="preserve"> having to</w:t>
      </w:r>
      <w:r w:rsidR="00A6256A">
        <w:t xml:space="preserve"> apply</w:t>
      </w:r>
      <w:r w:rsidR="00884086">
        <w:t xml:space="preserve"> </w:t>
      </w:r>
      <w:r w:rsidR="00A6256A">
        <w:t>chapter 1.10.</w:t>
      </w:r>
      <w:r w:rsidR="00F901F3">
        <w:t xml:space="preserve"> </w:t>
      </w:r>
    </w:p>
    <w:p w14:paraId="2E37E023" w14:textId="2B5571EC" w:rsidR="00C00D95" w:rsidRDefault="00CC1FEF" w:rsidP="008B1F31">
      <w:pPr>
        <w:pStyle w:val="SingleTxtG"/>
        <w:rPr>
          <w:color w:val="1F497D"/>
        </w:rPr>
      </w:pPr>
      <w:r>
        <w:rPr>
          <w:lang w:val="fr-CH"/>
        </w:rPr>
        <w:t>3.</w:t>
      </w:r>
      <w:r>
        <w:rPr>
          <w:lang w:val="fr-CH"/>
        </w:rPr>
        <w:tab/>
      </w:r>
      <w:r w:rsidR="0077728A">
        <w:t xml:space="preserve">Chapter 1.10 was introduced in ADR 2005, </w:t>
      </w:r>
      <w:r w:rsidR="007D19E1">
        <w:t xml:space="preserve">and </w:t>
      </w:r>
      <w:r w:rsidR="009D331A">
        <w:t xml:space="preserve">we </w:t>
      </w:r>
      <w:r w:rsidR="004E7BE6">
        <w:t xml:space="preserve">think it is time to </w:t>
      </w:r>
      <w:r w:rsidR="002E3031">
        <w:t>take a closer look at</w:t>
      </w:r>
      <w:r w:rsidR="0077728A">
        <w:t xml:space="preserve"> </w:t>
      </w:r>
      <w:r w:rsidR="00B00EB9">
        <w:t xml:space="preserve">the scope of </w:t>
      </w:r>
      <w:r w:rsidR="00D9656A">
        <w:t>the</w:t>
      </w:r>
      <w:r w:rsidR="000512DE">
        <w:t>se</w:t>
      </w:r>
      <w:r w:rsidR="00D9656A">
        <w:t xml:space="preserve"> provisions</w:t>
      </w:r>
      <w:r w:rsidR="00D652E7">
        <w:t xml:space="preserve"> together with the scope of sub-section 1.1.3.6</w:t>
      </w:r>
      <w:r w:rsidR="002E3031">
        <w:t xml:space="preserve">. </w:t>
      </w:r>
      <w:r w:rsidR="00D652E7">
        <w:t xml:space="preserve">There is a gap between the security obligations for transport and non-transport activities. </w:t>
      </w:r>
      <w:r w:rsidR="00C00D95">
        <w:t xml:space="preserve">For instance, </w:t>
      </w:r>
      <w:r w:rsidR="00C00D95" w:rsidRPr="00C00D95">
        <w:t>while ADR exempts carriage in accordance with 1.1.3.6,</w:t>
      </w:r>
      <w:r w:rsidR="00C00D95">
        <w:t xml:space="preserve"> the restrictions are more stringent for such small loads when handled at </w:t>
      </w:r>
      <w:r w:rsidR="00C00D95" w:rsidRPr="0041416B">
        <w:t>e.g.</w:t>
      </w:r>
      <w:r w:rsidR="00C00D95">
        <w:t xml:space="preserve"> constructions sites.</w:t>
      </w:r>
    </w:p>
    <w:p w14:paraId="6B5A0003" w14:textId="444D017B" w:rsidR="00D9656A" w:rsidRDefault="00CC1FEF" w:rsidP="008B1F31">
      <w:pPr>
        <w:pStyle w:val="SingleTxtG"/>
      </w:pPr>
      <w:r>
        <w:rPr>
          <w:lang w:val="fr-CH"/>
        </w:rPr>
        <w:t>4.</w:t>
      </w:r>
      <w:r>
        <w:rPr>
          <w:lang w:val="fr-CH"/>
        </w:rPr>
        <w:tab/>
      </w:r>
      <w:r w:rsidR="00D652E7">
        <w:t>Thus, it seems that t</w:t>
      </w:r>
      <w:r w:rsidR="002E3031">
        <w:t xml:space="preserve">he provisions and exemptions </w:t>
      </w:r>
      <w:r w:rsidR="00D652E7">
        <w:t xml:space="preserve">in ADR </w:t>
      </w:r>
      <w:r w:rsidR="002E3031">
        <w:t xml:space="preserve">are </w:t>
      </w:r>
      <w:r w:rsidR="004C2BD5">
        <w:t xml:space="preserve">not </w:t>
      </w:r>
      <w:r w:rsidR="002E3031">
        <w:t>in line with the security threats we face today.</w:t>
      </w:r>
      <w:r w:rsidR="00D9656A">
        <w:t xml:space="preserve"> </w:t>
      </w:r>
    </w:p>
    <w:p w14:paraId="654B7399" w14:textId="4AA8E310" w:rsidR="00F901F3" w:rsidRDefault="00CC1FEF" w:rsidP="008B1F31">
      <w:pPr>
        <w:pStyle w:val="SingleTxtG"/>
      </w:pPr>
      <w:r>
        <w:rPr>
          <w:lang w:val="fr-CH"/>
        </w:rPr>
        <w:t>5.</w:t>
      </w:r>
      <w:r>
        <w:rPr>
          <w:lang w:val="fr-CH"/>
        </w:rPr>
        <w:tab/>
      </w:r>
      <w:r w:rsidR="00B00EB9">
        <w:t xml:space="preserve">Recent </w:t>
      </w:r>
      <w:r w:rsidR="006E535C" w:rsidRPr="00EB4534">
        <w:t>incidents in Sweden have involved class 1 products</w:t>
      </w:r>
      <w:r w:rsidR="00D652E7">
        <w:t>,</w:t>
      </w:r>
      <w:r w:rsidR="00B00EB9">
        <w:t xml:space="preserve"> with thefts from </w:t>
      </w:r>
      <w:r w:rsidR="00D652E7">
        <w:t xml:space="preserve">both </w:t>
      </w:r>
      <w:r w:rsidR="00B00EB9">
        <w:t>closed and sheeted vehicles</w:t>
      </w:r>
      <w:r w:rsidR="006E535C" w:rsidRPr="00EB4534">
        <w:t xml:space="preserve">. </w:t>
      </w:r>
      <w:r w:rsidR="00B00EB9">
        <w:t>I</w:t>
      </w:r>
      <w:r w:rsidR="004151E5">
        <w:t xml:space="preserve">n Norway, we also </w:t>
      </w:r>
      <w:r w:rsidR="00B00EB9">
        <w:t>struggle with</w:t>
      </w:r>
      <w:r w:rsidR="004151E5">
        <w:t xml:space="preserve"> security breaches</w:t>
      </w:r>
      <w:r w:rsidR="00B00EB9">
        <w:t xml:space="preserve"> in the form of thefts</w:t>
      </w:r>
      <w:r w:rsidR="004C2BD5">
        <w:t>, often committed by employees carrying out transportation to construction sites.</w:t>
      </w:r>
    </w:p>
    <w:p w14:paraId="38E679FA" w14:textId="77777777" w:rsidR="00AE2796" w:rsidRDefault="00AE2796" w:rsidP="00AE2796">
      <w:pPr>
        <w:pStyle w:val="H1G"/>
        <w:ind w:firstLine="0"/>
      </w:pPr>
      <w:r>
        <w:t>Background</w:t>
      </w:r>
    </w:p>
    <w:p w14:paraId="7CE24761" w14:textId="540FCDCB" w:rsidR="00011B06" w:rsidRDefault="00CC1FEF" w:rsidP="008B1F31">
      <w:pPr>
        <w:pStyle w:val="SingleTxtG"/>
      </w:pPr>
      <w:r>
        <w:rPr>
          <w:lang w:val="fr-CH"/>
        </w:rPr>
        <w:t>6.</w:t>
      </w:r>
      <w:r>
        <w:rPr>
          <w:lang w:val="fr-CH"/>
        </w:rPr>
        <w:tab/>
      </w:r>
      <w:r w:rsidR="00011B06">
        <w:t xml:space="preserve">The </w:t>
      </w:r>
      <w:r w:rsidR="00884086">
        <w:t>examination</w:t>
      </w:r>
      <w:r w:rsidR="00011B06">
        <w:t xml:space="preserve"> has shown that there are </w:t>
      </w:r>
      <w:r w:rsidR="009640C1">
        <w:t>205</w:t>
      </w:r>
      <w:r w:rsidR="00011B06">
        <w:t xml:space="preserve"> </w:t>
      </w:r>
      <w:r w:rsidR="009640C1">
        <w:t xml:space="preserve">explosives in a </w:t>
      </w:r>
      <w:r w:rsidR="0048262F">
        <w:t>division listed</w:t>
      </w:r>
      <w:r w:rsidR="00011B06">
        <w:t xml:space="preserve"> </w:t>
      </w:r>
      <w:r w:rsidR="00884086">
        <w:t>as high consequence dangerous good</w:t>
      </w:r>
      <w:r w:rsidR="009640C1">
        <w:t>s</w:t>
      </w:r>
      <w:r w:rsidR="00884086">
        <w:t xml:space="preserve"> </w:t>
      </w:r>
      <w:r w:rsidR="002E5D40">
        <w:t>from 0 kg</w:t>
      </w:r>
      <w:r w:rsidR="00884086">
        <w:t xml:space="preserve"> but </w:t>
      </w:r>
      <w:r w:rsidR="00D92863">
        <w:t xml:space="preserve">still </w:t>
      </w:r>
      <w:r w:rsidR="00884086">
        <w:t>a</w:t>
      </w:r>
      <w:r w:rsidR="00011B06">
        <w:t xml:space="preserve">llowed </w:t>
      </w:r>
      <w:r w:rsidR="009640C1">
        <w:t xml:space="preserve">for carriage </w:t>
      </w:r>
      <w:r w:rsidR="00011B06">
        <w:t>in accordance with 1.1.3.6</w:t>
      </w:r>
      <w:r w:rsidR="009640C1">
        <w:t xml:space="preserve"> and thus exempted from </w:t>
      </w:r>
      <w:r w:rsidR="00884086">
        <w:t>t</w:t>
      </w:r>
      <w:r w:rsidR="00011B06">
        <w:t xml:space="preserve">he </w:t>
      </w:r>
      <w:r w:rsidR="002E5D40">
        <w:t xml:space="preserve">provisions </w:t>
      </w:r>
      <w:r w:rsidR="00011B06">
        <w:t>in chapter 1.10</w:t>
      </w:r>
      <w:r w:rsidR="009640C1">
        <w:t>.</w:t>
      </w:r>
      <w:r w:rsidR="00011B06">
        <w:t xml:space="preserve"> </w:t>
      </w:r>
      <w:r w:rsidR="009640C1">
        <w:t>We have listed these explosives</w:t>
      </w:r>
      <w:r w:rsidR="00011B06">
        <w:t xml:space="preserve"> in </w:t>
      </w:r>
      <w:r w:rsidR="00D02FB1">
        <w:t>A</w:t>
      </w:r>
      <w:r w:rsidR="00011B06">
        <w:t xml:space="preserve">nnex </w:t>
      </w:r>
      <w:r w:rsidR="00D02FB1">
        <w:t>1</w:t>
      </w:r>
      <w:r w:rsidR="00884086">
        <w:t xml:space="preserve"> to this document</w:t>
      </w:r>
      <w:r w:rsidR="00011B06">
        <w:t>.</w:t>
      </w:r>
    </w:p>
    <w:p w14:paraId="1F558721" w14:textId="560D91BB" w:rsidR="00691FF4" w:rsidRDefault="00CC1FEF" w:rsidP="008B1F31">
      <w:pPr>
        <w:pStyle w:val="SingleTxtG"/>
      </w:pPr>
      <w:r>
        <w:rPr>
          <w:lang w:val="fr-CH"/>
        </w:rPr>
        <w:t>7.</w:t>
      </w:r>
      <w:r>
        <w:rPr>
          <w:lang w:val="fr-CH"/>
        </w:rPr>
        <w:tab/>
      </w:r>
      <w:r w:rsidR="00DC45EF">
        <w:t xml:space="preserve">Further, we have found a discrepancy of </w:t>
      </w:r>
      <w:r w:rsidR="00270B55">
        <w:t xml:space="preserve">128 </w:t>
      </w:r>
      <w:r w:rsidR="00DC45EF">
        <w:t>explosives</w:t>
      </w:r>
      <w:r w:rsidR="00270B55">
        <w:t xml:space="preserve"> </w:t>
      </w:r>
      <w:r w:rsidR="00DC45EF">
        <w:t>when</w:t>
      </w:r>
      <w:r w:rsidR="00D92863">
        <w:t xml:space="preserve"> comparing </w:t>
      </w:r>
      <w:r w:rsidR="002E5D40">
        <w:t xml:space="preserve">Table 1.10.3.1.2 </w:t>
      </w:r>
      <w:r w:rsidR="00D92863">
        <w:t>with</w:t>
      </w:r>
      <w:r w:rsidR="002E5D40">
        <w:t xml:space="preserve"> S1(6) in chapter 8.5</w:t>
      </w:r>
      <w:r w:rsidR="0048262F">
        <w:t>, see Annex 2</w:t>
      </w:r>
      <w:r w:rsidR="00DC45EF">
        <w:t>.</w:t>
      </w:r>
      <w:r w:rsidR="002E5D40">
        <w:t xml:space="preserve"> </w:t>
      </w:r>
    </w:p>
    <w:p w14:paraId="076FF00D" w14:textId="7CAD83ED" w:rsidR="002E5D40" w:rsidRDefault="00CC1FEF" w:rsidP="008B1F31">
      <w:pPr>
        <w:pStyle w:val="SingleTxtG"/>
      </w:pPr>
      <w:r>
        <w:rPr>
          <w:lang w:val="fr-CH"/>
        </w:rPr>
        <w:t>8.</w:t>
      </w:r>
      <w:r>
        <w:rPr>
          <w:lang w:val="fr-CH"/>
        </w:rPr>
        <w:tab/>
      </w:r>
      <w:r w:rsidR="00DC45EF">
        <w:t>In</w:t>
      </w:r>
      <w:r w:rsidR="00D02FB1">
        <w:t xml:space="preserve"> order to achieve harmonization, </w:t>
      </w:r>
      <w:r w:rsidR="00DC45EF">
        <w:t>these explosives</w:t>
      </w:r>
      <w:r w:rsidR="00D02FB1">
        <w:t xml:space="preserve"> should be evaluated</w:t>
      </w:r>
      <w:r w:rsidR="008B2C92">
        <w:t>, and</w:t>
      </w:r>
      <w:r w:rsidR="00D02FB1">
        <w:t xml:space="preserve"> either </w:t>
      </w:r>
      <w:r w:rsidR="00DC45EF">
        <w:t xml:space="preserve">included as high consequence dangerous goods </w:t>
      </w:r>
      <w:r w:rsidR="00D02FB1">
        <w:t>or removed from the additional provision on supervision in S1(6). These substances are listed in Annex 2</w:t>
      </w:r>
      <w:r w:rsidR="008B2C92">
        <w:t xml:space="preserve"> to this document</w:t>
      </w:r>
      <w:r w:rsidR="00D02FB1">
        <w:t>.</w:t>
      </w:r>
    </w:p>
    <w:p w14:paraId="28D040AC" w14:textId="4354F34F" w:rsidR="00303F18" w:rsidRDefault="00CC1FEF" w:rsidP="008B1F31">
      <w:pPr>
        <w:pStyle w:val="SingleTxtG"/>
      </w:pPr>
      <w:r>
        <w:rPr>
          <w:lang w:val="fr-CH"/>
        </w:rPr>
        <w:t>9.</w:t>
      </w:r>
      <w:r>
        <w:rPr>
          <w:lang w:val="fr-CH"/>
        </w:rPr>
        <w:tab/>
      </w:r>
      <w:r w:rsidR="00303F18">
        <w:t xml:space="preserve">In 2005, </w:t>
      </w:r>
      <w:r w:rsidR="00D92863">
        <w:t xml:space="preserve">at </w:t>
      </w:r>
      <w:r w:rsidR="00303F18">
        <w:t>the 28</w:t>
      </w:r>
      <w:r w:rsidR="00303F18" w:rsidRPr="00303F18">
        <w:rPr>
          <w:vertAlign w:val="superscript"/>
        </w:rPr>
        <w:t>th</w:t>
      </w:r>
      <w:r w:rsidR="00303F18">
        <w:t xml:space="preserve"> session of the Sub-committee on experts on the Transport of Dangerous Goods, United Kingdom presented a document </w:t>
      </w:r>
      <w:hyperlink r:id="rId8" w:history="1">
        <w:r w:rsidR="00303F18" w:rsidRPr="0026666A">
          <w:rPr>
            <w:rStyle w:val="Hyperlink"/>
            <w:color w:val="0070C0"/>
            <w:u w:val="single"/>
          </w:rPr>
          <w:t>ST/SG/AC.10/C.3/2005/39</w:t>
        </w:r>
      </w:hyperlink>
      <w:r w:rsidR="00303F18" w:rsidRPr="00721110">
        <w:rPr>
          <w:u w:val="single"/>
        </w:rPr>
        <w:t xml:space="preserve"> </w:t>
      </w:r>
      <w:r w:rsidR="00303F18">
        <w:t>concerning security and addition to the high consequence dangerous goods indicative list</w:t>
      </w:r>
      <w:r w:rsidR="001C504D">
        <w:t>, stating a still valid point:</w:t>
      </w:r>
    </w:p>
    <w:p w14:paraId="3D507116" w14:textId="489CF3FA" w:rsidR="00303F18" w:rsidRPr="0026666A" w:rsidRDefault="00691FF4" w:rsidP="008B1F31">
      <w:pPr>
        <w:snapToGrid w:val="0"/>
        <w:spacing w:before="120" w:after="120" w:line="240" w:lineRule="auto"/>
        <w:ind w:left="1134" w:right="1134"/>
        <w:jc w:val="both"/>
        <w:rPr>
          <w:i/>
        </w:rPr>
      </w:pPr>
      <w:r w:rsidRPr="0026666A">
        <w:rPr>
          <w:i/>
        </w:rPr>
        <w:lastRenderedPageBreak/>
        <w:t>“</w:t>
      </w:r>
      <w:r w:rsidR="00721110" w:rsidRPr="0026666A">
        <w:rPr>
          <w:i/>
        </w:rPr>
        <w:t>T</w:t>
      </w:r>
      <w:r w:rsidR="00303F18" w:rsidRPr="0026666A">
        <w:rPr>
          <w:i/>
        </w:rPr>
        <w:t>here are ranges of explosives articles that are classified as Division 1.1, but in different packaging arrangements may be classified as Division 1.4. Of particular concern are detonators, detonating cord</w:t>
      </w:r>
      <w:r w:rsidR="001C504D">
        <w:rPr>
          <w:i/>
        </w:rPr>
        <w:t>s</w:t>
      </w:r>
      <w:r w:rsidR="00303F18" w:rsidRPr="0026666A">
        <w:rPr>
          <w:i/>
        </w:rPr>
        <w:t xml:space="preserve"> and shaped charges. The exclusion of such articles of Division 1.4 means that, for the same article, a security plan may or may not be required, simply depending on how it is packaged.</w:t>
      </w:r>
      <w:r w:rsidRPr="0026666A">
        <w:rPr>
          <w:i/>
        </w:rPr>
        <w:t>”</w:t>
      </w:r>
    </w:p>
    <w:p w14:paraId="2A2F7D4C" w14:textId="56DEB3F3" w:rsidR="00721110" w:rsidRDefault="00CC1FEF" w:rsidP="008B1F31">
      <w:pPr>
        <w:pStyle w:val="SingleTxtG"/>
        <w:snapToGrid w:val="0"/>
        <w:spacing w:before="120" w:line="240" w:lineRule="auto"/>
      </w:pPr>
      <w:r>
        <w:rPr>
          <w:lang w:val="fr-CH"/>
        </w:rPr>
        <w:t>10.</w:t>
      </w:r>
      <w:r>
        <w:rPr>
          <w:lang w:val="fr-CH"/>
        </w:rPr>
        <w:tab/>
      </w:r>
      <w:r w:rsidR="00721110">
        <w:t>Around 2015 the question was</w:t>
      </w:r>
      <w:r w:rsidR="00303F18">
        <w:t xml:space="preserve"> raised again</w:t>
      </w:r>
      <w:r w:rsidR="00721110">
        <w:t xml:space="preserve"> by several countries</w:t>
      </w:r>
      <w:r w:rsidR="00AD4765">
        <w:t xml:space="preserve"> at the Sub-committee on experts on the Transport of Dangerous Goods</w:t>
      </w:r>
      <w:r w:rsidR="00303F18">
        <w:t>.</w:t>
      </w:r>
      <w:r w:rsidR="00691FF4">
        <w:t xml:space="preserve"> </w:t>
      </w:r>
      <w:r w:rsidR="00303F18">
        <w:t>The discussions during those meeting</w:t>
      </w:r>
      <w:r w:rsidR="0079410A">
        <w:t>s</w:t>
      </w:r>
      <w:r w:rsidR="00303F18">
        <w:t xml:space="preserve"> showed that it was a </w:t>
      </w:r>
      <w:r w:rsidR="0077542C">
        <w:t>large</w:t>
      </w:r>
      <w:r w:rsidR="00303F18">
        <w:t xml:space="preserve"> support to revise the list of substances in the table.</w:t>
      </w:r>
      <w:r w:rsidR="0077542C">
        <w:t xml:space="preserve"> </w:t>
      </w:r>
      <w:r w:rsidR="0077542C" w:rsidRPr="00691FF4">
        <w:t xml:space="preserve">However, </w:t>
      </w:r>
      <w:r w:rsidR="0026666A">
        <w:t>for</w:t>
      </w:r>
      <w:r w:rsidR="00691FF4" w:rsidRPr="00691FF4">
        <w:t xml:space="preserve"> different reasons</w:t>
      </w:r>
      <w:r w:rsidR="00691FF4">
        <w:t xml:space="preserve"> the work </w:t>
      </w:r>
      <w:r w:rsidR="00721110">
        <w:t xml:space="preserve">did not </w:t>
      </w:r>
      <w:r w:rsidR="00691FF4">
        <w:t>continu</w:t>
      </w:r>
      <w:r w:rsidR="00721110">
        <w:t>e.</w:t>
      </w:r>
    </w:p>
    <w:p w14:paraId="7AE691EA" w14:textId="77777777" w:rsidR="003D6AA5" w:rsidRDefault="00721110" w:rsidP="003D6AA5">
      <w:pPr>
        <w:pStyle w:val="H1G"/>
        <w:ind w:firstLine="0"/>
      </w:pPr>
      <w:r>
        <w:t>Discussion</w:t>
      </w:r>
    </w:p>
    <w:p w14:paraId="7A78BEE2" w14:textId="03C45DA9" w:rsidR="006D2E08" w:rsidRDefault="00CC1FEF" w:rsidP="008B1F31">
      <w:pPr>
        <w:pStyle w:val="SingleTxtG"/>
      </w:pPr>
      <w:r>
        <w:rPr>
          <w:lang w:val="fr-CH"/>
        </w:rPr>
        <w:t>11.</w:t>
      </w:r>
      <w:r>
        <w:rPr>
          <w:lang w:val="fr-CH"/>
        </w:rPr>
        <w:tab/>
      </w:r>
      <w:r w:rsidR="001C504D">
        <w:t>Hence, we have some questions open for comments</w:t>
      </w:r>
      <w:r w:rsidR="006D2E08">
        <w:t>:</w:t>
      </w:r>
    </w:p>
    <w:p w14:paraId="7BD37C5C" w14:textId="6259FA3D" w:rsidR="006D2E08" w:rsidRDefault="002F1F76" w:rsidP="008B1F31">
      <w:pPr>
        <w:pStyle w:val="SingleTxtG"/>
      </w:pPr>
      <w:r>
        <w:tab/>
      </w:r>
      <w:r>
        <w:tab/>
      </w:r>
      <w:r w:rsidR="00CC1FEF">
        <w:rPr>
          <w:lang w:val="fr-CH"/>
        </w:rPr>
        <w:t>(a)</w:t>
      </w:r>
      <w:r>
        <w:rPr>
          <w:lang w:val="fr-CH"/>
        </w:rPr>
        <w:tab/>
      </w:r>
      <w:r w:rsidR="001C504D">
        <w:t xml:space="preserve">Should the list </w:t>
      </w:r>
      <w:r w:rsidR="0048262F">
        <w:t>of high</w:t>
      </w:r>
      <w:r w:rsidR="006D2E08">
        <w:t xml:space="preserve"> consequence dangerous goods</w:t>
      </w:r>
      <w:r w:rsidR="0048262F">
        <w:t xml:space="preserve"> in section 1.10.3</w:t>
      </w:r>
      <w:r w:rsidR="001C504D">
        <w:t xml:space="preserve"> be reviewed</w:t>
      </w:r>
      <w:r w:rsidR="006D2E08">
        <w:t>?</w:t>
      </w:r>
    </w:p>
    <w:p w14:paraId="7B56D459" w14:textId="1DD843D6" w:rsidR="00C86486" w:rsidRDefault="002F1F76" w:rsidP="008B1F31">
      <w:pPr>
        <w:pStyle w:val="SingleTxtG"/>
      </w:pPr>
      <w:r>
        <w:tab/>
      </w:r>
      <w:r>
        <w:tab/>
      </w:r>
      <w:r w:rsidR="00CC1FEF">
        <w:rPr>
          <w:lang w:val="fr-CH"/>
        </w:rPr>
        <w:t>(b)</w:t>
      </w:r>
      <w:r w:rsidR="00CC1FEF">
        <w:rPr>
          <w:lang w:val="fr-CH"/>
        </w:rPr>
        <w:tab/>
      </w:r>
      <w:r>
        <w:rPr>
          <w:lang w:val="fr-CH"/>
        </w:rPr>
        <w:tab/>
      </w:r>
      <w:r w:rsidR="00FB4CE7">
        <w:t>Should</w:t>
      </w:r>
      <w:r w:rsidR="00DF4CC2">
        <w:t xml:space="preserve"> substances listed as high consequence dangerous goods from 0 kg, </w:t>
      </w:r>
      <w:r w:rsidR="00FB4CE7">
        <w:t xml:space="preserve">but which </w:t>
      </w:r>
      <w:r w:rsidR="001C504D">
        <w:t>nevertheless</w:t>
      </w:r>
      <w:r w:rsidR="00FB4CE7">
        <w:t xml:space="preserve"> may </w:t>
      </w:r>
      <w:r w:rsidR="00DF4CC2">
        <w:t>be carried in accordance with sub-section 1.1.3.6</w:t>
      </w:r>
      <w:r w:rsidR="00FB4CE7">
        <w:t xml:space="preserve"> </w:t>
      </w:r>
      <w:r w:rsidR="00DF4CC2">
        <w:t xml:space="preserve">be </w:t>
      </w:r>
      <w:r w:rsidR="00DC6AD4">
        <w:t>reconsidered</w:t>
      </w:r>
      <w:r w:rsidR="00DF4CC2">
        <w:t xml:space="preserve">? </w:t>
      </w:r>
    </w:p>
    <w:p w14:paraId="4A5CD37F" w14:textId="49074EC3" w:rsidR="004F1E3C" w:rsidRDefault="002F1F76" w:rsidP="008B1F31">
      <w:pPr>
        <w:pStyle w:val="SingleTxtG"/>
      </w:pPr>
      <w:r>
        <w:tab/>
      </w:r>
      <w:r>
        <w:tab/>
      </w:r>
      <w:r w:rsidR="008E066B">
        <w:rPr>
          <w:lang w:val="fr-CH"/>
        </w:rPr>
        <w:t>(c)</w:t>
      </w:r>
      <w:r>
        <w:rPr>
          <w:lang w:val="fr-CH"/>
        </w:rPr>
        <w:tab/>
      </w:r>
      <w:r w:rsidR="001C504D">
        <w:t>Should</w:t>
      </w:r>
      <w:r w:rsidR="003319CE">
        <w:t xml:space="preserve"> th</w:t>
      </w:r>
      <w:r w:rsidR="007576F3">
        <w:t>e exemption f</w:t>
      </w:r>
      <w:r w:rsidR="003B0F14">
        <w:t>rom</w:t>
      </w:r>
      <w:r w:rsidR="007576F3">
        <w:t xml:space="preserve"> </w:t>
      </w:r>
      <w:r w:rsidR="003574DA">
        <w:t xml:space="preserve">all </w:t>
      </w:r>
      <w:r w:rsidR="007576F3">
        <w:t xml:space="preserve">security provisions </w:t>
      </w:r>
      <w:r w:rsidR="001C504D">
        <w:t xml:space="preserve">in 1.1.3.6 </w:t>
      </w:r>
      <w:r w:rsidR="003319CE">
        <w:t>be limited</w:t>
      </w:r>
      <w:r w:rsidR="003574DA">
        <w:t xml:space="preserve"> to </w:t>
      </w:r>
      <w:r w:rsidR="003B0F14">
        <w:t>section 1.10.3</w:t>
      </w:r>
      <w:r w:rsidR="00D54946">
        <w:t xml:space="preserve"> for Class 1?</w:t>
      </w:r>
      <w:r w:rsidR="00205583">
        <w:t xml:space="preserve"> Such an amendment </w:t>
      </w:r>
      <w:r w:rsidR="00C86486">
        <w:t xml:space="preserve">would mean that the general </w:t>
      </w:r>
      <w:r w:rsidR="00B84AEC">
        <w:t xml:space="preserve">security </w:t>
      </w:r>
      <w:r w:rsidR="00C86486">
        <w:t xml:space="preserve">provisions (1.10.1) and security training (1.10.2) </w:t>
      </w:r>
      <w:r w:rsidR="007722B0">
        <w:t xml:space="preserve">would apply for </w:t>
      </w:r>
      <w:r w:rsidR="00D54946">
        <w:t>all explosives.</w:t>
      </w:r>
    </w:p>
    <w:p w14:paraId="08995336" w14:textId="6E6DC69F" w:rsidR="004F1E3C" w:rsidRDefault="006E535C" w:rsidP="008B1F31">
      <w:pPr>
        <w:pStyle w:val="SingleTxtG"/>
      </w:pPr>
      <w:r>
        <w:t>The current listed UN numbers in class 1 not exempted at all would remain unchanged.</w:t>
      </w:r>
      <w:r w:rsidR="006748D2">
        <w:t xml:space="preserve"> </w:t>
      </w:r>
    </w:p>
    <w:p w14:paraId="7E49D743" w14:textId="190550A2" w:rsidR="00BF0CF2" w:rsidRDefault="002F1F76" w:rsidP="008B1F31">
      <w:pPr>
        <w:pStyle w:val="SingleTxtG"/>
      </w:pPr>
      <w:r>
        <w:tab/>
      </w:r>
      <w:r>
        <w:tab/>
      </w:r>
      <w:r w:rsidR="008E066B">
        <w:rPr>
          <w:lang w:val="fr-CH"/>
        </w:rPr>
        <w:t>(d)</w:t>
      </w:r>
      <w:r>
        <w:rPr>
          <w:lang w:val="fr-CH"/>
        </w:rPr>
        <w:tab/>
      </w:r>
      <w:r w:rsidR="00DF4CC2">
        <w:t xml:space="preserve">Would it be </w:t>
      </w:r>
      <w:r w:rsidR="002537A3">
        <w:t xml:space="preserve">reasonable </w:t>
      </w:r>
      <w:r w:rsidR="00DF4CC2">
        <w:t xml:space="preserve">to fully harmonize the provisions concerning supervision in special provision S1(6), with the </w:t>
      </w:r>
      <w:r w:rsidR="00D54946">
        <w:t>list of high consequence dangerous goods</w:t>
      </w:r>
      <w:r w:rsidR="00DF4CC2">
        <w:t>?</w:t>
      </w:r>
    </w:p>
    <w:p w14:paraId="22784FD9" w14:textId="7C9C017C" w:rsidR="008B1F31" w:rsidRPr="008B1F31" w:rsidRDefault="008B1F31" w:rsidP="008B1F3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B1F31" w:rsidRPr="008B1F31" w:rsidSect="009046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17612" w14:textId="77777777" w:rsidR="00E80BCB" w:rsidRDefault="00E80BCB"/>
  </w:endnote>
  <w:endnote w:type="continuationSeparator" w:id="0">
    <w:p w14:paraId="3AAC4BBA" w14:textId="77777777" w:rsidR="00E80BCB" w:rsidRDefault="00E80BCB"/>
  </w:endnote>
  <w:endnote w:type="continuationNotice" w:id="1">
    <w:p w14:paraId="3D4BAE18" w14:textId="77777777" w:rsidR="00E80BCB" w:rsidRDefault="00E80B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B217A" w14:textId="1BC56534" w:rsidR="0092434D" w:rsidRPr="00982036" w:rsidRDefault="0092434D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1742C0">
      <w:rPr>
        <w:b/>
        <w:noProof/>
        <w:sz w:val="18"/>
      </w:rPr>
      <w:t>2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2F00D" w14:textId="402E6122" w:rsidR="0092434D" w:rsidRPr="00982036" w:rsidRDefault="0092434D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E12655">
      <w:rPr>
        <w:b/>
        <w:noProof/>
        <w:sz w:val="18"/>
      </w:rPr>
      <w:t>3</w:t>
    </w:r>
    <w:r w:rsidRPr="009820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FC7AC" w14:textId="77777777" w:rsidR="00E80BCB" w:rsidRPr="000B175B" w:rsidRDefault="00E80BC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04CF29E" w14:textId="77777777" w:rsidR="00E80BCB" w:rsidRPr="00FC68B7" w:rsidRDefault="00E80BC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8B8EE07" w14:textId="77777777" w:rsidR="00E80BCB" w:rsidRDefault="00E80B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49654" w14:textId="243D7808" w:rsidR="0092434D" w:rsidRPr="00617E96" w:rsidRDefault="0092434D">
    <w:pPr>
      <w:pStyle w:val="Header"/>
      <w:rPr>
        <w:lang w:val="fr-CH"/>
      </w:rPr>
    </w:pPr>
    <w:r>
      <w:rPr>
        <w:lang w:val="fr-CH"/>
      </w:rPr>
      <w:t>INF</w:t>
    </w:r>
    <w:r w:rsidR="00E03098">
      <w:rPr>
        <w:lang w:val="fr-CH"/>
      </w:rPr>
      <w:t>.8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93CA2" w14:textId="77777777" w:rsidR="0092434D" w:rsidRPr="00F71BEF" w:rsidRDefault="0092434D" w:rsidP="00982036">
    <w:pPr>
      <w:pStyle w:val="Header"/>
      <w:jc w:val="right"/>
      <w:rPr>
        <w:lang w:val="fr-CH"/>
      </w:rPr>
    </w:pPr>
    <w:r w:rsidRPr="00F71BEF">
      <w:rPr>
        <w:lang w:val="fr-CH"/>
      </w:rPr>
      <w:t>INF.2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4505C" w14:textId="28E2AC86" w:rsidR="0092434D" w:rsidRPr="00617E96" w:rsidRDefault="00B170C8" w:rsidP="00617E9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E03098">
      <w:rPr>
        <w:sz w:val="28"/>
        <w:szCs w:val="28"/>
        <w:lang w:val="fr-CH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0B346F4"/>
    <w:multiLevelType w:val="hybridMultilevel"/>
    <w:tmpl w:val="7B58511C"/>
    <w:lvl w:ilvl="0" w:tplc="218EAA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7C66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8E73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6E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6896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C6D6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68EC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76D0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F82C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B6A0217"/>
    <w:multiLevelType w:val="hybridMultilevel"/>
    <w:tmpl w:val="D89C6658"/>
    <w:lvl w:ilvl="0" w:tplc="041D000F">
      <w:start w:val="1"/>
      <w:numFmt w:val="decimal"/>
      <w:lvlText w:val="%1."/>
      <w:lvlJc w:val="left"/>
      <w:pPr>
        <w:ind w:left="1854" w:hanging="360"/>
      </w:pPr>
    </w:lvl>
    <w:lvl w:ilvl="1" w:tplc="041D0019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45614ADD"/>
    <w:multiLevelType w:val="multilevel"/>
    <w:tmpl w:val="6AA2234E"/>
    <w:lvl w:ilvl="0">
      <w:start w:val="1"/>
      <w:numFmt w:val="decimal"/>
      <w:lvlText w:val="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418" w:hanging="1418"/>
      </w:pPr>
      <w:rPr>
        <w:rFonts w:hint="default"/>
      </w:rPr>
    </w:lvl>
    <w:lvl w:ilvl="5">
      <w:start w:val="1"/>
      <w:numFmt w:val="decimal"/>
      <w:lvlText w:val="6.%2.%3.%4.%5.%6"/>
      <w:lvlJc w:val="left"/>
      <w:pPr>
        <w:tabs>
          <w:tab w:val="num" w:pos="252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ED25DD9"/>
    <w:multiLevelType w:val="hybridMultilevel"/>
    <w:tmpl w:val="F9EC7C20"/>
    <w:lvl w:ilvl="0" w:tplc="1E34F746">
      <w:start w:val="10"/>
      <w:numFmt w:val="decimal"/>
      <w:lvlText w:val="%1."/>
      <w:lvlJc w:val="left"/>
      <w:pPr>
        <w:tabs>
          <w:tab w:val="num" w:pos="1140"/>
        </w:tabs>
        <w:ind w:left="11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E6ECF"/>
    <w:multiLevelType w:val="hybridMultilevel"/>
    <w:tmpl w:val="53E021AE"/>
    <w:lvl w:ilvl="0" w:tplc="CF5EEA3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2"/>
  </w:num>
  <w:num w:numId="13">
    <w:abstractNumId w:val="10"/>
  </w:num>
  <w:num w:numId="14">
    <w:abstractNumId w:val="17"/>
  </w:num>
  <w:num w:numId="15">
    <w:abstractNumId w:val="19"/>
  </w:num>
  <w:num w:numId="16">
    <w:abstractNumId w:val="15"/>
  </w:num>
  <w:num w:numId="17">
    <w:abstractNumId w:val="11"/>
  </w:num>
  <w:num w:numId="18">
    <w:abstractNumId w:val="14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6" w:nlCheck="1" w:checkStyle="0"/>
  <w:activeWritingStyle w:appName="MSWord" w:lang="nb-NO" w:vendorID="64" w:dllVersion="6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5CBF"/>
    <w:rsid w:val="00011932"/>
    <w:rsid w:val="00011B06"/>
    <w:rsid w:val="000120E6"/>
    <w:rsid w:val="000162D9"/>
    <w:rsid w:val="000241F2"/>
    <w:rsid w:val="0003511A"/>
    <w:rsid w:val="000411E0"/>
    <w:rsid w:val="00042739"/>
    <w:rsid w:val="000457B4"/>
    <w:rsid w:val="00046B1F"/>
    <w:rsid w:val="00047596"/>
    <w:rsid w:val="00050F6B"/>
    <w:rsid w:val="000512DE"/>
    <w:rsid w:val="000575AC"/>
    <w:rsid w:val="00057E97"/>
    <w:rsid w:val="000646F4"/>
    <w:rsid w:val="0006491B"/>
    <w:rsid w:val="00072C8C"/>
    <w:rsid w:val="000733B5"/>
    <w:rsid w:val="0007724B"/>
    <w:rsid w:val="00081815"/>
    <w:rsid w:val="00084795"/>
    <w:rsid w:val="00085285"/>
    <w:rsid w:val="000931C0"/>
    <w:rsid w:val="00096C84"/>
    <w:rsid w:val="000A17BA"/>
    <w:rsid w:val="000A309E"/>
    <w:rsid w:val="000A7999"/>
    <w:rsid w:val="000B0595"/>
    <w:rsid w:val="000B175B"/>
    <w:rsid w:val="000B3A0F"/>
    <w:rsid w:val="000B491C"/>
    <w:rsid w:val="000B4EF7"/>
    <w:rsid w:val="000C2C03"/>
    <w:rsid w:val="000C2D2E"/>
    <w:rsid w:val="000D08B9"/>
    <w:rsid w:val="000D3E3E"/>
    <w:rsid w:val="000D6FE2"/>
    <w:rsid w:val="000E0415"/>
    <w:rsid w:val="000E0637"/>
    <w:rsid w:val="000F2981"/>
    <w:rsid w:val="00110035"/>
    <w:rsid w:val="001103AA"/>
    <w:rsid w:val="00110611"/>
    <w:rsid w:val="00111A5C"/>
    <w:rsid w:val="0011666B"/>
    <w:rsid w:val="00121D95"/>
    <w:rsid w:val="0013299E"/>
    <w:rsid w:val="00143D55"/>
    <w:rsid w:val="00145971"/>
    <w:rsid w:val="00153C2C"/>
    <w:rsid w:val="00162BCF"/>
    <w:rsid w:val="00164FF7"/>
    <w:rsid w:val="00165F3A"/>
    <w:rsid w:val="0016663C"/>
    <w:rsid w:val="0017318C"/>
    <w:rsid w:val="00173696"/>
    <w:rsid w:val="001742C0"/>
    <w:rsid w:val="00175E6F"/>
    <w:rsid w:val="00177C0F"/>
    <w:rsid w:val="001817D6"/>
    <w:rsid w:val="00197F3F"/>
    <w:rsid w:val="001A0857"/>
    <w:rsid w:val="001A1D4B"/>
    <w:rsid w:val="001A2105"/>
    <w:rsid w:val="001A6E11"/>
    <w:rsid w:val="001A6F83"/>
    <w:rsid w:val="001B4B04"/>
    <w:rsid w:val="001C346C"/>
    <w:rsid w:val="001C504D"/>
    <w:rsid w:val="001C6663"/>
    <w:rsid w:val="001C7895"/>
    <w:rsid w:val="001D0C8C"/>
    <w:rsid w:val="001D1419"/>
    <w:rsid w:val="001D26DF"/>
    <w:rsid w:val="001D3A03"/>
    <w:rsid w:val="001D4954"/>
    <w:rsid w:val="001D4AEC"/>
    <w:rsid w:val="001D7750"/>
    <w:rsid w:val="001E3EEF"/>
    <w:rsid w:val="001E4C81"/>
    <w:rsid w:val="001E7B67"/>
    <w:rsid w:val="001F715D"/>
    <w:rsid w:val="00202DA8"/>
    <w:rsid w:val="00205583"/>
    <w:rsid w:val="00207AC3"/>
    <w:rsid w:val="00210872"/>
    <w:rsid w:val="00210C59"/>
    <w:rsid w:val="00211E0B"/>
    <w:rsid w:val="00216FE5"/>
    <w:rsid w:val="00222DF8"/>
    <w:rsid w:val="00223A66"/>
    <w:rsid w:val="00224D92"/>
    <w:rsid w:val="00234DF2"/>
    <w:rsid w:val="00237E67"/>
    <w:rsid w:val="0024772E"/>
    <w:rsid w:val="00250271"/>
    <w:rsid w:val="002514D4"/>
    <w:rsid w:val="00252D8D"/>
    <w:rsid w:val="002537A3"/>
    <w:rsid w:val="00261ACC"/>
    <w:rsid w:val="002646A4"/>
    <w:rsid w:val="0026666A"/>
    <w:rsid w:val="00267B69"/>
    <w:rsid w:val="00267F5F"/>
    <w:rsid w:val="002709B0"/>
    <w:rsid w:val="00270B55"/>
    <w:rsid w:val="00271AEC"/>
    <w:rsid w:val="0027769C"/>
    <w:rsid w:val="00282751"/>
    <w:rsid w:val="00284318"/>
    <w:rsid w:val="002864E1"/>
    <w:rsid w:val="00286B4D"/>
    <w:rsid w:val="00291693"/>
    <w:rsid w:val="0029372B"/>
    <w:rsid w:val="002A4C9A"/>
    <w:rsid w:val="002B5655"/>
    <w:rsid w:val="002C03AE"/>
    <w:rsid w:val="002C1C5D"/>
    <w:rsid w:val="002C6AC2"/>
    <w:rsid w:val="002D0CA9"/>
    <w:rsid w:val="002D2FB7"/>
    <w:rsid w:val="002D4643"/>
    <w:rsid w:val="002E03A0"/>
    <w:rsid w:val="002E3031"/>
    <w:rsid w:val="002E4DE5"/>
    <w:rsid w:val="002E5D40"/>
    <w:rsid w:val="002F175C"/>
    <w:rsid w:val="002F1F76"/>
    <w:rsid w:val="002F5EA4"/>
    <w:rsid w:val="00302E18"/>
    <w:rsid w:val="00303F18"/>
    <w:rsid w:val="003229D8"/>
    <w:rsid w:val="0032493B"/>
    <w:rsid w:val="003319CE"/>
    <w:rsid w:val="003336F3"/>
    <w:rsid w:val="00343DFB"/>
    <w:rsid w:val="00352709"/>
    <w:rsid w:val="00353B6A"/>
    <w:rsid w:val="003574DA"/>
    <w:rsid w:val="003619B5"/>
    <w:rsid w:val="00362309"/>
    <w:rsid w:val="00365763"/>
    <w:rsid w:val="00371178"/>
    <w:rsid w:val="003711BC"/>
    <w:rsid w:val="00371590"/>
    <w:rsid w:val="00377020"/>
    <w:rsid w:val="003776D0"/>
    <w:rsid w:val="0039079F"/>
    <w:rsid w:val="00392E47"/>
    <w:rsid w:val="00394CC5"/>
    <w:rsid w:val="003952A5"/>
    <w:rsid w:val="003A6810"/>
    <w:rsid w:val="003B0F14"/>
    <w:rsid w:val="003B173B"/>
    <w:rsid w:val="003B2A95"/>
    <w:rsid w:val="003B4873"/>
    <w:rsid w:val="003C0075"/>
    <w:rsid w:val="003C2CC4"/>
    <w:rsid w:val="003C7018"/>
    <w:rsid w:val="003D1847"/>
    <w:rsid w:val="003D4B23"/>
    <w:rsid w:val="003D5C99"/>
    <w:rsid w:val="003D6AA5"/>
    <w:rsid w:val="003D6CB1"/>
    <w:rsid w:val="003E130E"/>
    <w:rsid w:val="003E6702"/>
    <w:rsid w:val="003E7397"/>
    <w:rsid w:val="004021CB"/>
    <w:rsid w:val="004066A5"/>
    <w:rsid w:val="00410C89"/>
    <w:rsid w:val="004114BC"/>
    <w:rsid w:val="0041416B"/>
    <w:rsid w:val="004151E5"/>
    <w:rsid w:val="00421FE8"/>
    <w:rsid w:val="00422E03"/>
    <w:rsid w:val="0042319F"/>
    <w:rsid w:val="004240EB"/>
    <w:rsid w:val="0042588A"/>
    <w:rsid w:val="00426B9B"/>
    <w:rsid w:val="004325CB"/>
    <w:rsid w:val="00442A83"/>
    <w:rsid w:val="00445159"/>
    <w:rsid w:val="0045495B"/>
    <w:rsid w:val="004561E5"/>
    <w:rsid w:val="004570B1"/>
    <w:rsid w:val="004732BE"/>
    <w:rsid w:val="0047379F"/>
    <w:rsid w:val="0048262F"/>
    <w:rsid w:val="00482F71"/>
    <w:rsid w:val="0048397A"/>
    <w:rsid w:val="00485CBB"/>
    <w:rsid w:val="004866B7"/>
    <w:rsid w:val="004A27BC"/>
    <w:rsid w:val="004A2BD3"/>
    <w:rsid w:val="004A5098"/>
    <w:rsid w:val="004A6F63"/>
    <w:rsid w:val="004B1837"/>
    <w:rsid w:val="004B2EAF"/>
    <w:rsid w:val="004C1F3D"/>
    <w:rsid w:val="004C2461"/>
    <w:rsid w:val="004C2BD5"/>
    <w:rsid w:val="004C7462"/>
    <w:rsid w:val="004D0588"/>
    <w:rsid w:val="004D1404"/>
    <w:rsid w:val="004D33EE"/>
    <w:rsid w:val="004E6FFC"/>
    <w:rsid w:val="004E77B2"/>
    <w:rsid w:val="004E7BE6"/>
    <w:rsid w:val="004F0825"/>
    <w:rsid w:val="004F1E3C"/>
    <w:rsid w:val="004F4D76"/>
    <w:rsid w:val="0050113C"/>
    <w:rsid w:val="00504B2D"/>
    <w:rsid w:val="0052136D"/>
    <w:rsid w:val="00522680"/>
    <w:rsid w:val="0052775E"/>
    <w:rsid w:val="0053784E"/>
    <w:rsid w:val="0054034C"/>
    <w:rsid w:val="0054179A"/>
    <w:rsid w:val="005420F2"/>
    <w:rsid w:val="00544504"/>
    <w:rsid w:val="00547B54"/>
    <w:rsid w:val="00552CEB"/>
    <w:rsid w:val="005575D3"/>
    <w:rsid w:val="0056099E"/>
    <w:rsid w:val="00561B06"/>
    <w:rsid w:val="005628B6"/>
    <w:rsid w:val="0056374F"/>
    <w:rsid w:val="00575310"/>
    <w:rsid w:val="00575B3B"/>
    <w:rsid w:val="00575C6F"/>
    <w:rsid w:val="00576004"/>
    <w:rsid w:val="0057735C"/>
    <w:rsid w:val="005778AE"/>
    <w:rsid w:val="00591D4E"/>
    <w:rsid w:val="005941EC"/>
    <w:rsid w:val="005958A0"/>
    <w:rsid w:val="00596156"/>
    <w:rsid w:val="0059724D"/>
    <w:rsid w:val="005A1A08"/>
    <w:rsid w:val="005A2E0F"/>
    <w:rsid w:val="005A7D56"/>
    <w:rsid w:val="005B3DB3"/>
    <w:rsid w:val="005B4E13"/>
    <w:rsid w:val="005C342F"/>
    <w:rsid w:val="005D0D8E"/>
    <w:rsid w:val="005D36CF"/>
    <w:rsid w:val="005D4078"/>
    <w:rsid w:val="005D4D80"/>
    <w:rsid w:val="005D7CAC"/>
    <w:rsid w:val="005E526F"/>
    <w:rsid w:val="005E5BC9"/>
    <w:rsid w:val="005F43B2"/>
    <w:rsid w:val="005F5489"/>
    <w:rsid w:val="005F7B75"/>
    <w:rsid w:val="006001EE"/>
    <w:rsid w:val="006005F7"/>
    <w:rsid w:val="006033AF"/>
    <w:rsid w:val="006039E1"/>
    <w:rsid w:val="00605042"/>
    <w:rsid w:val="0060603F"/>
    <w:rsid w:val="00611FC4"/>
    <w:rsid w:val="00613091"/>
    <w:rsid w:val="006156A8"/>
    <w:rsid w:val="006176FB"/>
    <w:rsid w:val="00617E96"/>
    <w:rsid w:val="0063012C"/>
    <w:rsid w:val="00636B88"/>
    <w:rsid w:val="00636F0C"/>
    <w:rsid w:val="006404E9"/>
    <w:rsid w:val="00640B26"/>
    <w:rsid w:val="0065178B"/>
    <w:rsid w:val="00652D0A"/>
    <w:rsid w:val="00662BB6"/>
    <w:rsid w:val="00662CFB"/>
    <w:rsid w:val="006642B6"/>
    <w:rsid w:val="00670CD5"/>
    <w:rsid w:val="00672FDA"/>
    <w:rsid w:val="006748D2"/>
    <w:rsid w:val="00675849"/>
    <w:rsid w:val="00676606"/>
    <w:rsid w:val="00684C21"/>
    <w:rsid w:val="006904BE"/>
    <w:rsid w:val="00691FF4"/>
    <w:rsid w:val="006924F6"/>
    <w:rsid w:val="00695084"/>
    <w:rsid w:val="006A2530"/>
    <w:rsid w:val="006A32FE"/>
    <w:rsid w:val="006A681C"/>
    <w:rsid w:val="006C1AF1"/>
    <w:rsid w:val="006C3589"/>
    <w:rsid w:val="006C74F5"/>
    <w:rsid w:val="006D2E08"/>
    <w:rsid w:val="006D37AF"/>
    <w:rsid w:val="006D51D0"/>
    <w:rsid w:val="006D54B1"/>
    <w:rsid w:val="006D5FB9"/>
    <w:rsid w:val="006E0AEF"/>
    <w:rsid w:val="006E1D88"/>
    <w:rsid w:val="006E2CCE"/>
    <w:rsid w:val="006E535C"/>
    <w:rsid w:val="006E564B"/>
    <w:rsid w:val="006E5927"/>
    <w:rsid w:val="006E7191"/>
    <w:rsid w:val="007011A3"/>
    <w:rsid w:val="00703577"/>
    <w:rsid w:val="007047A9"/>
    <w:rsid w:val="00705894"/>
    <w:rsid w:val="00721110"/>
    <w:rsid w:val="00723542"/>
    <w:rsid w:val="00724C17"/>
    <w:rsid w:val="0072632A"/>
    <w:rsid w:val="007302FD"/>
    <w:rsid w:val="007327D5"/>
    <w:rsid w:val="0073593C"/>
    <w:rsid w:val="00737E7A"/>
    <w:rsid w:val="00752B30"/>
    <w:rsid w:val="007576F3"/>
    <w:rsid w:val="007629C8"/>
    <w:rsid w:val="0076669C"/>
    <w:rsid w:val="0077047D"/>
    <w:rsid w:val="007708A5"/>
    <w:rsid w:val="007722B0"/>
    <w:rsid w:val="0077542C"/>
    <w:rsid w:val="0077728A"/>
    <w:rsid w:val="007851CB"/>
    <w:rsid w:val="007931F7"/>
    <w:rsid w:val="0079410A"/>
    <w:rsid w:val="007A0D0E"/>
    <w:rsid w:val="007B2176"/>
    <w:rsid w:val="007B249A"/>
    <w:rsid w:val="007B5332"/>
    <w:rsid w:val="007B6BA5"/>
    <w:rsid w:val="007C3390"/>
    <w:rsid w:val="007C38EF"/>
    <w:rsid w:val="007C4F4B"/>
    <w:rsid w:val="007C554F"/>
    <w:rsid w:val="007D19E1"/>
    <w:rsid w:val="007D3162"/>
    <w:rsid w:val="007D784A"/>
    <w:rsid w:val="007E01E9"/>
    <w:rsid w:val="007E160C"/>
    <w:rsid w:val="007E63F3"/>
    <w:rsid w:val="007F32E1"/>
    <w:rsid w:val="007F6611"/>
    <w:rsid w:val="0081086B"/>
    <w:rsid w:val="00811920"/>
    <w:rsid w:val="00812BD8"/>
    <w:rsid w:val="00815AD0"/>
    <w:rsid w:val="00816F53"/>
    <w:rsid w:val="008242D7"/>
    <w:rsid w:val="008254F7"/>
    <w:rsid w:val="008257B1"/>
    <w:rsid w:val="00826FDE"/>
    <w:rsid w:val="0082782C"/>
    <w:rsid w:val="00832334"/>
    <w:rsid w:val="00836336"/>
    <w:rsid w:val="00843767"/>
    <w:rsid w:val="00844640"/>
    <w:rsid w:val="008600BB"/>
    <w:rsid w:val="00862F15"/>
    <w:rsid w:val="00863F32"/>
    <w:rsid w:val="008679D9"/>
    <w:rsid w:val="008731E4"/>
    <w:rsid w:val="00875766"/>
    <w:rsid w:val="00877FF6"/>
    <w:rsid w:val="0088057D"/>
    <w:rsid w:val="00884086"/>
    <w:rsid w:val="008878DE"/>
    <w:rsid w:val="0089025B"/>
    <w:rsid w:val="0089303C"/>
    <w:rsid w:val="00894669"/>
    <w:rsid w:val="00895BAB"/>
    <w:rsid w:val="008979B1"/>
    <w:rsid w:val="008A50EE"/>
    <w:rsid w:val="008A6B25"/>
    <w:rsid w:val="008A6C4F"/>
    <w:rsid w:val="008B1F31"/>
    <w:rsid w:val="008B2335"/>
    <w:rsid w:val="008B2C92"/>
    <w:rsid w:val="008B3C63"/>
    <w:rsid w:val="008B6BA3"/>
    <w:rsid w:val="008C271F"/>
    <w:rsid w:val="008C4B88"/>
    <w:rsid w:val="008D2334"/>
    <w:rsid w:val="008E066B"/>
    <w:rsid w:val="008E0678"/>
    <w:rsid w:val="008E2D75"/>
    <w:rsid w:val="008E5914"/>
    <w:rsid w:val="008E6D2E"/>
    <w:rsid w:val="008E7508"/>
    <w:rsid w:val="008E7E09"/>
    <w:rsid w:val="008F31D2"/>
    <w:rsid w:val="008F6553"/>
    <w:rsid w:val="0090465E"/>
    <w:rsid w:val="00914B7C"/>
    <w:rsid w:val="009166EB"/>
    <w:rsid w:val="00917FDE"/>
    <w:rsid w:val="00920CA3"/>
    <w:rsid w:val="009215C9"/>
    <w:rsid w:val="009223CA"/>
    <w:rsid w:val="00922C88"/>
    <w:rsid w:val="00922F9C"/>
    <w:rsid w:val="0092434D"/>
    <w:rsid w:val="00931EB3"/>
    <w:rsid w:val="00933D40"/>
    <w:rsid w:val="00936E4A"/>
    <w:rsid w:val="00940F93"/>
    <w:rsid w:val="009506D7"/>
    <w:rsid w:val="00957EB6"/>
    <w:rsid w:val="00962CB0"/>
    <w:rsid w:val="009640C1"/>
    <w:rsid w:val="0096572A"/>
    <w:rsid w:val="0096751C"/>
    <w:rsid w:val="00973269"/>
    <w:rsid w:val="00973BBC"/>
    <w:rsid w:val="00973C44"/>
    <w:rsid w:val="009760F3"/>
    <w:rsid w:val="0097696C"/>
    <w:rsid w:val="00976CFB"/>
    <w:rsid w:val="009812D6"/>
    <w:rsid w:val="00982036"/>
    <w:rsid w:val="009911C4"/>
    <w:rsid w:val="009941AF"/>
    <w:rsid w:val="0099747B"/>
    <w:rsid w:val="009A0830"/>
    <w:rsid w:val="009A0E8D"/>
    <w:rsid w:val="009A5C6E"/>
    <w:rsid w:val="009A6244"/>
    <w:rsid w:val="009A776B"/>
    <w:rsid w:val="009A7D9E"/>
    <w:rsid w:val="009B26E7"/>
    <w:rsid w:val="009B7A75"/>
    <w:rsid w:val="009D331A"/>
    <w:rsid w:val="009D6B04"/>
    <w:rsid w:val="009E076B"/>
    <w:rsid w:val="009E5596"/>
    <w:rsid w:val="009E5ED7"/>
    <w:rsid w:val="009E7286"/>
    <w:rsid w:val="00A00697"/>
    <w:rsid w:val="00A00A3F"/>
    <w:rsid w:val="00A01489"/>
    <w:rsid w:val="00A046A3"/>
    <w:rsid w:val="00A0523A"/>
    <w:rsid w:val="00A144E6"/>
    <w:rsid w:val="00A3026E"/>
    <w:rsid w:val="00A32DEF"/>
    <w:rsid w:val="00A338F1"/>
    <w:rsid w:val="00A35BE0"/>
    <w:rsid w:val="00A4373C"/>
    <w:rsid w:val="00A54C24"/>
    <w:rsid w:val="00A568EC"/>
    <w:rsid w:val="00A6129C"/>
    <w:rsid w:val="00A6256A"/>
    <w:rsid w:val="00A64618"/>
    <w:rsid w:val="00A65994"/>
    <w:rsid w:val="00A72178"/>
    <w:rsid w:val="00A72F22"/>
    <w:rsid w:val="00A7360F"/>
    <w:rsid w:val="00A748A6"/>
    <w:rsid w:val="00A769F4"/>
    <w:rsid w:val="00A776B4"/>
    <w:rsid w:val="00A77EA9"/>
    <w:rsid w:val="00A820AF"/>
    <w:rsid w:val="00A85344"/>
    <w:rsid w:val="00A86C48"/>
    <w:rsid w:val="00A94361"/>
    <w:rsid w:val="00A96277"/>
    <w:rsid w:val="00AA293C"/>
    <w:rsid w:val="00AA5E3A"/>
    <w:rsid w:val="00AA626D"/>
    <w:rsid w:val="00AA6B02"/>
    <w:rsid w:val="00AB3532"/>
    <w:rsid w:val="00AB5C99"/>
    <w:rsid w:val="00AC3F1A"/>
    <w:rsid w:val="00AC4D43"/>
    <w:rsid w:val="00AD4765"/>
    <w:rsid w:val="00AD5198"/>
    <w:rsid w:val="00AE08F1"/>
    <w:rsid w:val="00AE2796"/>
    <w:rsid w:val="00AE2E12"/>
    <w:rsid w:val="00AF0EA9"/>
    <w:rsid w:val="00AF6091"/>
    <w:rsid w:val="00B00EB9"/>
    <w:rsid w:val="00B0107C"/>
    <w:rsid w:val="00B15F1E"/>
    <w:rsid w:val="00B170C8"/>
    <w:rsid w:val="00B30179"/>
    <w:rsid w:val="00B33B8F"/>
    <w:rsid w:val="00B35CD5"/>
    <w:rsid w:val="00B40092"/>
    <w:rsid w:val="00B421C1"/>
    <w:rsid w:val="00B53483"/>
    <w:rsid w:val="00B55C71"/>
    <w:rsid w:val="00B567A2"/>
    <w:rsid w:val="00B56E4A"/>
    <w:rsid w:val="00B56E9C"/>
    <w:rsid w:val="00B64B1F"/>
    <w:rsid w:val="00B6553F"/>
    <w:rsid w:val="00B7025D"/>
    <w:rsid w:val="00B72BE1"/>
    <w:rsid w:val="00B74C28"/>
    <w:rsid w:val="00B777AE"/>
    <w:rsid w:val="00B77D05"/>
    <w:rsid w:val="00B81206"/>
    <w:rsid w:val="00B81E12"/>
    <w:rsid w:val="00B84AEC"/>
    <w:rsid w:val="00B876F7"/>
    <w:rsid w:val="00B9620D"/>
    <w:rsid w:val="00B96BDE"/>
    <w:rsid w:val="00BA51FC"/>
    <w:rsid w:val="00BB3473"/>
    <w:rsid w:val="00BB3F2F"/>
    <w:rsid w:val="00BC3FA0"/>
    <w:rsid w:val="00BC5010"/>
    <w:rsid w:val="00BC74E9"/>
    <w:rsid w:val="00BD06E5"/>
    <w:rsid w:val="00BD43A5"/>
    <w:rsid w:val="00BE3161"/>
    <w:rsid w:val="00BF0CF2"/>
    <w:rsid w:val="00BF2EF3"/>
    <w:rsid w:val="00BF48D9"/>
    <w:rsid w:val="00BF5486"/>
    <w:rsid w:val="00BF67DE"/>
    <w:rsid w:val="00BF68A8"/>
    <w:rsid w:val="00BF76F9"/>
    <w:rsid w:val="00C00D95"/>
    <w:rsid w:val="00C10EAD"/>
    <w:rsid w:val="00C11A03"/>
    <w:rsid w:val="00C121A5"/>
    <w:rsid w:val="00C14EC4"/>
    <w:rsid w:val="00C17B9D"/>
    <w:rsid w:val="00C22C0C"/>
    <w:rsid w:val="00C23235"/>
    <w:rsid w:val="00C25CAF"/>
    <w:rsid w:val="00C2766D"/>
    <w:rsid w:val="00C4253C"/>
    <w:rsid w:val="00C43DD2"/>
    <w:rsid w:val="00C4527F"/>
    <w:rsid w:val="00C463DD"/>
    <w:rsid w:val="00C465BB"/>
    <w:rsid w:val="00C4724C"/>
    <w:rsid w:val="00C51AD6"/>
    <w:rsid w:val="00C55F19"/>
    <w:rsid w:val="00C566DB"/>
    <w:rsid w:val="00C567E1"/>
    <w:rsid w:val="00C60884"/>
    <w:rsid w:val="00C60D3B"/>
    <w:rsid w:val="00C629A0"/>
    <w:rsid w:val="00C62EBB"/>
    <w:rsid w:val="00C64629"/>
    <w:rsid w:val="00C64CBC"/>
    <w:rsid w:val="00C711ED"/>
    <w:rsid w:val="00C745C3"/>
    <w:rsid w:val="00C75A4D"/>
    <w:rsid w:val="00C75D0C"/>
    <w:rsid w:val="00C86486"/>
    <w:rsid w:val="00C91922"/>
    <w:rsid w:val="00C933EF"/>
    <w:rsid w:val="00C96DF2"/>
    <w:rsid w:val="00C97150"/>
    <w:rsid w:val="00CA0F0A"/>
    <w:rsid w:val="00CA31C6"/>
    <w:rsid w:val="00CA6D93"/>
    <w:rsid w:val="00CA7D2A"/>
    <w:rsid w:val="00CB0F53"/>
    <w:rsid w:val="00CB3E03"/>
    <w:rsid w:val="00CC1FEF"/>
    <w:rsid w:val="00CC2893"/>
    <w:rsid w:val="00CC5BC3"/>
    <w:rsid w:val="00CD0F1E"/>
    <w:rsid w:val="00CD1B04"/>
    <w:rsid w:val="00CD4589"/>
    <w:rsid w:val="00CD4AA6"/>
    <w:rsid w:val="00CD6BFA"/>
    <w:rsid w:val="00CE1E84"/>
    <w:rsid w:val="00CE37CD"/>
    <w:rsid w:val="00CE4A8F"/>
    <w:rsid w:val="00CF299F"/>
    <w:rsid w:val="00D0030D"/>
    <w:rsid w:val="00D00EBF"/>
    <w:rsid w:val="00D02987"/>
    <w:rsid w:val="00D02FB1"/>
    <w:rsid w:val="00D04C98"/>
    <w:rsid w:val="00D11F71"/>
    <w:rsid w:val="00D12F38"/>
    <w:rsid w:val="00D13D3B"/>
    <w:rsid w:val="00D15DB2"/>
    <w:rsid w:val="00D2031B"/>
    <w:rsid w:val="00D21BAC"/>
    <w:rsid w:val="00D248B6"/>
    <w:rsid w:val="00D25FE2"/>
    <w:rsid w:val="00D3022D"/>
    <w:rsid w:val="00D329C1"/>
    <w:rsid w:val="00D35A18"/>
    <w:rsid w:val="00D37B31"/>
    <w:rsid w:val="00D37C72"/>
    <w:rsid w:val="00D4244C"/>
    <w:rsid w:val="00D43252"/>
    <w:rsid w:val="00D46113"/>
    <w:rsid w:val="00D46A70"/>
    <w:rsid w:val="00D47EEA"/>
    <w:rsid w:val="00D500EA"/>
    <w:rsid w:val="00D52237"/>
    <w:rsid w:val="00D54946"/>
    <w:rsid w:val="00D61562"/>
    <w:rsid w:val="00D652E7"/>
    <w:rsid w:val="00D773DF"/>
    <w:rsid w:val="00D858D0"/>
    <w:rsid w:val="00D92863"/>
    <w:rsid w:val="00D93C2A"/>
    <w:rsid w:val="00D95303"/>
    <w:rsid w:val="00D9656A"/>
    <w:rsid w:val="00D978C6"/>
    <w:rsid w:val="00DA1781"/>
    <w:rsid w:val="00DA3C1C"/>
    <w:rsid w:val="00DA6CC8"/>
    <w:rsid w:val="00DB12D7"/>
    <w:rsid w:val="00DB5C6F"/>
    <w:rsid w:val="00DB6987"/>
    <w:rsid w:val="00DC1C1D"/>
    <w:rsid w:val="00DC393A"/>
    <w:rsid w:val="00DC45EF"/>
    <w:rsid w:val="00DC6AD4"/>
    <w:rsid w:val="00DC7544"/>
    <w:rsid w:val="00DD1088"/>
    <w:rsid w:val="00DD6457"/>
    <w:rsid w:val="00DE30CB"/>
    <w:rsid w:val="00DE6B06"/>
    <w:rsid w:val="00DF4CC2"/>
    <w:rsid w:val="00DF4D79"/>
    <w:rsid w:val="00DF5FF4"/>
    <w:rsid w:val="00DF6C26"/>
    <w:rsid w:val="00E03098"/>
    <w:rsid w:val="00E046DF"/>
    <w:rsid w:val="00E12655"/>
    <w:rsid w:val="00E2083E"/>
    <w:rsid w:val="00E20B22"/>
    <w:rsid w:val="00E214F0"/>
    <w:rsid w:val="00E22415"/>
    <w:rsid w:val="00E27346"/>
    <w:rsid w:val="00E27B0C"/>
    <w:rsid w:val="00E37533"/>
    <w:rsid w:val="00E43BF2"/>
    <w:rsid w:val="00E5372B"/>
    <w:rsid w:val="00E57A3B"/>
    <w:rsid w:val="00E57BD4"/>
    <w:rsid w:val="00E634C8"/>
    <w:rsid w:val="00E64CFF"/>
    <w:rsid w:val="00E70BBC"/>
    <w:rsid w:val="00E71BC8"/>
    <w:rsid w:val="00E7260F"/>
    <w:rsid w:val="00E73F5D"/>
    <w:rsid w:val="00E76D5E"/>
    <w:rsid w:val="00E77715"/>
    <w:rsid w:val="00E77E4E"/>
    <w:rsid w:val="00E8017F"/>
    <w:rsid w:val="00E80BCB"/>
    <w:rsid w:val="00E946CF"/>
    <w:rsid w:val="00E94ED4"/>
    <w:rsid w:val="00E96630"/>
    <w:rsid w:val="00E97783"/>
    <w:rsid w:val="00E97BAF"/>
    <w:rsid w:val="00EA3D43"/>
    <w:rsid w:val="00EA3FC3"/>
    <w:rsid w:val="00EB09F5"/>
    <w:rsid w:val="00EB3B4B"/>
    <w:rsid w:val="00EB4534"/>
    <w:rsid w:val="00EC60D8"/>
    <w:rsid w:val="00ED7297"/>
    <w:rsid w:val="00ED7A2A"/>
    <w:rsid w:val="00EE105C"/>
    <w:rsid w:val="00EE5A98"/>
    <w:rsid w:val="00EE5EA4"/>
    <w:rsid w:val="00EF1D7F"/>
    <w:rsid w:val="00EF4C20"/>
    <w:rsid w:val="00F015F8"/>
    <w:rsid w:val="00F12D83"/>
    <w:rsid w:val="00F13886"/>
    <w:rsid w:val="00F15436"/>
    <w:rsid w:val="00F23D5B"/>
    <w:rsid w:val="00F259E5"/>
    <w:rsid w:val="00F31E5F"/>
    <w:rsid w:val="00F333A2"/>
    <w:rsid w:val="00F36F52"/>
    <w:rsid w:val="00F42032"/>
    <w:rsid w:val="00F52C77"/>
    <w:rsid w:val="00F55403"/>
    <w:rsid w:val="00F6100A"/>
    <w:rsid w:val="00F66C5E"/>
    <w:rsid w:val="00F71BEF"/>
    <w:rsid w:val="00F7208B"/>
    <w:rsid w:val="00F75087"/>
    <w:rsid w:val="00F77D0A"/>
    <w:rsid w:val="00F8066F"/>
    <w:rsid w:val="00F87036"/>
    <w:rsid w:val="00F901F3"/>
    <w:rsid w:val="00F93781"/>
    <w:rsid w:val="00F95073"/>
    <w:rsid w:val="00F96190"/>
    <w:rsid w:val="00FA7D6D"/>
    <w:rsid w:val="00FB014F"/>
    <w:rsid w:val="00FB0D6B"/>
    <w:rsid w:val="00FB4929"/>
    <w:rsid w:val="00FB4CE7"/>
    <w:rsid w:val="00FB613B"/>
    <w:rsid w:val="00FC0D31"/>
    <w:rsid w:val="00FC42E5"/>
    <w:rsid w:val="00FC67FE"/>
    <w:rsid w:val="00FC68B7"/>
    <w:rsid w:val="00FD39C5"/>
    <w:rsid w:val="00FD3F98"/>
    <w:rsid w:val="00FD45B6"/>
    <w:rsid w:val="00FD67D2"/>
    <w:rsid w:val="00FE106A"/>
    <w:rsid w:val="00FF145D"/>
    <w:rsid w:val="00FF436A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3CE857E"/>
  <w15:docId w15:val="{98254C7F-E316-4335-B129-A014D59A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rsid w:val="00271AEC"/>
    <w:rPr>
      <w:lang w:eastAsia="en-US"/>
    </w:rPr>
  </w:style>
  <w:style w:type="character" w:customStyle="1" w:styleId="HChGChar">
    <w:name w:val="_ H _Ch_G Char"/>
    <w:link w:val="HChG"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99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D2E08"/>
    <w:pPr>
      <w:ind w:left="720"/>
      <w:contextualSpacing/>
    </w:pPr>
  </w:style>
  <w:style w:type="paragraph" w:customStyle="1" w:styleId="Delavsnitt">
    <w:name w:val="Delavsnitt"/>
    <w:basedOn w:val="Normal"/>
    <w:rsid w:val="0077728A"/>
    <w:pPr>
      <w:tabs>
        <w:tab w:val="num" w:pos="1418"/>
      </w:tabs>
      <w:spacing w:before="160" w:line="240" w:lineRule="auto"/>
      <w:ind w:left="1418" w:hanging="1418"/>
    </w:pPr>
    <w:rPr>
      <w:sz w:val="22"/>
      <w:lang w:val="sv-SE" w:eastAsia="sv-SE"/>
    </w:rPr>
  </w:style>
  <w:style w:type="paragraph" w:customStyle="1" w:styleId="StyckeFem">
    <w:name w:val="StyckeFem"/>
    <w:basedOn w:val="Delavsnitt"/>
    <w:rsid w:val="0077728A"/>
  </w:style>
  <w:style w:type="paragraph" w:customStyle="1" w:styleId="StyckeSex">
    <w:name w:val="StyckeSex"/>
    <w:basedOn w:val="Normal"/>
    <w:rsid w:val="0077728A"/>
    <w:pPr>
      <w:tabs>
        <w:tab w:val="num" w:pos="2520"/>
      </w:tabs>
      <w:suppressAutoHyphens w:val="0"/>
      <w:spacing w:before="160" w:line="240" w:lineRule="auto"/>
      <w:ind w:left="1418" w:hanging="1418"/>
    </w:pPr>
    <w:rPr>
      <w:sz w:val="22"/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2F15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62F15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862F1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3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DAM/trans/doc/2005/ac10c3/ST-SG-AC10-C3-2005-39e.pdf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D96B8B-0CFC-4D3E-BE2E-FD19F583DB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680147-1CFB-4A07-86DD-5A17D4F53974}"/>
</file>

<file path=customXml/itemProps3.xml><?xml version="1.0" encoding="utf-8"?>
<ds:datastoreItem xmlns:ds="http://schemas.openxmlformats.org/officeDocument/2006/customXml" ds:itemID="{444FE255-950A-4EF1-9DD5-FFB0EEFB4EDC}"/>
</file>

<file path=customXml/itemProps4.xml><?xml version="1.0" encoding="utf-8"?>
<ds:datastoreItem xmlns:ds="http://schemas.openxmlformats.org/officeDocument/2006/customXml" ds:itemID="{453ECD00-256B-4562-A004-7D65307849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8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Mansion</dc:creator>
  <cp:lastModifiedBy>Christine Barrio-Champeau</cp:lastModifiedBy>
  <cp:revision>7</cp:revision>
  <cp:lastPrinted>2018-05-09T09:23:00Z</cp:lastPrinted>
  <dcterms:created xsi:type="dcterms:W3CDTF">2021-04-21T08:16:00Z</dcterms:created>
  <dcterms:modified xsi:type="dcterms:W3CDTF">2021-04-21T08:33:00Z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