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4B1A" w14:textId="77777777" w:rsidR="00982036" w:rsidRPr="00267B69" w:rsidRDefault="00982036" w:rsidP="00982036">
      <w:pPr>
        <w:spacing w:before="120"/>
        <w:rPr>
          <w:b/>
          <w:sz w:val="28"/>
          <w:szCs w:val="28"/>
        </w:rPr>
      </w:pPr>
      <w:r w:rsidRPr="00267B69">
        <w:rPr>
          <w:b/>
          <w:sz w:val="28"/>
          <w:szCs w:val="28"/>
        </w:rPr>
        <w:t>Economic Commission for Europe</w:t>
      </w:r>
      <w:r w:rsidR="0090465E">
        <w:rPr>
          <w:b/>
          <w:sz w:val="28"/>
          <w:szCs w:val="28"/>
        </w:rPr>
        <w:t xml:space="preserve"> </w:t>
      </w:r>
    </w:p>
    <w:p w14:paraId="393AFC7D" w14:textId="77777777" w:rsidR="00982036" w:rsidRPr="00267B69" w:rsidRDefault="00982036" w:rsidP="00982036">
      <w:pPr>
        <w:spacing w:before="120"/>
        <w:rPr>
          <w:sz w:val="28"/>
          <w:szCs w:val="28"/>
        </w:rPr>
      </w:pPr>
      <w:r w:rsidRPr="00267B69">
        <w:rPr>
          <w:sz w:val="28"/>
          <w:szCs w:val="28"/>
        </w:rPr>
        <w:t>Inland Transport Committee</w:t>
      </w:r>
    </w:p>
    <w:p w14:paraId="26F50B4C" w14:textId="77777777" w:rsidR="00982036" w:rsidRPr="00267B69" w:rsidRDefault="00982036" w:rsidP="00982036">
      <w:pPr>
        <w:spacing w:before="120"/>
        <w:rPr>
          <w:b/>
          <w:sz w:val="24"/>
          <w:szCs w:val="24"/>
        </w:rPr>
      </w:pPr>
      <w:r w:rsidRPr="00267B69">
        <w:rPr>
          <w:b/>
          <w:sz w:val="24"/>
          <w:szCs w:val="24"/>
        </w:rPr>
        <w:t>Working Party on the Transport of Dangerous Goods</w:t>
      </w:r>
    </w:p>
    <w:p w14:paraId="0A1F9902" w14:textId="036DB82F" w:rsidR="00711C0E" w:rsidRDefault="00711C0E" w:rsidP="00711C0E">
      <w:pPr>
        <w:spacing w:before="120"/>
        <w:rPr>
          <w:b/>
          <w:lang w:eastAsia="fr-FR"/>
        </w:rPr>
      </w:pPr>
      <w:r>
        <w:rPr>
          <w:b/>
        </w:rPr>
        <w:t>10</w:t>
      </w:r>
      <w:r w:rsidR="002C4503">
        <w:rPr>
          <w:b/>
        </w:rPr>
        <w:t>9</w:t>
      </w:r>
      <w:r>
        <w:rPr>
          <w:b/>
        </w:rPr>
        <w:t>th session</w:t>
      </w:r>
    </w:p>
    <w:p w14:paraId="21BF2BD1" w14:textId="68918F3A" w:rsidR="00982036" w:rsidRPr="00267B69" w:rsidRDefault="00711C0E" w:rsidP="00711C0E">
      <w:pPr>
        <w:rPr>
          <w:b/>
        </w:rPr>
      </w:pPr>
      <w:r>
        <w:t xml:space="preserve">Geneva, </w:t>
      </w:r>
      <w:r w:rsidR="002C4503" w:rsidRPr="002C4503">
        <w:t>03 - 07 May 2021</w:t>
      </w:r>
      <w:r w:rsidR="002709B0" w:rsidRPr="00267B69">
        <w:rPr>
          <w:b/>
        </w:rPr>
        <w:tab/>
      </w:r>
      <w:r w:rsidR="002709B0" w:rsidRPr="00267B69">
        <w:rPr>
          <w:b/>
        </w:rPr>
        <w:tab/>
      </w:r>
      <w:r>
        <w:rPr>
          <w:b/>
        </w:rPr>
        <w:tab/>
      </w:r>
      <w:r>
        <w:rPr>
          <w:b/>
        </w:rPr>
        <w:tab/>
      </w:r>
      <w:r>
        <w:rPr>
          <w:b/>
        </w:rPr>
        <w:tab/>
      </w:r>
      <w:r w:rsidR="00D13D3B" w:rsidRPr="00267B69">
        <w:rPr>
          <w:b/>
        </w:rPr>
        <w:tab/>
      </w:r>
      <w:r>
        <w:rPr>
          <w:b/>
        </w:rPr>
        <w:tab/>
      </w:r>
      <w:r>
        <w:rPr>
          <w:b/>
        </w:rPr>
        <w:tab/>
      </w:r>
      <w:r w:rsidR="00CF17A2">
        <w:rPr>
          <w:b/>
        </w:rPr>
        <w:tab/>
      </w:r>
      <w:r w:rsidR="002A34C6">
        <w:rPr>
          <w:b/>
        </w:rPr>
        <w:t>2</w:t>
      </w:r>
      <w:r w:rsidR="005C034F">
        <w:rPr>
          <w:b/>
        </w:rPr>
        <w:t>3</w:t>
      </w:r>
      <w:r>
        <w:rPr>
          <w:b/>
        </w:rPr>
        <w:t xml:space="preserve"> </w:t>
      </w:r>
      <w:r w:rsidR="002A34C6">
        <w:rPr>
          <w:b/>
        </w:rPr>
        <w:t>April</w:t>
      </w:r>
      <w:r w:rsidR="0090465E">
        <w:rPr>
          <w:b/>
        </w:rPr>
        <w:t xml:space="preserve"> 202</w:t>
      </w:r>
      <w:r w:rsidR="002A34C6">
        <w:rPr>
          <w:b/>
        </w:rPr>
        <w:t>1</w:t>
      </w:r>
    </w:p>
    <w:p w14:paraId="3C591671" w14:textId="49160312" w:rsidR="0090465E" w:rsidRPr="00982178" w:rsidRDefault="0090465E" w:rsidP="0090465E">
      <w:r w:rsidRPr="00982178">
        <w:t xml:space="preserve">Item </w:t>
      </w:r>
      <w:r>
        <w:t>5 (</w:t>
      </w:r>
      <w:r w:rsidR="00711C0E">
        <w:t>a</w:t>
      </w:r>
      <w:r>
        <w:t>)</w:t>
      </w:r>
      <w:r w:rsidRPr="00982178">
        <w:t xml:space="preserve"> of the provisional agenda</w:t>
      </w:r>
    </w:p>
    <w:p w14:paraId="40BEB4D5" w14:textId="38B39D1F" w:rsidR="0090465E" w:rsidRPr="00982178" w:rsidRDefault="0090465E" w:rsidP="0090465E">
      <w:pPr>
        <w:rPr>
          <w:b/>
        </w:rPr>
      </w:pPr>
      <w:r w:rsidRPr="009F293C">
        <w:rPr>
          <w:b/>
        </w:rPr>
        <w:t>Proposals for amendments to annexes A and B of ADR</w:t>
      </w:r>
      <w:r>
        <w:rPr>
          <w:b/>
        </w:rPr>
        <w:t>:</w:t>
      </w:r>
      <w:r>
        <w:rPr>
          <w:b/>
        </w:rPr>
        <w:br/>
      </w:r>
      <w:r w:rsidR="00711C0E">
        <w:rPr>
          <w:b/>
        </w:rPr>
        <w:t>c</w:t>
      </w:r>
      <w:r w:rsidR="00711C0E" w:rsidRPr="00711C0E">
        <w:rPr>
          <w:b/>
        </w:rPr>
        <w:t>onstruction and approval of vehicles</w:t>
      </w:r>
    </w:p>
    <w:p w14:paraId="6F2C29AA" w14:textId="16BE8B00" w:rsidR="0090465E" w:rsidRDefault="004B767D" w:rsidP="004B767D">
      <w:pPr>
        <w:pStyle w:val="HChG"/>
        <w:rPr>
          <w:lang w:val="en-US"/>
        </w:rPr>
      </w:pPr>
      <w:r>
        <w:rPr>
          <w:lang w:val="en-US"/>
        </w:rPr>
        <w:tab/>
      </w:r>
      <w:r>
        <w:rPr>
          <w:lang w:val="en-US"/>
        </w:rPr>
        <w:tab/>
      </w:r>
      <w:r w:rsidR="002C4503">
        <w:rPr>
          <w:lang w:val="en-US"/>
        </w:rPr>
        <w:t>Interim report of the</w:t>
      </w:r>
      <w:r w:rsidR="00B34076">
        <w:rPr>
          <w:lang w:val="en-US"/>
        </w:rPr>
        <w:t xml:space="preserve"> </w:t>
      </w:r>
      <w:r w:rsidR="005863B6">
        <w:rPr>
          <w:lang w:val="en-US"/>
        </w:rPr>
        <w:t xml:space="preserve">informal </w:t>
      </w:r>
      <w:r w:rsidR="00B34076">
        <w:rPr>
          <w:lang w:val="en-US"/>
        </w:rPr>
        <w:t>working group</w:t>
      </w:r>
      <w:r w:rsidR="005863B6">
        <w:rPr>
          <w:lang w:val="en-US"/>
        </w:rPr>
        <w:t xml:space="preserve"> on </w:t>
      </w:r>
      <w:r w:rsidR="00D60527">
        <w:rPr>
          <w:lang w:val="en-US"/>
        </w:rPr>
        <w:t>9.7.5</w:t>
      </w:r>
    </w:p>
    <w:p w14:paraId="5B634E94" w14:textId="6D6328C5" w:rsidR="00BF5179" w:rsidRPr="00711C0E" w:rsidRDefault="004B767D" w:rsidP="004B767D">
      <w:pPr>
        <w:pStyle w:val="H1G"/>
      </w:pPr>
      <w:r>
        <w:tab/>
      </w:r>
      <w:r>
        <w:tab/>
      </w:r>
      <w:r w:rsidR="00D60527" w:rsidRPr="00AE400B">
        <w:rPr>
          <w:lang w:val="en-US"/>
        </w:rPr>
        <w:t xml:space="preserve">Transmitted </w:t>
      </w:r>
      <w:r w:rsidR="00BF5179" w:rsidRPr="00AE400B">
        <w:rPr>
          <w:lang w:val="en-US"/>
        </w:rPr>
        <w:t xml:space="preserve">by the </w:t>
      </w:r>
      <w:r w:rsidR="00BF5179">
        <w:rPr>
          <w:lang w:val="en-US"/>
        </w:rPr>
        <w:t>European Chemical Industry Council (CEFIC)</w:t>
      </w:r>
      <w:r w:rsidR="00D60527">
        <w:rPr>
          <w:lang w:val="en-US"/>
        </w:rPr>
        <w:t xml:space="preserve"> on behalf of the informal working group</w:t>
      </w:r>
    </w:p>
    <w:tbl>
      <w:tblPr>
        <w:tblStyle w:val="TableGrid"/>
        <w:tblW w:w="0" w:type="auto"/>
        <w:jc w:val="center"/>
        <w:tblLook w:val="01E0" w:firstRow="1" w:lastRow="1" w:firstColumn="1" w:lastColumn="1" w:noHBand="0" w:noVBand="0"/>
      </w:tblPr>
      <w:tblGrid>
        <w:gridCol w:w="9629"/>
      </w:tblGrid>
      <w:tr w:rsidR="00711C0E" w14:paraId="428452BE" w14:textId="77777777" w:rsidTr="007F4268">
        <w:trPr>
          <w:jc w:val="center"/>
        </w:trPr>
        <w:tc>
          <w:tcPr>
            <w:tcW w:w="9629" w:type="dxa"/>
            <w:tcBorders>
              <w:bottom w:val="nil"/>
            </w:tcBorders>
          </w:tcPr>
          <w:p w14:paraId="2316F366" w14:textId="77777777" w:rsidR="00711C0E" w:rsidRPr="00CD0A92" w:rsidRDefault="00711C0E" w:rsidP="007F4268">
            <w:pPr>
              <w:tabs>
                <w:tab w:val="left" w:pos="255"/>
              </w:tabs>
              <w:suppressAutoHyphens w:val="0"/>
              <w:spacing w:before="240" w:after="120"/>
              <w:rPr>
                <w:sz w:val="24"/>
              </w:rPr>
            </w:pPr>
            <w:r>
              <w:tab/>
            </w:r>
            <w:r>
              <w:rPr>
                <w:i/>
                <w:sz w:val="24"/>
              </w:rPr>
              <w:t>Summary</w:t>
            </w:r>
          </w:p>
        </w:tc>
      </w:tr>
      <w:tr w:rsidR="00711C0E" w14:paraId="31D6F276" w14:textId="77777777" w:rsidTr="007F4268">
        <w:trPr>
          <w:jc w:val="center"/>
        </w:trPr>
        <w:tc>
          <w:tcPr>
            <w:tcW w:w="9629" w:type="dxa"/>
            <w:tcBorders>
              <w:top w:val="nil"/>
              <w:bottom w:val="nil"/>
            </w:tcBorders>
            <w:shd w:val="clear" w:color="auto" w:fill="auto"/>
          </w:tcPr>
          <w:p w14:paraId="69670FD3" w14:textId="61B73339" w:rsidR="00B34076" w:rsidRPr="00B34076" w:rsidRDefault="00711C0E" w:rsidP="00B34076">
            <w:pPr>
              <w:pStyle w:val="SingleTxtG"/>
              <w:tabs>
                <w:tab w:val="left" w:pos="3260"/>
              </w:tabs>
              <w:ind w:left="3260" w:hanging="2126"/>
              <w:rPr>
                <w:szCs w:val="22"/>
              </w:rPr>
            </w:pPr>
            <w:r>
              <w:rPr>
                <w:b/>
                <w:szCs w:val="22"/>
              </w:rPr>
              <w:t>Executive s</w:t>
            </w:r>
            <w:r w:rsidRPr="004F0D24">
              <w:rPr>
                <w:b/>
                <w:szCs w:val="22"/>
              </w:rPr>
              <w:t>ummary</w:t>
            </w:r>
            <w:r>
              <w:rPr>
                <w:szCs w:val="22"/>
              </w:rPr>
              <w:t>:</w:t>
            </w:r>
            <w:r>
              <w:rPr>
                <w:szCs w:val="22"/>
              </w:rPr>
              <w:tab/>
            </w:r>
            <w:r w:rsidR="00111257">
              <w:rPr>
                <w:szCs w:val="22"/>
                <w:lang w:val="en-US"/>
              </w:rPr>
              <w:t>Interim report of the working group set up to d</w:t>
            </w:r>
            <w:r w:rsidR="00111257">
              <w:rPr>
                <w:lang w:val="en-US"/>
              </w:rPr>
              <w:t>iscuss</w:t>
            </w:r>
            <w:r w:rsidR="00211C35">
              <w:rPr>
                <w:lang w:val="en-US"/>
              </w:rPr>
              <w:t xml:space="preserve"> possible amendments to</w:t>
            </w:r>
            <w:r w:rsidR="00111257">
              <w:rPr>
                <w:lang w:val="en-US"/>
              </w:rPr>
              <w:t xml:space="preserve"> ADR 9.7.5.1 and 9.7.5.2</w:t>
            </w:r>
            <w:r>
              <w:rPr>
                <w:szCs w:val="22"/>
              </w:rPr>
              <w:t>.</w:t>
            </w:r>
          </w:p>
        </w:tc>
      </w:tr>
      <w:tr w:rsidR="00B34076" w:rsidRPr="00FC2A99" w14:paraId="001D36B6" w14:textId="77777777" w:rsidTr="007F4268">
        <w:trPr>
          <w:jc w:val="center"/>
        </w:trPr>
        <w:tc>
          <w:tcPr>
            <w:tcW w:w="9629" w:type="dxa"/>
            <w:tcBorders>
              <w:top w:val="nil"/>
              <w:bottom w:val="nil"/>
            </w:tcBorders>
            <w:shd w:val="clear" w:color="auto" w:fill="auto"/>
          </w:tcPr>
          <w:p w14:paraId="1FC77F27" w14:textId="19952325" w:rsidR="00B34076" w:rsidRDefault="00B34076" w:rsidP="004B767D">
            <w:pPr>
              <w:pStyle w:val="SingleTxtG"/>
              <w:tabs>
                <w:tab w:val="left" w:pos="2010"/>
              </w:tabs>
              <w:snapToGrid w:val="0"/>
              <w:spacing w:after="0" w:line="240" w:lineRule="auto"/>
              <w:ind w:left="3260" w:hanging="2126"/>
              <w:rPr>
                <w:bCs/>
                <w:szCs w:val="22"/>
              </w:rPr>
            </w:pPr>
            <w:r>
              <w:rPr>
                <w:b/>
                <w:szCs w:val="22"/>
                <w:lang w:val="en-US"/>
              </w:rPr>
              <w:t>Related documents</w:t>
            </w:r>
            <w:r w:rsidRPr="00B34076">
              <w:rPr>
                <w:bCs/>
                <w:lang w:val="en-US"/>
              </w:rPr>
              <w:t>:</w:t>
            </w:r>
            <w:r>
              <w:rPr>
                <w:b/>
                <w:szCs w:val="22"/>
              </w:rPr>
              <w:tab/>
            </w:r>
            <w:r w:rsidR="00EE3DC9" w:rsidRPr="00EE3DC9">
              <w:rPr>
                <w:bCs/>
                <w:szCs w:val="22"/>
              </w:rPr>
              <w:t>ECE-TRANS-WP15-108-GE-</w:t>
            </w:r>
            <w:r w:rsidR="00FC2A99">
              <w:rPr>
                <w:bCs/>
                <w:szCs w:val="22"/>
                <w:lang w:val="en-US"/>
              </w:rPr>
              <w:t>INF</w:t>
            </w:r>
            <w:r w:rsidR="009C1457">
              <w:rPr>
                <w:bCs/>
                <w:szCs w:val="22"/>
                <w:lang w:val="en-US"/>
              </w:rPr>
              <w:t>.</w:t>
            </w:r>
            <w:r w:rsidR="00EE3DC9" w:rsidRPr="00EE3DC9">
              <w:rPr>
                <w:bCs/>
                <w:szCs w:val="22"/>
              </w:rPr>
              <w:t>5</w:t>
            </w:r>
          </w:p>
          <w:p w14:paraId="718ED69C" w14:textId="76F94740" w:rsidR="00FC2A99" w:rsidRDefault="00FC2A99" w:rsidP="004B767D">
            <w:pPr>
              <w:pStyle w:val="SingleTxtG"/>
              <w:tabs>
                <w:tab w:val="left" w:pos="2010"/>
              </w:tabs>
              <w:snapToGrid w:val="0"/>
              <w:spacing w:after="0" w:line="240" w:lineRule="auto"/>
              <w:ind w:left="3260" w:hanging="2126"/>
              <w:rPr>
                <w:bCs/>
                <w:szCs w:val="22"/>
              </w:rPr>
            </w:pPr>
            <w:r w:rsidRPr="00FC2A99">
              <w:rPr>
                <w:bCs/>
                <w:szCs w:val="22"/>
                <w:lang w:val="en-GB"/>
              </w:rPr>
              <w:t xml:space="preserve">                                          </w:t>
            </w:r>
            <w:r w:rsidRPr="00EE3DC9">
              <w:rPr>
                <w:bCs/>
                <w:szCs w:val="22"/>
              </w:rPr>
              <w:t>ECE-TRANS-WP15-108-GE-</w:t>
            </w:r>
            <w:r>
              <w:rPr>
                <w:bCs/>
                <w:szCs w:val="22"/>
              </w:rPr>
              <w:t>INF</w:t>
            </w:r>
            <w:r w:rsidR="009C1457">
              <w:rPr>
                <w:bCs/>
                <w:szCs w:val="22"/>
                <w:lang w:val="fr-CH"/>
              </w:rPr>
              <w:t>.</w:t>
            </w:r>
            <w:r>
              <w:rPr>
                <w:bCs/>
                <w:szCs w:val="22"/>
                <w:lang w:val="en-GB"/>
              </w:rPr>
              <w:t>2</w:t>
            </w:r>
            <w:r w:rsidRPr="00EE3DC9">
              <w:rPr>
                <w:bCs/>
                <w:szCs w:val="22"/>
              </w:rPr>
              <w:t>5</w:t>
            </w:r>
          </w:p>
          <w:p w14:paraId="43AA8781" w14:textId="4E7FAAA6" w:rsidR="00FC2A99" w:rsidRPr="00FC2A99" w:rsidRDefault="00FC2A99" w:rsidP="00FC2A99">
            <w:pPr>
              <w:pStyle w:val="SingleTxtG"/>
              <w:tabs>
                <w:tab w:val="left" w:pos="2010"/>
              </w:tabs>
              <w:ind w:left="3260" w:hanging="2126"/>
              <w:rPr>
                <w:bCs/>
                <w:szCs w:val="22"/>
                <w:lang w:val="en-US"/>
              </w:rPr>
            </w:pPr>
            <w:r>
              <w:rPr>
                <w:bCs/>
                <w:szCs w:val="22"/>
                <w:lang w:val="en-US"/>
              </w:rPr>
              <w:t xml:space="preserve">                                          </w:t>
            </w:r>
            <w:r w:rsidRPr="00FC2A99">
              <w:rPr>
                <w:bCs/>
                <w:szCs w:val="22"/>
                <w:lang w:val="en-US"/>
              </w:rPr>
              <w:t>TRANS/WP.15/153</w:t>
            </w:r>
          </w:p>
        </w:tc>
      </w:tr>
      <w:tr w:rsidR="00711C0E" w14:paraId="5C05F0A2" w14:textId="77777777" w:rsidTr="007F4268">
        <w:trPr>
          <w:jc w:val="center"/>
        </w:trPr>
        <w:tc>
          <w:tcPr>
            <w:tcW w:w="9629" w:type="dxa"/>
            <w:tcBorders>
              <w:top w:val="nil"/>
              <w:bottom w:val="nil"/>
            </w:tcBorders>
            <w:shd w:val="clear" w:color="auto" w:fill="auto"/>
          </w:tcPr>
          <w:p w14:paraId="1E20666C" w14:textId="178FF3B6" w:rsidR="00711C0E" w:rsidRPr="00084034" w:rsidRDefault="00711C0E" w:rsidP="007F4268">
            <w:pPr>
              <w:pStyle w:val="SingleTxtG"/>
              <w:tabs>
                <w:tab w:val="left" w:pos="3260"/>
              </w:tabs>
              <w:ind w:left="3260" w:hanging="2126"/>
              <w:rPr>
                <w:color w:val="6699FF"/>
                <w:szCs w:val="22"/>
              </w:rPr>
            </w:pPr>
            <w:r w:rsidRPr="004F0D24">
              <w:rPr>
                <w:b/>
                <w:szCs w:val="22"/>
              </w:rPr>
              <w:t>Action to be taken</w:t>
            </w:r>
            <w:r>
              <w:rPr>
                <w:szCs w:val="22"/>
              </w:rPr>
              <w:t>:</w:t>
            </w:r>
            <w:r>
              <w:rPr>
                <w:szCs w:val="22"/>
              </w:rPr>
              <w:tab/>
            </w:r>
            <w:r w:rsidR="00111257">
              <w:rPr>
                <w:szCs w:val="22"/>
                <w:lang w:val="en-US"/>
              </w:rPr>
              <w:t>None</w:t>
            </w:r>
            <w:r>
              <w:t>.</w:t>
            </w:r>
          </w:p>
        </w:tc>
      </w:tr>
      <w:tr w:rsidR="00711C0E" w14:paraId="30B87FE2" w14:textId="77777777" w:rsidTr="007F4268">
        <w:trPr>
          <w:jc w:val="center"/>
        </w:trPr>
        <w:tc>
          <w:tcPr>
            <w:tcW w:w="9629" w:type="dxa"/>
            <w:tcBorders>
              <w:top w:val="nil"/>
            </w:tcBorders>
          </w:tcPr>
          <w:p w14:paraId="6AED67EB" w14:textId="77777777" w:rsidR="00711C0E" w:rsidRDefault="00711C0E" w:rsidP="007F4268">
            <w:pPr>
              <w:suppressAutoHyphens w:val="0"/>
            </w:pPr>
          </w:p>
        </w:tc>
      </w:tr>
    </w:tbl>
    <w:p w14:paraId="202635EB" w14:textId="77777777" w:rsidR="00711C0E" w:rsidRDefault="00711C0E" w:rsidP="00711C0E">
      <w:pPr>
        <w:pStyle w:val="HChG"/>
        <w:rPr>
          <w:lang w:val="en-US"/>
        </w:rPr>
      </w:pPr>
      <w:r>
        <w:rPr>
          <w:lang w:val="en-US"/>
        </w:rPr>
        <w:tab/>
      </w:r>
      <w:r>
        <w:rPr>
          <w:lang w:val="en-US"/>
        </w:rPr>
        <w:tab/>
      </w:r>
      <w:r w:rsidRPr="004D0A90">
        <w:rPr>
          <w:lang w:val="en-US"/>
        </w:rPr>
        <w:t>Introduction</w:t>
      </w:r>
    </w:p>
    <w:p w14:paraId="74EF3296" w14:textId="4C3506E5" w:rsidR="00711C0E" w:rsidRDefault="00711C0E" w:rsidP="00711C0E">
      <w:pPr>
        <w:pStyle w:val="SingleTxtG"/>
        <w:rPr>
          <w:lang w:val="en-US"/>
        </w:rPr>
      </w:pPr>
      <w:r>
        <w:t xml:space="preserve">Concerns </w:t>
      </w:r>
      <w:r w:rsidR="00EE3DC9">
        <w:rPr>
          <w:lang w:val="en-US"/>
        </w:rPr>
        <w:t>from</w:t>
      </w:r>
      <w:r>
        <w:t xml:space="preserve"> the industry on how ADR defines the requirement for</w:t>
      </w:r>
      <w:r w:rsidR="00EE3DC9">
        <w:rPr>
          <w:lang w:val="en-US"/>
        </w:rPr>
        <w:t xml:space="preserve"> the stability of</w:t>
      </w:r>
      <w:r>
        <w:t xml:space="preserve"> </w:t>
      </w:r>
      <w:r w:rsidR="002A5C1D">
        <w:rPr>
          <w:lang w:val="fr-FR"/>
        </w:rPr>
        <w:t>tank-</w:t>
      </w:r>
      <w:proofErr w:type="spellStart"/>
      <w:r w:rsidR="002A5C1D">
        <w:rPr>
          <w:lang w:val="fr-FR"/>
        </w:rPr>
        <w:t>vehicles</w:t>
      </w:r>
      <w:proofErr w:type="spellEnd"/>
      <w:r w:rsidR="002A5C1D">
        <w:rPr>
          <w:lang w:val="fr-FR"/>
        </w:rPr>
        <w:t xml:space="preserve"> </w:t>
      </w:r>
      <w:proofErr w:type="spellStart"/>
      <w:r w:rsidR="002A5C1D">
        <w:rPr>
          <w:lang w:val="fr-FR"/>
        </w:rPr>
        <w:t>carrying</w:t>
      </w:r>
      <w:proofErr w:type="spellEnd"/>
      <w:r w:rsidR="002A5C1D">
        <w:rPr>
          <w:lang w:val="fr-FR"/>
        </w:rPr>
        <w:t xml:space="preserve"> </w:t>
      </w:r>
      <w:r>
        <w:t>liquid</w:t>
      </w:r>
      <w:r w:rsidR="002A5C1D">
        <w:rPr>
          <w:lang w:val="fr-FR"/>
        </w:rPr>
        <w:t>s</w:t>
      </w:r>
      <w:r>
        <w:t xml:space="preserve"> </w:t>
      </w:r>
      <w:r w:rsidR="00EE3DC9">
        <w:rPr>
          <w:lang w:val="en-US"/>
        </w:rPr>
        <w:t>have been reported during the 108</w:t>
      </w:r>
      <w:r w:rsidR="00EE3DC9" w:rsidRPr="00EE3DC9">
        <w:rPr>
          <w:vertAlign w:val="superscript"/>
          <w:lang w:val="en-US"/>
        </w:rPr>
        <w:t>th</w:t>
      </w:r>
      <w:r w:rsidR="00EE3DC9">
        <w:rPr>
          <w:lang w:val="en-US"/>
        </w:rPr>
        <w:t xml:space="preserve"> session of the </w:t>
      </w:r>
      <w:r w:rsidR="00EE3DC9" w:rsidRPr="00EE3DC9">
        <w:rPr>
          <w:lang w:val="en-US"/>
        </w:rPr>
        <w:t>Working Party on the Transport of Dangerous Goods</w:t>
      </w:r>
      <w:r w:rsidR="00EE3DC9">
        <w:rPr>
          <w:lang w:val="en-US"/>
        </w:rPr>
        <w:t xml:space="preserve"> (WP</w:t>
      </w:r>
      <w:r w:rsidR="002A5C1D">
        <w:rPr>
          <w:lang w:val="en-US"/>
        </w:rPr>
        <w:t>.</w:t>
      </w:r>
      <w:r w:rsidR="00EE3DC9">
        <w:rPr>
          <w:lang w:val="en-US"/>
        </w:rPr>
        <w:t>15), through INF</w:t>
      </w:r>
      <w:r w:rsidR="002A5C1D">
        <w:rPr>
          <w:lang w:val="en-US"/>
        </w:rPr>
        <w:t>.</w:t>
      </w:r>
      <w:r w:rsidR="00EE3DC9">
        <w:rPr>
          <w:lang w:val="en-US"/>
        </w:rPr>
        <w:t xml:space="preserve">5, submitted by CEFIC. </w:t>
      </w:r>
    </w:p>
    <w:p w14:paraId="10AFB0DB" w14:textId="72E4525E" w:rsidR="00EE3DC9" w:rsidRDefault="002C4503" w:rsidP="00711C0E">
      <w:pPr>
        <w:pStyle w:val="SingleTxtG"/>
        <w:rPr>
          <w:lang w:val="en-US"/>
        </w:rPr>
      </w:pPr>
      <w:r>
        <w:rPr>
          <w:lang w:val="en-US"/>
        </w:rPr>
        <w:t>A</w:t>
      </w:r>
      <w:r w:rsidR="00EE3DC9" w:rsidRPr="00EE3DC9">
        <w:rPr>
          <w:lang w:val="en-US"/>
        </w:rPr>
        <w:t>n informal working group</w:t>
      </w:r>
      <w:r>
        <w:rPr>
          <w:lang w:val="en-US"/>
        </w:rPr>
        <w:t xml:space="preserve"> has been convened</w:t>
      </w:r>
      <w:r w:rsidR="00EE3DC9" w:rsidRPr="00EE3DC9">
        <w:rPr>
          <w:lang w:val="en-US"/>
        </w:rPr>
        <w:t xml:space="preserve"> to</w:t>
      </w:r>
      <w:r w:rsidR="00211C35">
        <w:rPr>
          <w:lang w:val="en-US"/>
        </w:rPr>
        <w:t xml:space="preserve"> consider whether it might be appropriate to amend the vehicle stability requirements set out in ADR 9.7.5</w:t>
      </w:r>
      <w:r w:rsidR="00EE3DC9" w:rsidRPr="00EE3DC9">
        <w:rPr>
          <w:lang w:val="en-US"/>
        </w:rPr>
        <w:t xml:space="preserve">. </w:t>
      </w:r>
      <w:r w:rsidR="00211C35">
        <w:rPr>
          <w:lang w:val="en-US"/>
        </w:rPr>
        <w:t xml:space="preserve">Initial thoughts on the </w:t>
      </w:r>
      <w:r w:rsidR="00EE3DC9" w:rsidRPr="00EE3DC9">
        <w:rPr>
          <w:lang w:val="en-US"/>
        </w:rPr>
        <w:t>options</w:t>
      </w:r>
      <w:r w:rsidR="00211C35">
        <w:rPr>
          <w:lang w:val="en-US"/>
        </w:rPr>
        <w:t xml:space="preserve"> available</w:t>
      </w:r>
      <w:r w:rsidR="00EE3DC9" w:rsidRPr="00EE3DC9">
        <w:rPr>
          <w:lang w:val="en-US"/>
        </w:rPr>
        <w:t xml:space="preserve"> </w:t>
      </w:r>
      <w:proofErr w:type="gramStart"/>
      <w:r w:rsidR="00211C35">
        <w:rPr>
          <w:lang w:val="en-US"/>
        </w:rPr>
        <w:t>were:</w:t>
      </w:r>
      <w:proofErr w:type="gramEnd"/>
      <w:r w:rsidR="00506CD9">
        <w:rPr>
          <w:lang w:val="en-US"/>
        </w:rPr>
        <w:t xml:space="preserve"> </w:t>
      </w:r>
      <w:r w:rsidR="00EE3DC9" w:rsidRPr="00EE3DC9">
        <w:rPr>
          <w:lang w:val="en-US"/>
        </w:rPr>
        <w:t xml:space="preserve">to </w:t>
      </w:r>
      <w:r w:rsidR="00211C35">
        <w:rPr>
          <w:lang w:val="en-US"/>
        </w:rPr>
        <w:t>amend</w:t>
      </w:r>
      <w:r w:rsidR="007F3F1D">
        <w:rPr>
          <w:lang w:val="en-US"/>
        </w:rPr>
        <w:t xml:space="preserve"> </w:t>
      </w:r>
      <w:r w:rsidR="00EE3DC9" w:rsidRPr="00EE3DC9">
        <w:rPr>
          <w:lang w:val="en-US"/>
        </w:rPr>
        <w:t xml:space="preserve">9.7.5.1 or </w:t>
      </w:r>
      <w:r w:rsidR="00BB5DDB">
        <w:rPr>
          <w:lang w:val="en-US"/>
        </w:rPr>
        <w:t>for this paragraph to be deleted and for all vehicles to be required to comply with</w:t>
      </w:r>
      <w:r w:rsidR="00EE3DC9" w:rsidRPr="00EE3DC9">
        <w:rPr>
          <w:lang w:val="en-US"/>
        </w:rPr>
        <w:t xml:space="preserve"> UN Regulation No. 111.</w:t>
      </w:r>
    </w:p>
    <w:p w14:paraId="52EB5523" w14:textId="6ACC00B7" w:rsidR="00FC2A99" w:rsidRDefault="00D85CDA" w:rsidP="00711C0E">
      <w:pPr>
        <w:pStyle w:val="SingleTxtG"/>
        <w:rPr>
          <w:lang w:val="en-US"/>
        </w:rPr>
      </w:pPr>
      <w:r>
        <w:rPr>
          <w:lang w:val="en-US"/>
        </w:rPr>
        <w:t>The w</w:t>
      </w:r>
      <w:r w:rsidR="00FC2A99">
        <w:rPr>
          <w:lang w:val="en-US"/>
        </w:rPr>
        <w:t>orking group</w:t>
      </w:r>
      <w:r>
        <w:rPr>
          <w:lang w:val="en-US"/>
        </w:rPr>
        <w:t>, which</w:t>
      </w:r>
      <w:r w:rsidR="00FC2A99">
        <w:rPr>
          <w:lang w:val="en-US"/>
        </w:rPr>
        <w:t xml:space="preserve"> comprises members of industry, </w:t>
      </w:r>
      <w:proofErr w:type="gramStart"/>
      <w:r w:rsidR="00FC2A99">
        <w:rPr>
          <w:lang w:val="en-US"/>
        </w:rPr>
        <w:t>vehicle</w:t>
      </w:r>
      <w:proofErr w:type="gramEnd"/>
      <w:r w:rsidR="00FC2A99">
        <w:rPr>
          <w:lang w:val="en-US"/>
        </w:rPr>
        <w:t xml:space="preserve"> and tank builder associations, as well as country delegates</w:t>
      </w:r>
      <w:r>
        <w:rPr>
          <w:lang w:val="en-US"/>
        </w:rPr>
        <w:t xml:space="preserve">, </w:t>
      </w:r>
      <w:r w:rsidR="00E071C4">
        <w:rPr>
          <w:lang w:val="en-US"/>
        </w:rPr>
        <w:t xml:space="preserve">has </w:t>
      </w:r>
      <w:r>
        <w:rPr>
          <w:lang w:val="en-US"/>
        </w:rPr>
        <w:t>met twice in 2021.</w:t>
      </w:r>
      <w:r w:rsidR="003B244E">
        <w:rPr>
          <w:lang w:val="en-US"/>
        </w:rPr>
        <w:t xml:space="preserve"> An overview of the discussion of the group is reported </w:t>
      </w:r>
      <w:r w:rsidR="002A5C1D">
        <w:rPr>
          <w:lang w:val="en-US"/>
        </w:rPr>
        <w:t>below</w:t>
      </w:r>
      <w:r w:rsidR="003B244E">
        <w:rPr>
          <w:lang w:val="en-US"/>
        </w:rPr>
        <w:t>.</w:t>
      </w:r>
    </w:p>
    <w:p w14:paraId="6A73E3D1" w14:textId="62CC6306" w:rsidR="00EE3DC9" w:rsidRDefault="00EE3DC9" w:rsidP="00EE3DC9">
      <w:pPr>
        <w:pStyle w:val="HChG"/>
        <w:rPr>
          <w:lang w:val="en-US"/>
        </w:rPr>
      </w:pPr>
      <w:r>
        <w:rPr>
          <w:lang w:val="en-US"/>
        </w:rPr>
        <w:tab/>
      </w:r>
      <w:r>
        <w:rPr>
          <w:lang w:val="en-US"/>
        </w:rPr>
        <w:tab/>
      </w:r>
      <w:r w:rsidR="002C4503">
        <w:rPr>
          <w:lang w:val="en-US"/>
        </w:rPr>
        <w:t>Summary of discussion</w:t>
      </w:r>
    </w:p>
    <w:p w14:paraId="5ED67C56" w14:textId="0AEDDAED" w:rsidR="00FC2A99" w:rsidRPr="00FC2A99" w:rsidRDefault="00A81DF0" w:rsidP="00A81DF0">
      <w:pPr>
        <w:pStyle w:val="SingleTxtG"/>
      </w:pPr>
      <w:r>
        <w:rPr>
          <w:lang w:val="fr-CH"/>
        </w:rPr>
        <w:t>1.</w:t>
      </w:r>
      <w:r>
        <w:rPr>
          <w:lang w:val="fr-CH"/>
        </w:rPr>
        <w:tab/>
      </w:r>
      <w:r w:rsidR="002A5C1D">
        <w:t>T</w:t>
      </w:r>
      <w:r w:rsidR="00FC2A99" w:rsidRPr="00FC2A99">
        <w:t>he mandate for the working group</w:t>
      </w:r>
      <w:r w:rsidR="002A5C1D">
        <w:t xml:space="preserve"> is </w:t>
      </w:r>
      <w:proofErr w:type="gramStart"/>
      <w:r w:rsidR="00C33EF1">
        <w:t>to</w:t>
      </w:r>
      <w:r w:rsidR="002A5C1D">
        <w:t>:</w:t>
      </w:r>
      <w:proofErr w:type="gramEnd"/>
    </w:p>
    <w:p w14:paraId="1DD78959" w14:textId="02D5E587" w:rsidR="00FC2A99" w:rsidRPr="00FC2A99" w:rsidRDefault="003832F8" w:rsidP="003832F8">
      <w:pPr>
        <w:pStyle w:val="SingleTxtG"/>
      </w:pPr>
      <w:r>
        <w:tab/>
      </w:r>
      <w:r>
        <w:tab/>
      </w:r>
      <w:r>
        <w:rPr>
          <w:lang w:val="fr-CH"/>
        </w:rPr>
        <w:t>(a)</w:t>
      </w:r>
      <w:r>
        <w:rPr>
          <w:lang w:val="fr-CH"/>
        </w:rPr>
        <w:tab/>
      </w:r>
      <w:proofErr w:type="spellStart"/>
      <w:r w:rsidR="00FC2A99" w:rsidRPr="00FC2A99">
        <w:t>Analyze</w:t>
      </w:r>
      <w:proofErr w:type="spellEnd"/>
      <w:r w:rsidR="00FC2A99" w:rsidRPr="00FC2A99">
        <w:t xml:space="preserve"> if the application of UN Regulation No. 111 only to tank-vehicles with fixed tanks with a capacity of more than 3 m³ intended for the carriage of dangerous goods in the liquid or molten state tested with a pressure of less than 4 bar, is appropriate. </w:t>
      </w:r>
    </w:p>
    <w:p w14:paraId="70BCE848" w14:textId="6CA702FD" w:rsidR="00FC2A99" w:rsidRPr="00FC2A99" w:rsidRDefault="003832F8" w:rsidP="003832F8">
      <w:pPr>
        <w:pStyle w:val="SingleTxtG"/>
      </w:pPr>
      <w:r>
        <w:tab/>
      </w:r>
      <w:r>
        <w:tab/>
      </w:r>
      <w:r>
        <w:rPr>
          <w:lang w:val="fr-CH"/>
        </w:rPr>
        <w:t>(b)</w:t>
      </w:r>
      <w:r>
        <w:rPr>
          <w:lang w:val="fr-CH"/>
        </w:rPr>
        <w:tab/>
      </w:r>
      <w:proofErr w:type="spellStart"/>
      <w:r w:rsidR="00FC2A99" w:rsidRPr="00FC2A99">
        <w:t>Analyze</w:t>
      </w:r>
      <w:proofErr w:type="spellEnd"/>
      <w:r w:rsidR="00FC2A99" w:rsidRPr="00FC2A99">
        <w:t xml:space="preserve"> the correctness of the calculation of the maximum height of the </w:t>
      </w:r>
      <w:proofErr w:type="spellStart"/>
      <w:r w:rsidR="00FC2A99" w:rsidRPr="00FC2A99">
        <w:t>center</w:t>
      </w:r>
      <w:proofErr w:type="spellEnd"/>
      <w:r w:rsidR="00FC2A99" w:rsidRPr="00FC2A99">
        <w:t xml:space="preserve"> of gravity of tanks, as stated in 9.7.5.1. </w:t>
      </w:r>
    </w:p>
    <w:p w14:paraId="1A2800E7" w14:textId="4D72B2F4" w:rsidR="00FC2A99" w:rsidRPr="00FC2A99" w:rsidRDefault="003832F8" w:rsidP="003832F8">
      <w:pPr>
        <w:pStyle w:val="SingleTxtG"/>
      </w:pPr>
      <w:r>
        <w:tab/>
      </w:r>
      <w:r>
        <w:tab/>
      </w:r>
      <w:r>
        <w:rPr>
          <w:lang w:val="fr-CH"/>
        </w:rPr>
        <w:t>(c)</w:t>
      </w:r>
      <w:r>
        <w:rPr>
          <w:lang w:val="fr-CH"/>
        </w:rPr>
        <w:tab/>
      </w:r>
      <w:r w:rsidR="00FC2A99" w:rsidRPr="00FC2A99">
        <w:t xml:space="preserve">Verify if the reference to UN Regulation No. 111 contained in 9.7.5.2 is sufficient to set the minimum requirements for the stability of road tanks. </w:t>
      </w:r>
    </w:p>
    <w:p w14:paraId="0BB76361" w14:textId="7A86EA7E" w:rsidR="00FC2A99" w:rsidRPr="00FC2A99" w:rsidRDefault="001400D7" w:rsidP="003832F8">
      <w:pPr>
        <w:pStyle w:val="SingleTxtG"/>
      </w:pPr>
      <w:r>
        <w:lastRenderedPageBreak/>
        <w:tab/>
      </w:r>
      <w:r>
        <w:tab/>
      </w:r>
      <w:r>
        <w:rPr>
          <w:lang w:val="fr-CH"/>
        </w:rPr>
        <w:t>(d)</w:t>
      </w:r>
      <w:r>
        <w:rPr>
          <w:lang w:val="fr-CH"/>
        </w:rPr>
        <w:tab/>
      </w:r>
      <w:r w:rsidR="00FC2A99" w:rsidRPr="00FC2A99">
        <w:t xml:space="preserve">Verify the impact the possible amendment of ADR 9.7.5 deriving from points 1, 2 and 3 above would have. </w:t>
      </w:r>
    </w:p>
    <w:p w14:paraId="75394BEE" w14:textId="7382E7F4" w:rsidR="00FC2A99" w:rsidRPr="00FC2A99" w:rsidRDefault="00A81DF0" w:rsidP="00A81DF0">
      <w:pPr>
        <w:pStyle w:val="SingleTxtG"/>
      </w:pPr>
      <w:r>
        <w:rPr>
          <w:lang w:val="fr-CH"/>
        </w:rPr>
        <w:t>2.</w:t>
      </w:r>
      <w:r>
        <w:rPr>
          <w:lang w:val="fr-CH"/>
        </w:rPr>
        <w:tab/>
      </w:r>
      <w:r w:rsidR="00FC2A99" w:rsidRPr="00FC2A99">
        <w:t xml:space="preserve">UN Regulation </w:t>
      </w:r>
      <w:r w:rsidR="002A5C1D" w:rsidRPr="00FC2A99">
        <w:t>No.</w:t>
      </w:r>
      <w:r w:rsidR="00FC2A99" w:rsidRPr="00FC2A99">
        <w:t>111 was developed by WP</w:t>
      </w:r>
      <w:r w:rsidR="002A5C1D">
        <w:t>.</w:t>
      </w:r>
      <w:r w:rsidR="00FC2A99" w:rsidRPr="00FC2A99">
        <w:t xml:space="preserve">29 around 1998 and </w:t>
      </w:r>
      <w:r w:rsidR="00AE5D9B">
        <w:t>first referenced</w:t>
      </w:r>
      <w:r w:rsidR="00FC2A99" w:rsidRPr="00FC2A99">
        <w:t xml:space="preserve"> in ADR </w:t>
      </w:r>
      <w:r w:rsidR="00FC2A99" w:rsidRPr="00CF17A2">
        <w:t>200</w:t>
      </w:r>
      <w:r w:rsidR="002A5C1D" w:rsidRPr="00CF17A2">
        <w:t>1</w:t>
      </w:r>
      <w:r w:rsidR="00FC2A99" w:rsidRPr="00FC2A99">
        <w:t xml:space="preserve"> (see TRANS/WP.15/153). </w:t>
      </w:r>
      <w:r w:rsidR="00AE5D9B">
        <w:t xml:space="preserve">It has also been noted that </w:t>
      </w:r>
      <w:r w:rsidR="00FC2A99" w:rsidRPr="00FC2A99">
        <w:t>electronic stability control</w:t>
      </w:r>
      <w:r w:rsidR="00AE5D9B">
        <w:t xml:space="preserve"> (ESC) has been introduced</w:t>
      </w:r>
      <w:r w:rsidR="00FC2A99" w:rsidRPr="00FC2A99">
        <w:t xml:space="preserve">, through UN </w:t>
      </w:r>
      <w:r w:rsidR="002A5C1D">
        <w:t>R</w:t>
      </w:r>
      <w:r w:rsidR="00FC2A99" w:rsidRPr="00FC2A99">
        <w:t xml:space="preserve">egulation </w:t>
      </w:r>
      <w:r w:rsidR="002A5C1D" w:rsidRPr="00FC2A99">
        <w:t>No.</w:t>
      </w:r>
      <w:r w:rsidR="00FC2A99" w:rsidRPr="00FC2A99">
        <w:t xml:space="preserve"> 13 (Uniform provisions concerning the approval of vehicles of categories M, N and O with regard to braking) </w:t>
      </w:r>
      <w:r w:rsidR="007877FC">
        <w:t xml:space="preserve">which </w:t>
      </w:r>
      <w:r w:rsidR="001744A3">
        <w:t xml:space="preserve">is </w:t>
      </w:r>
      <w:r w:rsidR="00FC2A99" w:rsidRPr="00FC2A99">
        <w:t>mandatory in ADR 9.2.3.1.1</w:t>
      </w:r>
      <w:r w:rsidR="00AE5D9B">
        <w:t xml:space="preserve">. </w:t>
      </w:r>
    </w:p>
    <w:p w14:paraId="00A74DB8" w14:textId="27A98C75" w:rsidR="00FC2A99" w:rsidRPr="00FC2A99" w:rsidRDefault="00A81DF0" w:rsidP="00A81DF0">
      <w:pPr>
        <w:pStyle w:val="SingleTxtG"/>
      </w:pPr>
      <w:r>
        <w:rPr>
          <w:lang w:val="fr-CH"/>
        </w:rPr>
        <w:t>3.</w:t>
      </w:r>
      <w:r>
        <w:rPr>
          <w:lang w:val="fr-CH"/>
        </w:rPr>
        <w:tab/>
      </w:r>
      <w:r w:rsidR="00AE5D9B">
        <w:t>T</w:t>
      </w:r>
      <w:r w:rsidR="00FC2A99" w:rsidRPr="00FC2A99">
        <w:t xml:space="preserve">he report </w:t>
      </w:r>
      <w:r w:rsidR="00AE5D9B">
        <w:t>(</w:t>
      </w:r>
      <w:r w:rsidR="00FC2A99" w:rsidRPr="00FC2A99">
        <w:t>TRANS/WP.15/153 R111</w:t>
      </w:r>
      <w:r w:rsidR="00AE5D9B">
        <w:t>)</w:t>
      </w:r>
      <w:r w:rsidR="00FC2A99" w:rsidRPr="00FC2A99">
        <w:t xml:space="preserve"> </w:t>
      </w:r>
      <w:r w:rsidR="00AE5D9B">
        <w:t xml:space="preserve">only </w:t>
      </w:r>
      <w:r w:rsidR="00FC2A99" w:rsidRPr="00FC2A99">
        <w:t xml:space="preserve">proposed </w:t>
      </w:r>
      <w:r w:rsidR="00D25E79">
        <w:t>applying</w:t>
      </w:r>
      <w:r w:rsidR="00FC2A99" w:rsidRPr="00FC2A99">
        <w:t xml:space="preserve"> </w:t>
      </w:r>
      <w:r w:rsidR="00AE5D9B" w:rsidRPr="00FC2A99">
        <w:t>UN Regulation No.111</w:t>
      </w:r>
      <w:r w:rsidR="00FC2A99" w:rsidRPr="00FC2A99">
        <w:t xml:space="preserve"> to tanks &lt; 4 </w:t>
      </w:r>
      <w:proofErr w:type="gramStart"/>
      <w:r w:rsidR="00FC2A99" w:rsidRPr="00FC2A99">
        <w:t>bar</w:t>
      </w:r>
      <w:proofErr w:type="gramEnd"/>
      <w:r w:rsidR="00FC2A99" w:rsidRPr="00FC2A99">
        <w:t xml:space="preserve"> because it </w:t>
      </w:r>
      <w:r w:rsidR="00D25E79">
        <w:t xml:space="preserve">was </w:t>
      </w:r>
      <w:r w:rsidR="00FC2A99" w:rsidRPr="00FC2A99">
        <w:t xml:space="preserve">considered that high pressure tanks are more resistant, but this should be further discussed, according to the report. This however has not been followed up </w:t>
      </w:r>
      <w:r w:rsidR="00611C4D">
        <w:t xml:space="preserve">by </w:t>
      </w:r>
      <w:r w:rsidR="00FC2A99" w:rsidRPr="00FC2A99">
        <w:t>WP</w:t>
      </w:r>
      <w:r w:rsidR="002A5C1D">
        <w:t>.</w:t>
      </w:r>
      <w:r w:rsidR="00FC2A99" w:rsidRPr="00FC2A99">
        <w:t>15.</w:t>
      </w:r>
    </w:p>
    <w:p w14:paraId="6BC9302D" w14:textId="47166D27" w:rsidR="00FC2A99" w:rsidRPr="00FC2A99" w:rsidRDefault="00A81DF0" w:rsidP="00A81DF0">
      <w:pPr>
        <w:pStyle w:val="SingleTxtG"/>
      </w:pPr>
      <w:r>
        <w:rPr>
          <w:lang w:val="fr-CH"/>
        </w:rPr>
        <w:t>4.</w:t>
      </w:r>
      <w:r>
        <w:rPr>
          <w:lang w:val="fr-CH"/>
        </w:rPr>
        <w:tab/>
      </w:r>
      <w:r w:rsidR="00FC2A99" w:rsidRPr="00FC2A99">
        <w:t xml:space="preserve">It is recognized that the application of </w:t>
      </w:r>
      <w:r w:rsidR="00D25E79">
        <w:t xml:space="preserve">ESC </w:t>
      </w:r>
      <w:r w:rsidR="00FC2A99" w:rsidRPr="00FC2A99">
        <w:t xml:space="preserve">has improved dramatically the situation by decreasing the number of </w:t>
      </w:r>
      <w:r w:rsidR="00D25E79">
        <w:t xml:space="preserve">vehicle </w:t>
      </w:r>
      <w:r w:rsidR="00FC2A99" w:rsidRPr="00FC2A99">
        <w:t xml:space="preserve">rollovers in Europe. On the other hand </w:t>
      </w:r>
      <w:r w:rsidR="00D25E79">
        <w:t xml:space="preserve">ESC </w:t>
      </w:r>
      <w:r w:rsidR="00FC2A99" w:rsidRPr="00FC2A99">
        <w:t xml:space="preserve">is not </w:t>
      </w:r>
      <w:r w:rsidR="00D25E79">
        <w:t xml:space="preserve">mandatory or </w:t>
      </w:r>
      <w:r w:rsidR="00FC2A99" w:rsidRPr="00FC2A99">
        <w:t xml:space="preserve">available everywhere in the world where ADR is applied or referred to, so it is the understanding of the working group that the stability section ADR 9.7.5 is necessary and must be retained. Also, it is emphasized that the </w:t>
      </w:r>
      <w:r w:rsidR="00D25E79">
        <w:t xml:space="preserve"> stability provided by ESC </w:t>
      </w:r>
      <w:r w:rsidR="00FC2A99" w:rsidRPr="00FC2A99">
        <w:t xml:space="preserve">cannot </w:t>
      </w:r>
      <w:r w:rsidR="00DC3BCF">
        <w:t xml:space="preserve">be a substitute for </w:t>
      </w:r>
      <w:r w:rsidR="00FC2A99" w:rsidRPr="00FC2A99">
        <w:t xml:space="preserve">the </w:t>
      </w:r>
      <w:r w:rsidR="00DC3BCF">
        <w:t xml:space="preserve">inherent stability provided by a </w:t>
      </w:r>
      <w:r w:rsidR="00FC2A99" w:rsidRPr="00FC2A99">
        <w:t xml:space="preserve">low </w:t>
      </w:r>
      <w:proofErr w:type="spellStart"/>
      <w:r w:rsidR="00FC2A99" w:rsidRPr="00FC2A99">
        <w:t>CoG</w:t>
      </w:r>
      <w:proofErr w:type="spellEnd"/>
      <w:r w:rsidR="00FC2A99" w:rsidRPr="00FC2A99">
        <w:t xml:space="preserve"> (i.e. </w:t>
      </w:r>
      <w:r w:rsidR="00DC3BCF">
        <w:t>ESC provides stability benefits during direction changes at speed</w:t>
      </w:r>
      <w:r w:rsidR="00FC2A99" w:rsidRPr="00FC2A99">
        <w:t xml:space="preserve">, but </w:t>
      </w:r>
      <w:r w:rsidR="008734D8">
        <w:t xml:space="preserve">its </w:t>
      </w:r>
      <w:r w:rsidR="00FC2A99" w:rsidRPr="00FC2A99">
        <w:t>effect</w:t>
      </w:r>
      <w:r w:rsidR="00DC3BCF">
        <w:t>ive</w:t>
      </w:r>
      <w:r w:rsidR="008734D8">
        <w:t>ness may be limited</w:t>
      </w:r>
      <w:r w:rsidR="00FC2A99" w:rsidRPr="00FC2A99">
        <w:t xml:space="preserve"> in </w:t>
      </w:r>
      <w:r w:rsidR="008734D8">
        <w:t xml:space="preserve">the </w:t>
      </w:r>
      <w:r w:rsidR="00FC2A99" w:rsidRPr="00FC2A99">
        <w:t xml:space="preserve">case of a relatively low speed turning of a high </w:t>
      </w:r>
      <w:proofErr w:type="spellStart"/>
      <w:r w:rsidR="00FC2A99" w:rsidRPr="00FC2A99">
        <w:t>CoG</w:t>
      </w:r>
      <w:proofErr w:type="spellEnd"/>
      <w:r w:rsidR="00FC2A99" w:rsidRPr="00FC2A99">
        <w:t xml:space="preserve"> truck </w:t>
      </w:r>
      <w:r w:rsidR="00DC3BCF">
        <w:t>at</w:t>
      </w:r>
      <w:r w:rsidR="00DC3BCF" w:rsidRPr="00FC2A99">
        <w:t xml:space="preserve"> </w:t>
      </w:r>
      <w:r w:rsidR="00FC2A99" w:rsidRPr="00FC2A99">
        <w:t>a roundabout</w:t>
      </w:r>
      <w:r w:rsidR="008734D8">
        <w:t xml:space="preserve"> for example</w:t>
      </w:r>
      <w:r w:rsidR="00DC3BCF">
        <w:t>.</w:t>
      </w:r>
      <w:r w:rsidR="00FC2A99" w:rsidRPr="00FC2A99">
        <w:t>)</w:t>
      </w:r>
    </w:p>
    <w:p w14:paraId="204A2EBD" w14:textId="09984FC1" w:rsidR="00FC2A99" w:rsidRPr="00E64C3B" w:rsidRDefault="001964EE" w:rsidP="001964EE">
      <w:pPr>
        <w:pStyle w:val="SingleTxtG"/>
      </w:pPr>
      <w:r>
        <w:rPr>
          <w:lang w:val="fr-CH"/>
        </w:rPr>
        <w:t>5.</w:t>
      </w:r>
      <w:r>
        <w:rPr>
          <w:lang w:val="fr-CH"/>
        </w:rPr>
        <w:tab/>
      </w:r>
      <w:r w:rsidR="00FC2A99" w:rsidRPr="00DC3BCF">
        <w:t xml:space="preserve">The </w:t>
      </w:r>
      <w:r w:rsidR="00E64C3B">
        <w:t xml:space="preserve">Working Group </w:t>
      </w:r>
      <w:r w:rsidR="00FC2A99" w:rsidRPr="00DC3BCF">
        <w:t>discuss</w:t>
      </w:r>
      <w:r w:rsidR="00E64C3B">
        <w:t>ed</w:t>
      </w:r>
      <w:r w:rsidR="00FC2A99" w:rsidRPr="00DC3BCF">
        <w:t xml:space="preserve"> 9.7.5.2 </w:t>
      </w:r>
      <w:r w:rsidR="00E64C3B">
        <w:t xml:space="preserve">and considered whether </w:t>
      </w:r>
      <w:r w:rsidR="00FC2A99" w:rsidRPr="00DC3BCF">
        <w:t xml:space="preserve">the application of UN Regulation No. 111 only to tank-vehicles with fixed tanks </w:t>
      </w:r>
      <w:r w:rsidR="00FC2A99" w:rsidRPr="00E64C3B">
        <w:t xml:space="preserve">with a capacity of more than 3 m³ intended for the carriage of dangerous goods in the liquid or molten state tested with a pressure of less than 4 bar, </w:t>
      </w:r>
      <w:r w:rsidR="00F85313">
        <w:t>remains</w:t>
      </w:r>
      <w:r w:rsidR="00FC2A99" w:rsidRPr="00E64C3B">
        <w:t xml:space="preserve"> appropriate.  From </w:t>
      </w:r>
      <w:r w:rsidR="00F85313">
        <w:t xml:space="preserve">information provided to the group </w:t>
      </w:r>
      <w:r w:rsidR="00FC2A99" w:rsidRPr="00E64C3B">
        <w:t xml:space="preserve">it </w:t>
      </w:r>
      <w:r w:rsidR="00E64C3B">
        <w:t>has been</w:t>
      </w:r>
      <w:r w:rsidR="00FC2A99" w:rsidRPr="00E64C3B">
        <w:t xml:space="preserve"> confirmed that applying 9.7.5.2 to all tankers would not be practicable</w:t>
      </w:r>
      <w:r w:rsidR="001151B5">
        <w:t xml:space="preserve"> </w:t>
      </w:r>
      <w:r w:rsidR="00E64C3B">
        <w:t>and it was</w:t>
      </w:r>
      <w:r w:rsidR="00FC2A99" w:rsidRPr="00E64C3B">
        <w:t xml:space="preserve"> agreed </w:t>
      </w:r>
      <w:r w:rsidR="00E64C3B">
        <w:t xml:space="preserve">that the group should </w:t>
      </w:r>
      <w:r w:rsidR="00FC2A99" w:rsidRPr="00E64C3B">
        <w:t xml:space="preserve">concentrate on </w:t>
      </w:r>
      <w:r w:rsidR="00E64C3B">
        <w:t xml:space="preserve">the possibility of amending </w:t>
      </w:r>
      <w:r w:rsidR="00FC2A99" w:rsidRPr="00E64C3B">
        <w:t xml:space="preserve">9.7.5.1 </w:t>
      </w:r>
      <w:r w:rsidR="008734D8">
        <w:t xml:space="preserve">rather than </w:t>
      </w:r>
      <w:r w:rsidR="00FC2A99" w:rsidRPr="00E64C3B">
        <w:t>extend the applicability of 9.7.5.2 to high pressure tankers.</w:t>
      </w:r>
    </w:p>
    <w:p w14:paraId="0455AB3F" w14:textId="51E1F279" w:rsidR="00FC2A99" w:rsidRPr="00FC2A99" w:rsidRDefault="001964EE" w:rsidP="001964EE">
      <w:pPr>
        <w:pStyle w:val="SingleTxtG"/>
      </w:pPr>
      <w:r>
        <w:rPr>
          <w:lang w:val="fr-CH"/>
        </w:rPr>
        <w:t>6.</w:t>
      </w:r>
      <w:r>
        <w:rPr>
          <w:lang w:val="fr-CH"/>
        </w:rPr>
        <w:tab/>
      </w:r>
      <w:r w:rsidR="00FC2A99" w:rsidRPr="00FC2A99">
        <w:t xml:space="preserve">It </w:t>
      </w:r>
      <w:r w:rsidR="00990C49">
        <w:t xml:space="preserve">has been noted </w:t>
      </w:r>
      <w:r w:rsidR="00FC2A99" w:rsidRPr="00FC2A99">
        <w:t xml:space="preserve">that one of the </w:t>
      </w:r>
      <w:r w:rsidR="00990C49">
        <w:t xml:space="preserve">advantages of </w:t>
      </w:r>
      <w:r w:rsidR="00FC2A99" w:rsidRPr="00FC2A99">
        <w:t xml:space="preserve">9.7.5.1 </w:t>
      </w:r>
      <w:r w:rsidR="00990C49">
        <w:t xml:space="preserve">is </w:t>
      </w:r>
      <w:r w:rsidR="00FC2A99" w:rsidRPr="00FC2A99">
        <w:t xml:space="preserve">its simplicity, but on the other hand the requirements </w:t>
      </w:r>
      <w:r w:rsidR="00990C49">
        <w:t xml:space="preserve">could </w:t>
      </w:r>
      <w:r w:rsidR="00FC2A99" w:rsidRPr="00FC2A99">
        <w:t xml:space="preserve">be </w:t>
      </w:r>
      <w:r w:rsidR="00990C49">
        <w:t xml:space="preserve">more precise </w:t>
      </w:r>
      <w:r w:rsidR="00FC2A99" w:rsidRPr="00FC2A99">
        <w:t xml:space="preserve">to </w:t>
      </w:r>
      <w:r w:rsidR="00990C49">
        <w:t xml:space="preserve">avoid different </w:t>
      </w:r>
      <w:r w:rsidR="00FC2A99" w:rsidRPr="00FC2A99">
        <w:t>interpretation</w:t>
      </w:r>
      <w:r w:rsidR="00990C49">
        <w:t>s being taken</w:t>
      </w:r>
      <w:r w:rsidR="00FC2A99" w:rsidRPr="00FC2A99">
        <w:t xml:space="preserve"> (i.e. "distance between the outer points of contact with the ground of the light-hand tyre and the left-hand tyre </w:t>
      </w:r>
      <w:r w:rsidR="00AD4C32">
        <w:t>o</w:t>
      </w:r>
      <w:r w:rsidR="00FC2A99" w:rsidRPr="00FC2A99">
        <w:t xml:space="preserve">f the same axle" does </w:t>
      </w:r>
      <w:r w:rsidR="00990C49">
        <w:t>this</w:t>
      </w:r>
      <w:r w:rsidR="00FC2A99" w:rsidRPr="00FC2A99">
        <w:t xml:space="preserve"> mean the front </w:t>
      </w:r>
      <w:r w:rsidR="00990C49">
        <w:t>and/</w:t>
      </w:r>
      <w:r w:rsidR="00FC2A99" w:rsidRPr="00FC2A99">
        <w:t xml:space="preserve">or the </w:t>
      </w:r>
      <w:proofErr w:type="gramStart"/>
      <w:r w:rsidR="00FC2A99" w:rsidRPr="00FC2A99">
        <w:t>rear?</w:t>
      </w:r>
      <w:proofErr w:type="gramEnd"/>
      <w:r w:rsidR="00FC2A99" w:rsidRPr="00FC2A99">
        <w:t>).</w:t>
      </w:r>
    </w:p>
    <w:p w14:paraId="77F74D55" w14:textId="475B8498" w:rsidR="00FC2A99" w:rsidRPr="00FC2A99" w:rsidRDefault="001964EE" w:rsidP="001964EE">
      <w:pPr>
        <w:pStyle w:val="SingleTxtG"/>
      </w:pPr>
      <w:r>
        <w:rPr>
          <w:lang w:val="fr-CH"/>
        </w:rPr>
        <w:t>7.</w:t>
      </w:r>
      <w:r>
        <w:rPr>
          <w:lang w:val="fr-CH"/>
        </w:rPr>
        <w:tab/>
      </w:r>
      <w:r w:rsidR="00FC2A99" w:rsidRPr="00FC2A99">
        <w:t xml:space="preserve">The agreed way forward </w:t>
      </w:r>
      <w:proofErr w:type="gramStart"/>
      <w:r w:rsidR="00FC2A99" w:rsidRPr="00FC2A99">
        <w:t>is:</w:t>
      </w:r>
      <w:proofErr w:type="gramEnd"/>
    </w:p>
    <w:p w14:paraId="655EAC7D" w14:textId="635B53C8" w:rsidR="00FC2A99" w:rsidRPr="00FC2A99" w:rsidRDefault="00FC2A99" w:rsidP="00FC2A99">
      <w:pPr>
        <w:pStyle w:val="ListParagraph"/>
        <w:numPr>
          <w:ilvl w:val="0"/>
          <w:numId w:val="24"/>
        </w:numPr>
        <w:ind w:right="1179"/>
        <w:jc w:val="both"/>
        <w:rPr>
          <w:lang w:val="en-US"/>
        </w:rPr>
      </w:pPr>
      <w:r w:rsidRPr="00FC2A99">
        <w:rPr>
          <w:lang w:val="en-US"/>
        </w:rPr>
        <w:t xml:space="preserve">To </w:t>
      </w:r>
      <w:r w:rsidR="00E64C3B">
        <w:rPr>
          <w:lang w:val="en-US"/>
        </w:rPr>
        <w:t>conduct</w:t>
      </w:r>
      <w:r w:rsidRPr="00FC2A99">
        <w:rPr>
          <w:lang w:val="en-US"/>
        </w:rPr>
        <w:t xml:space="preserve"> a survey of the height of the center of gravity in relation to the characteristics of the tanker, as specified by 9.7.5.1 for a significant number of tankers </w:t>
      </w:r>
      <w:r w:rsidR="001151B5">
        <w:rPr>
          <w:lang w:val="en-US"/>
        </w:rPr>
        <w:t xml:space="preserve">operating </w:t>
      </w:r>
      <w:r w:rsidRPr="00FC2A99">
        <w:rPr>
          <w:lang w:val="en-US"/>
        </w:rPr>
        <w:t xml:space="preserve">in Europe. </w:t>
      </w:r>
    </w:p>
    <w:p w14:paraId="7C0C25ED" w14:textId="18B6D8CA" w:rsidR="00FC2A99" w:rsidRPr="00FC2A99" w:rsidRDefault="00D43178" w:rsidP="00FC2A99">
      <w:pPr>
        <w:pStyle w:val="ListParagraph"/>
        <w:numPr>
          <w:ilvl w:val="0"/>
          <w:numId w:val="24"/>
        </w:numPr>
        <w:ind w:right="1179"/>
        <w:jc w:val="both"/>
        <w:rPr>
          <w:lang w:val="en-US"/>
        </w:rPr>
      </w:pPr>
      <w:r>
        <w:rPr>
          <w:lang w:val="en-US"/>
        </w:rPr>
        <w:t xml:space="preserve">The data obtained will then be </w:t>
      </w:r>
      <w:r w:rsidR="003D2E74" w:rsidRPr="00FC2A99">
        <w:rPr>
          <w:lang w:val="en-US"/>
        </w:rPr>
        <w:t>analyze</w:t>
      </w:r>
      <w:r w:rsidR="003D2E74">
        <w:rPr>
          <w:lang w:val="en-US"/>
        </w:rPr>
        <w:t>d</w:t>
      </w:r>
      <w:r w:rsidR="003D2E74" w:rsidRPr="00FC2A99">
        <w:rPr>
          <w:lang w:val="en-US"/>
        </w:rPr>
        <w:t xml:space="preserve"> and</w:t>
      </w:r>
      <w:r>
        <w:rPr>
          <w:lang w:val="en-US"/>
        </w:rPr>
        <w:t xml:space="preserve"> consideration given to whether </w:t>
      </w:r>
      <w:r w:rsidR="00FC2A99" w:rsidRPr="00FC2A99">
        <w:rPr>
          <w:lang w:val="en-US"/>
        </w:rPr>
        <w:t xml:space="preserve">ADR 9.7.5.1 </w:t>
      </w:r>
      <w:r>
        <w:rPr>
          <w:lang w:val="en-US"/>
        </w:rPr>
        <w:t xml:space="preserve">could be amended </w:t>
      </w:r>
      <w:r w:rsidR="001151B5">
        <w:rPr>
          <w:lang w:val="en-US"/>
        </w:rPr>
        <w:t xml:space="preserve">to reduce the maximum permitted </w:t>
      </w:r>
      <w:proofErr w:type="spellStart"/>
      <w:r w:rsidR="00FC2A99" w:rsidRPr="00FC2A99">
        <w:rPr>
          <w:lang w:val="en-US"/>
        </w:rPr>
        <w:t>CoG</w:t>
      </w:r>
      <w:proofErr w:type="spellEnd"/>
      <w:r>
        <w:rPr>
          <w:lang w:val="en-US"/>
        </w:rPr>
        <w:t xml:space="preserve"> </w:t>
      </w:r>
      <w:r w:rsidR="001151B5">
        <w:rPr>
          <w:lang w:val="en-US"/>
        </w:rPr>
        <w:t>height</w:t>
      </w:r>
      <w:r w:rsidR="006168D5">
        <w:rPr>
          <w:lang w:val="en-US"/>
        </w:rPr>
        <w:t>.</w:t>
      </w:r>
      <w:r>
        <w:rPr>
          <w:lang w:val="en-US"/>
        </w:rPr>
        <w:t xml:space="preserve"> </w:t>
      </w:r>
    </w:p>
    <w:p w14:paraId="26B48219" w14:textId="0DC2C231" w:rsidR="00FC2A99" w:rsidRPr="00FC2A99" w:rsidRDefault="001964EE" w:rsidP="001964EE">
      <w:pPr>
        <w:pStyle w:val="SingleTxtG"/>
      </w:pPr>
      <w:bookmarkStart w:id="0" w:name="_Hlk69910753"/>
      <w:r>
        <w:rPr>
          <w:lang w:val="fr-CH"/>
        </w:rPr>
        <w:t>8.</w:t>
      </w:r>
      <w:r>
        <w:rPr>
          <w:lang w:val="fr-CH"/>
        </w:rPr>
        <w:tab/>
      </w:r>
      <w:r w:rsidR="00FC2A99" w:rsidRPr="00FC2A99">
        <w:t xml:space="preserve">A limited set of data in one European country already shows </w:t>
      </w:r>
      <w:proofErr w:type="spellStart"/>
      <w:r w:rsidR="00FC2A99" w:rsidRPr="00FC2A99">
        <w:t>CoG</w:t>
      </w:r>
      <w:proofErr w:type="spellEnd"/>
      <w:r w:rsidR="00FC2A99" w:rsidRPr="00FC2A99">
        <w:t xml:space="preserve"> of tankers transporting liquids ADR being &lt; 90% distance of the wheels</w:t>
      </w:r>
      <w:r w:rsidR="00C22A49">
        <w:t>, which is a stricter requirement than what indicated in ADR 9.7.5.1</w:t>
      </w:r>
      <w:r w:rsidR="00FC2A99" w:rsidRPr="00FC2A99">
        <w:t xml:space="preserve">. </w:t>
      </w:r>
    </w:p>
    <w:bookmarkEnd w:id="0"/>
    <w:p w14:paraId="741104DC" w14:textId="5BED7087" w:rsidR="00BF0CF2" w:rsidRPr="009E5596" w:rsidRDefault="00711C0E" w:rsidP="00711C0E">
      <w:pPr>
        <w:spacing w:before="240"/>
        <w:jc w:val="center"/>
      </w:pPr>
      <w:r>
        <w:rPr>
          <w:u w:val="single"/>
        </w:rPr>
        <w:tab/>
      </w:r>
      <w:r>
        <w:rPr>
          <w:u w:val="single"/>
        </w:rPr>
        <w:tab/>
      </w:r>
      <w:r>
        <w:rPr>
          <w:u w:val="single"/>
        </w:rPr>
        <w:tab/>
      </w:r>
    </w:p>
    <w:sectPr w:rsidR="00BF0CF2" w:rsidRPr="009E5596"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D3B1" w14:textId="77777777" w:rsidR="00D026E9" w:rsidRDefault="00D026E9"/>
  </w:endnote>
  <w:endnote w:type="continuationSeparator" w:id="0">
    <w:p w14:paraId="11A76495" w14:textId="77777777" w:rsidR="00D026E9" w:rsidRDefault="00D026E9"/>
  </w:endnote>
  <w:endnote w:type="continuationNotice" w:id="1">
    <w:p w14:paraId="382EAF36" w14:textId="77777777" w:rsidR="00D026E9" w:rsidRDefault="00D02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D973" w14:textId="785F26A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331950">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E99F" w14:textId="5672298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331950">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FE218" w14:textId="77777777" w:rsidR="00D026E9" w:rsidRPr="000B175B" w:rsidRDefault="00D026E9" w:rsidP="000B175B">
      <w:pPr>
        <w:tabs>
          <w:tab w:val="right" w:pos="2155"/>
        </w:tabs>
        <w:spacing w:after="80"/>
        <w:ind w:left="680"/>
        <w:rPr>
          <w:u w:val="single"/>
        </w:rPr>
      </w:pPr>
      <w:r>
        <w:rPr>
          <w:u w:val="single"/>
        </w:rPr>
        <w:tab/>
      </w:r>
    </w:p>
  </w:footnote>
  <w:footnote w:type="continuationSeparator" w:id="0">
    <w:p w14:paraId="0451A186" w14:textId="77777777" w:rsidR="00D026E9" w:rsidRPr="00FC68B7" w:rsidRDefault="00D026E9" w:rsidP="00FC68B7">
      <w:pPr>
        <w:tabs>
          <w:tab w:val="left" w:pos="2155"/>
        </w:tabs>
        <w:spacing w:after="80"/>
        <w:ind w:left="680"/>
        <w:rPr>
          <w:u w:val="single"/>
        </w:rPr>
      </w:pPr>
      <w:r>
        <w:rPr>
          <w:u w:val="single"/>
        </w:rPr>
        <w:tab/>
      </w:r>
    </w:p>
  </w:footnote>
  <w:footnote w:type="continuationNotice" w:id="1">
    <w:p w14:paraId="18022AD6" w14:textId="77777777" w:rsidR="00D026E9" w:rsidRDefault="00D02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DF20" w14:textId="6FB16800" w:rsidR="0092434D" w:rsidRPr="00617E96" w:rsidRDefault="0092434D">
    <w:pPr>
      <w:pStyle w:val="Header"/>
      <w:rPr>
        <w:lang w:val="fr-CH"/>
      </w:rPr>
    </w:pPr>
    <w:r>
      <w:rPr>
        <w:lang w:val="fr-CH"/>
      </w:rPr>
      <w:t>INF.</w:t>
    </w:r>
    <w:r w:rsidR="001400D7">
      <w:rPr>
        <w:lang w:val="fr-CH"/>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F5BF7"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7EF0" w14:textId="736F0730" w:rsidR="0092434D" w:rsidRPr="00617E96" w:rsidRDefault="00B170C8" w:rsidP="00617E96">
    <w:pPr>
      <w:pStyle w:val="Header"/>
      <w:jc w:val="right"/>
      <w:rPr>
        <w:sz w:val="28"/>
        <w:szCs w:val="28"/>
        <w:lang w:val="fr-CH"/>
      </w:rPr>
    </w:pPr>
    <w:r>
      <w:rPr>
        <w:sz w:val="28"/>
        <w:szCs w:val="28"/>
        <w:lang w:val="fr-CH"/>
      </w:rPr>
      <w:t>INF.</w:t>
    </w:r>
    <w:r w:rsidR="004B767D">
      <w:rPr>
        <w:sz w:val="28"/>
        <w:szCs w:val="28"/>
        <w:lang w:val="fr-CH"/>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B9039F"/>
    <w:multiLevelType w:val="hybridMultilevel"/>
    <w:tmpl w:val="2DA216FE"/>
    <w:lvl w:ilvl="0" w:tplc="08090019">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3" w15:restartNumberingAfterBreak="0">
    <w:nsid w:val="1EC11951"/>
    <w:multiLevelType w:val="hybridMultilevel"/>
    <w:tmpl w:val="7C08DBD8"/>
    <w:lvl w:ilvl="0" w:tplc="809C66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2C03EEA"/>
    <w:multiLevelType w:val="hybridMultilevel"/>
    <w:tmpl w:val="C8B42B9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15:restartNumberingAfterBreak="0">
    <w:nsid w:val="476D5F10"/>
    <w:multiLevelType w:val="hybridMultilevel"/>
    <w:tmpl w:val="DA8CAEB0"/>
    <w:lvl w:ilvl="0" w:tplc="AF1C401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49FE5663"/>
    <w:multiLevelType w:val="hybridMultilevel"/>
    <w:tmpl w:val="2B70E4A0"/>
    <w:lvl w:ilvl="0" w:tplc="6DD4CA8E">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15:restartNumberingAfterBreak="0">
    <w:nsid w:val="522F1CDA"/>
    <w:multiLevelType w:val="hybridMultilevel"/>
    <w:tmpl w:val="FB66441C"/>
    <w:lvl w:ilvl="0" w:tplc="48BE11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0F30CED"/>
    <w:multiLevelType w:val="hybridMultilevel"/>
    <w:tmpl w:val="0A5244BE"/>
    <w:lvl w:ilvl="0" w:tplc="7F9C1A5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21C1C78"/>
    <w:multiLevelType w:val="hybridMultilevel"/>
    <w:tmpl w:val="D33086D8"/>
    <w:lvl w:ilvl="0" w:tplc="08090019">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0"/>
  </w:num>
  <w:num w:numId="14">
    <w:abstractNumId w:val="22"/>
  </w:num>
  <w:num w:numId="15">
    <w:abstractNumId w:val="23"/>
  </w:num>
  <w:num w:numId="16">
    <w:abstractNumId w:val="18"/>
  </w:num>
  <w:num w:numId="17">
    <w:abstractNumId w:val="14"/>
  </w:num>
  <w:num w:numId="18">
    <w:abstractNumId w:val="15"/>
  </w:num>
  <w:num w:numId="19">
    <w:abstractNumId w:val="17"/>
  </w:num>
  <w:num w:numId="20">
    <w:abstractNumId w:val="13"/>
  </w:num>
  <w:num w:numId="21">
    <w:abstractNumId w:val="20"/>
  </w:num>
  <w:num w:numId="22">
    <w:abstractNumId w:val="2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42739"/>
    <w:rsid w:val="000457B4"/>
    <w:rsid w:val="00046B1F"/>
    <w:rsid w:val="00047596"/>
    <w:rsid w:val="00050F6B"/>
    <w:rsid w:val="000575AC"/>
    <w:rsid w:val="00057E97"/>
    <w:rsid w:val="00062888"/>
    <w:rsid w:val="000646F4"/>
    <w:rsid w:val="0006491B"/>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B5C82"/>
    <w:rsid w:val="000C2C03"/>
    <w:rsid w:val="000C2D2E"/>
    <w:rsid w:val="000D08B9"/>
    <w:rsid w:val="000D3E3E"/>
    <w:rsid w:val="000E0415"/>
    <w:rsid w:val="000E0637"/>
    <w:rsid w:val="000F2981"/>
    <w:rsid w:val="00110035"/>
    <w:rsid w:val="001103AA"/>
    <w:rsid w:val="00110611"/>
    <w:rsid w:val="00111257"/>
    <w:rsid w:val="00111A5C"/>
    <w:rsid w:val="001151B5"/>
    <w:rsid w:val="0011666B"/>
    <w:rsid w:val="00121D95"/>
    <w:rsid w:val="0013299E"/>
    <w:rsid w:val="001400D7"/>
    <w:rsid w:val="00145971"/>
    <w:rsid w:val="00153C2C"/>
    <w:rsid w:val="00164FF7"/>
    <w:rsid w:val="00165F3A"/>
    <w:rsid w:val="0016663C"/>
    <w:rsid w:val="0017318C"/>
    <w:rsid w:val="00173696"/>
    <w:rsid w:val="001744A3"/>
    <w:rsid w:val="00175E6F"/>
    <w:rsid w:val="00177C0F"/>
    <w:rsid w:val="001817D6"/>
    <w:rsid w:val="00194FCF"/>
    <w:rsid w:val="001964EE"/>
    <w:rsid w:val="001A1D4B"/>
    <w:rsid w:val="001A2105"/>
    <w:rsid w:val="001A6E11"/>
    <w:rsid w:val="001A6F83"/>
    <w:rsid w:val="001B4B04"/>
    <w:rsid w:val="001C346C"/>
    <w:rsid w:val="001C6663"/>
    <w:rsid w:val="001C6CC0"/>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C35"/>
    <w:rsid w:val="00211E0B"/>
    <w:rsid w:val="002124FA"/>
    <w:rsid w:val="00220E47"/>
    <w:rsid w:val="00222DF8"/>
    <w:rsid w:val="00223A66"/>
    <w:rsid w:val="00224D92"/>
    <w:rsid w:val="00233B9C"/>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34C6"/>
    <w:rsid w:val="002A4C9A"/>
    <w:rsid w:val="002A5C1D"/>
    <w:rsid w:val="002B5655"/>
    <w:rsid w:val="002C03AE"/>
    <w:rsid w:val="002C1C5D"/>
    <w:rsid w:val="002C4503"/>
    <w:rsid w:val="002C6AC2"/>
    <w:rsid w:val="002D0CA9"/>
    <w:rsid w:val="002D4643"/>
    <w:rsid w:val="002E4DE5"/>
    <w:rsid w:val="002F175C"/>
    <w:rsid w:val="002F5EA4"/>
    <w:rsid w:val="00302E18"/>
    <w:rsid w:val="003229D8"/>
    <w:rsid w:val="00331950"/>
    <w:rsid w:val="003336F3"/>
    <w:rsid w:val="00352709"/>
    <w:rsid w:val="00353B6A"/>
    <w:rsid w:val="003619B5"/>
    <w:rsid w:val="00362309"/>
    <w:rsid w:val="00365763"/>
    <w:rsid w:val="00371178"/>
    <w:rsid w:val="003711BC"/>
    <w:rsid w:val="00371590"/>
    <w:rsid w:val="00377020"/>
    <w:rsid w:val="003776D0"/>
    <w:rsid w:val="003832F8"/>
    <w:rsid w:val="00392E47"/>
    <w:rsid w:val="00394CC5"/>
    <w:rsid w:val="003A5B62"/>
    <w:rsid w:val="003A6810"/>
    <w:rsid w:val="003B173B"/>
    <w:rsid w:val="003B244E"/>
    <w:rsid w:val="003B2A95"/>
    <w:rsid w:val="003B4873"/>
    <w:rsid w:val="003B6749"/>
    <w:rsid w:val="003C0075"/>
    <w:rsid w:val="003C2CC4"/>
    <w:rsid w:val="003C7018"/>
    <w:rsid w:val="003D1847"/>
    <w:rsid w:val="003D2E74"/>
    <w:rsid w:val="003D4B23"/>
    <w:rsid w:val="003D5C99"/>
    <w:rsid w:val="003D6CB1"/>
    <w:rsid w:val="003E130E"/>
    <w:rsid w:val="003E412E"/>
    <w:rsid w:val="003E7397"/>
    <w:rsid w:val="004021CB"/>
    <w:rsid w:val="004066A5"/>
    <w:rsid w:val="00410C89"/>
    <w:rsid w:val="004114BC"/>
    <w:rsid w:val="00421FE8"/>
    <w:rsid w:val="00422E03"/>
    <w:rsid w:val="0042319F"/>
    <w:rsid w:val="004240EB"/>
    <w:rsid w:val="0042588A"/>
    <w:rsid w:val="00426B9B"/>
    <w:rsid w:val="004325CB"/>
    <w:rsid w:val="00442A83"/>
    <w:rsid w:val="0045495B"/>
    <w:rsid w:val="004561E5"/>
    <w:rsid w:val="004570B1"/>
    <w:rsid w:val="004732BE"/>
    <w:rsid w:val="0047379F"/>
    <w:rsid w:val="0048397A"/>
    <w:rsid w:val="00485CBB"/>
    <w:rsid w:val="004866B7"/>
    <w:rsid w:val="00497286"/>
    <w:rsid w:val="004A27BC"/>
    <w:rsid w:val="004A2BD3"/>
    <w:rsid w:val="004A5098"/>
    <w:rsid w:val="004A6F63"/>
    <w:rsid w:val="004B1837"/>
    <w:rsid w:val="004B2EAF"/>
    <w:rsid w:val="004B767D"/>
    <w:rsid w:val="004C0956"/>
    <w:rsid w:val="004C2461"/>
    <w:rsid w:val="004C68EB"/>
    <w:rsid w:val="004C7462"/>
    <w:rsid w:val="004D0588"/>
    <w:rsid w:val="004D1404"/>
    <w:rsid w:val="004D33EE"/>
    <w:rsid w:val="004E6FFC"/>
    <w:rsid w:val="004E77B2"/>
    <w:rsid w:val="0050113C"/>
    <w:rsid w:val="00504B2D"/>
    <w:rsid w:val="00506CD9"/>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863B6"/>
    <w:rsid w:val="00591D4E"/>
    <w:rsid w:val="005941EC"/>
    <w:rsid w:val="005958A0"/>
    <w:rsid w:val="00596156"/>
    <w:rsid w:val="0059724D"/>
    <w:rsid w:val="005A1A08"/>
    <w:rsid w:val="005A2E0F"/>
    <w:rsid w:val="005A7D56"/>
    <w:rsid w:val="005B3DB3"/>
    <w:rsid w:val="005B4E13"/>
    <w:rsid w:val="005C034F"/>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C4D"/>
    <w:rsid w:val="00611FC4"/>
    <w:rsid w:val="006156A8"/>
    <w:rsid w:val="006168D5"/>
    <w:rsid w:val="006176FB"/>
    <w:rsid w:val="00617E96"/>
    <w:rsid w:val="0063012C"/>
    <w:rsid w:val="00636B88"/>
    <w:rsid w:val="00636F0C"/>
    <w:rsid w:val="006404E9"/>
    <w:rsid w:val="00640B26"/>
    <w:rsid w:val="0065178B"/>
    <w:rsid w:val="00652D0A"/>
    <w:rsid w:val="00662BB6"/>
    <w:rsid w:val="00662CFB"/>
    <w:rsid w:val="006642B6"/>
    <w:rsid w:val="00672FDA"/>
    <w:rsid w:val="00675849"/>
    <w:rsid w:val="00676606"/>
    <w:rsid w:val="00682257"/>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070F6"/>
    <w:rsid w:val="00711C0E"/>
    <w:rsid w:val="00724C17"/>
    <w:rsid w:val="0072632A"/>
    <w:rsid w:val="007327D5"/>
    <w:rsid w:val="0073593C"/>
    <w:rsid w:val="00737E7A"/>
    <w:rsid w:val="00752B30"/>
    <w:rsid w:val="0076168F"/>
    <w:rsid w:val="007629C8"/>
    <w:rsid w:val="0076669C"/>
    <w:rsid w:val="0077047D"/>
    <w:rsid w:val="007708A5"/>
    <w:rsid w:val="0077538A"/>
    <w:rsid w:val="007851CB"/>
    <w:rsid w:val="007877FC"/>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3F1D"/>
    <w:rsid w:val="007F6611"/>
    <w:rsid w:val="0081086B"/>
    <w:rsid w:val="00811920"/>
    <w:rsid w:val="00811FC2"/>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34D8"/>
    <w:rsid w:val="00875766"/>
    <w:rsid w:val="008878DE"/>
    <w:rsid w:val="0089025B"/>
    <w:rsid w:val="0089303C"/>
    <w:rsid w:val="00894669"/>
    <w:rsid w:val="00895BAB"/>
    <w:rsid w:val="008979B1"/>
    <w:rsid w:val="008A50EE"/>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57EB6"/>
    <w:rsid w:val="0096751C"/>
    <w:rsid w:val="00973BBC"/>
    <w:rsid w:val="00973C44"/>
    <w:rsid w:val="009760F3"/>
    <w:rsid w:val="0097696C"/>
    <w:rsid w:val="00976CFB"/>
    <w:rsid w:val="009812D6"/>
    <w:rsid w:val="00982036"/>
    <w:rsid w:val="00990C49"/>
    <w:rsid w:val="009941AF"/>
    <w:rsid w:val="0099747B"/>
    <w:rsid w:val="009A0830"/>
    <w:rsid w:val="009A0E8D"/>
    <w:rsid w:val="009A5C6E"/>
    <w:rsid w:val="009A6244"/>
    <w:rsid w:val="009A776B"/>
    <w:rsid w:val="009A7D9E"/>
    <w:rsid w:val="009B26E7"/>
    <w:rsid w:val="009B7A75"/>
    <w:rsid w:val="009C1457"/>
    <w:rsid w:val="009D6B04"/>
    <w:rsid w:val="009E076B"/>
    <w:rsid w:val="009E5596"/>
    <w:rsid w:val="009E7286"/>
    <w:rsid w:val="00A00697"/>
    <w:rsid w:val="00A00A3F"/>
    <w:rsid w:val="00A01489"/>
    <w:rsid w:val="00A046A3"/>
    <w:rsid w:val="00A144E6"/>
    <w:rsid w:val="00A20173"/>
    <w:rsid w:val="00A3026E"/>
    <w:rsid w:val="00A32DEF"/>
    <w:rsid w:val="00A338F1"/>
    <w:rsid w:val="00A35BE0"/>
    <w:rsid w:val="00A4373C"/>
    <w:rsid w:val="00A54C24"/>
    <w:rsid w:val="00A568EC"/>
    <w:rsid w:val="00A6129C"/>
    <w:rsid w:val="00A64802"/>
    <w:rsid w:val="00A65994"/>
    <w:rsid w:val="00A678E0"/>
    <w:rsid w:val="00A72178"/>
    <w:rsid w:val="00A72F22"/>
    <w:rsid w:val="00A7360F"/>
    <w:rsid w:val="00A748A6"/>
    <w:rsid w:val="00A769F4"/>
    <w:rsid w:val="00A776B4"/>
    <w:rsid w:val="00A77EA9"/>
    <w:rsid w:val="00A81DF0"/>
    <w:rsid w:val="00A820AF"/>
    <w:rsid w:val="00A86C48"/>
    <w:rsid w:val="00A94361"/>
    <w:rsid w:val="00AA293C"/>
    <w:rsid w:val="00AA5E3A"/>
    <w:rsid w:val="00AA626D"/>
    <w:rsid w:val="00AA6B02"/>
    <w:rsid w:val="00AA72DC"/>
    <w:rsid w:val="00AB3532"/>
    <w:rsid w:val="00AB5C99"/>
    <w:rsid w:val="00AC3F1A"/>
    <w:rsid w:val="00AC4D43"/>
    <w:rsid w:val="00AD4C32"/>
    <w:rsid w:val="00AE08F1"/>
    <w:rsid w:val="00AE2E12"/>
    <w:rsid w:val="00AE5D9B"/>
    <w:rsid w:val="00AF0EA9"/>
    <w:rsid w:val="00B0107C"/>
    <w:rsid w:val="00B15F1E"/>
    <w:rsid w:val="00B170C8"/>
    <w:rsid w:val="00B30179"/>
    <w:rsid w:val="00B33B8F"/>
    <w:rsid w:val="00B34076"/>
    <w:rsid w:val="00B35CD5"/>
    <w:rsid w:val="00B40092"/>
    <w:rsid w:val="00B421C1"/>
    <w:rsid w:val="00B53483"/>
    <w:rsid w:val="00B55C71"/>
    <w:rsid w:val="00B567A2"/>
    <w:rsid w:val="00B56E4A"/>
    <w:rsid w:val="00B56E9C"/>
    <w:rsid w:val="00B57BEB"/>
    <w:rsid w:val="00B64B1F"/>
    <w:rsid w:val="00B6553F"/>
    <w:rsid w:val="00B7025D"/>
    <w:rsid w:val="00B71D3B"/>
    <w:rsid w:val="00B72BE1"/>
    <w:rsid w:val="00B74C28"/>
    <w:rsid w:val="00B777AE"/>
    <w:rsid w:val="00B77D05"/>
    <w:rsid w:val="00B81206"/>
    <w:rsid w:val="00B81E12"/>
    <w:rsid w:val="00B876F7"/>
    <w:rsid w:val="00B96BDE"/>
    <w:rsid w:val="00BB3F2F"/>
    <w:rsid w:val="00BB5DDB"/>
    <w:rsid w:val="00BC3FA0"/>
    <w:rsid w:val="00BC5010"/>
    <w:rsid w:val="00BC74E9"/>
    <w:rsid w:val="00BD43A5"/>
    <w:rsid w:val="00BE17EF"/>
    <w:rsid w:val="00BE3161"/>
    <w:rsid w:val="00BF0CF2"/>
    <w:rsid w:val="00BF2EF3"/>
    <w:rsid w:val="00BF48D9"/>
    <w:rsid w:val="00BF5179"/>
    <w:rsid w:val="00BF5486"/>
    <w:rsid w:val="00BF67DE"/>
    <w:rsid w:val="00BF68A8"/>
    <w:rsid w:val="00BF76F9"/>
    <w:rsid w:val="00C11A03"/>
    <w:rsid w:val="00C14EC4"/>
    <w:rsid w:val="00C17B9D"/>
    <w:rsid w:val="00C22A49"/>
    <w:rsid w:val="00C22C0C"/>
    <w:rsid w:val="00C25CAF"/>
    <w:rsid w:val="00C2766D"/>
    <w:rsid w:val="00C33EF1"/>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4AA6"/>
    <w:rsid w:val="00CD6BFA"/>
    <w:rsid w:val="00CE37CD"/>
    <w:rsid w:val="00CE4A8F"/>
    <w:rsid w:val="00CF17A2"/>
    <w:rsid w:val="00CF299F"/>
    <w:rsid w:val="00D00EBF"/>
    <w:rsid w:val="00D026E9"/>
    <w:rsid w:val="00D02987"/>
    <w:rsid w:val="00D04C98"/>
    <w:rsid w:val="00D11F71"/>
    <w:rsid w:val="00D12F38"/>
    <w:rsid w:val="00D13D3B"/>
    <w:rsid w:val="00D2031B"/>
    <w:rsid w:val="00D21BAC"/>
    <w:rsid w:val="00D248B6"/>
    <w:rsid w:val="00D25E79"/>
    <w:rsid w:val="00D25FE2"/>
    <w:rsid w:val="00D3022D"/>
    <w:rsid w:val="00D329C1"/>
    <w:rsid w:val="00D35A18"/>
    <w:rsid w:val="00D37B31"/>
    <w:rsid w:val="00D37C72"/>
    <w:rsid w:val="00D4244C"/>
    <w:rsid w:val="00D43178"/>
    <w:rsid w:val="00D43252"/>
    <w:rsid w:val="00D46113"/>
    <w:rsid w:val="00D47EEA"/>
    <w:rsid w:val="00D500EA"/>
    <w:rsid w:val="00D52237"/>
    <w:rsid w:val="00D60527"/>
    <w:rsid w:val="00D61562"/>
    <w:rsid w:val="00D773DF"/>
    <w:rsid w:val="00D858D0"/>
    <w:rsid w:val="00D85CDA"/>
    <w:rsid w:val="00D95303"/>
    <w:rsid w:val="00D978C6"/>
    <w:rsid w:val="00DA1781"/>
    <w:rsid w:val="00DA3C1C"/>
    <w:rsid w:val="00DB12D7"/>
    <w:rsid w:val="00DB5C6F"/>
    <w:rsid w:val="00DB6987"/>
    <w:rsid w:val="00DC1C1D"/>
    <w:rsid w:val="00DC393A"/>
    <w:rsid w:val="00DC3BCF"/>
    <w:rsid w:val="00DC7544"/>
    <w:rsid w:val="00DD1088"/>
    <w:rsid w:val="00DE6B06"/>
    <w:rsid w:val="00DF4D79"/>
    <w:rsid w:val="00DF5FF4"/>
    <w:rsid w:val="00DF6C26"/>
    <w:rsid w:val="00E046DF"/>
    <w:rsid w:val="00E071C4"/>
    <w:rsid w:val="00E2083E"/>
    <w:rsid w:val="00E20B22"/>
    <w:rsid w:val="00E214F0"/>
    <w:rsid w:val="00E22415"/>
    <w:rsid w:val="00E27346"/>
    <w:rsid w:val="00E27B0C"/>
    <w:rsid w:val="00E37533"/>
    <w:rsid w:val="00E43BF2"/>
    <w:rsid w:val="00E5372B"/>
    <w:rsid w:val="00E64C3B"/>
    <w:rsid w:val="00E64CFF"/>
    <w:rsid w:val="00E70BBC"/>
    <w:rsid w:val="00E71BC8"/>
    <w:rsid w:val="00E7260F"/>
    <w:rsid w:val="00E73F5D"/>
    <w:rsid w:val="00E77E4E"/>
    <w:rsid w:val="00E94ED4"/>
    <w:rsid w:val="00E96630"/>
    <w:rsid w:val="00E97BAF"/>
    <w:rsid w:val="00EA3FC3"/>
    <w:rsid w:val="00EB09F5"/>
    <w:rsid w:val="00EB3B4B"/>
    <w:rsid w:val="00EC4C0B"/>
    <w:rsid w:val="00EC60D8"/>
    <w:rsid w:val="00ED7297"/>
    <w:rsid w:val="00ED7A2A"/>
    <w:rsid w:val="00EE105C"/>
    <w:rsid w:val="00EE3DC9"/>
    <w:rsid w:val="00EE5A98"/>
    <w:rsid w:val="00EE5EA4"/>
    <w:rsid w:val="00EF1D7F"/>
    <w:rsid w:val="00EF4C20"/>
    <w:rsid w:val="00F015F8"/>
    <w:rsid w:val="00F12D83"/>
    <w:rsid w:val="00F15436"/>
    <w:rsid w:val="00F23D5B"/>
    <w:rsid w:val="00F259E5"/>
    <w:rsid w:val="00F31E5F"/>
    <w:rsid w:val="00F333A2"/>
    <w:rsid w:val="00F36F52"/>
    <w:rsid w:val="00F42032"/>
    <w:rsid w:val="00F52C77"/>
    <w:rsid w:val="00F55403"/>
    <w:rsid w:val="00F6100A"/>
    <w:rsid w:val="00F66C5E"/>
    <w:rsid w:val="00F71BEF"/>
    <w:rsid w:val="00F7208B"/>
    <w:rsid w:val="00F75087"/>
    <w:rsid w:val="00F8066F"/>
    <w:rsid w:val="00F85313"/>
    <w:rsid w:val="00F87036"/>
    <w:rsid w:val="00F93781"/>
    <w:rsid w:val="00F95073"/>
    <w:rsid w:val="00FA7D6D"/>
    <w:rsid w:val="00FB014F"/>
    <w:rsid w:val="00FB4929"/>
    <w:rsid w:val="00FB613B"/>
    <w:rsid w:val="00FC2A99"/>
    <w:rsid w:val="00FC42E5"/>
    <w:rsid w:val="00FC67FE"/>
    <w:rsid w:val="00FC68B7"/>
    <w:rsid w:val="00FC7162"/>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963C82"/>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uiPriority w:val="99"/>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H1GChar">
    <w:name w:val="_ H_1_G Char"/>
    <w:link w:val="H1G"/>
    <w:uiPriority w:val="99"/>
    <w:rsid w:val="00711C0E"/>
    <w:rPr>
      <w:b/>
      <w:sz w:val="24"/>
      <w:lang w:eastAsia="en-US"/>
    </w:rPr>
  </w:style>
  <w:style w:type="paragraph" w:styleId="ListParagraph">
    <w:name w:val="List Paragraph"/>
    <w:basedOn w:val="Normal"/>
    <w:uiPriority w:val="34"/>
    <w:qFormat/>
    <w:rsid w:val="00FC2A99"/>
    <w:pPr>
      <w:ind w:left="720"/>
      <w:contextualSpacing/>
    </w:pPr>
  </w:style>
  <w:style w:type="paragraph" w:styleId="CommentSubject">
    <w:name w:val="annotation subject"/>
    <w:basedOn w:val="CommentText"/>
    <w:next w:val="CommentText"/>
    <w:link w:val="CommentSubjectChar"/>
    <w:semiHidden/>
    <w:unhideWhenUsed/>
    <w:rsid w:val="002A5C1D"/>
    <w:pPr>
      <w:spacing w:line="240" w:lineRule="auto"/>
    </w:pPr>
    <w:rPr>
      <w:b/>
      <w:bCs/>
    </w:rPr>
  </w:style>
  <w:style w:type="character" w:customStyle="1" w:styleId="CommentTextChar">
    <w:name w:val="Comment Text Char"/>
    <w:basedOn w:val="DefaultParagraphFont"/>
    <w:link w:val="CommentText"/>
    <w:semiHidden/>
    <w:rsid w:val="002A5C1D"/>
    <w:rPr>
      <w:lang w:eastAsia="en-US"/>
    </w:rPr>
  </w:style>
  <w:style w:type="character" w:customStyle="1" w:styleId="CommentSubjectChar">
    <w:name w:val="Comment Subject Char"/>
    <w:basedOn w:val="CommentTextChar"/>
    <w:link w:val="CommentSubject"/>
    <w:semiHidden/>
    <w:rsid w:val="002A5C1D"/>
    <w:rPr>
      <w:b/>
      <w:bCs/>
      <w:lang w:eastAsia="en-US"/>
    </w:rPr>
  </w:style>
  <w:style w:type="paragraph" w:styleId="Revision">
    <w:name w:val="Revision"/>
    <w:hidden/>
    <w:uiPriority w:val="99"/>
    <w:semiHidden/>
    <w:rsid w:val="00506C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5708">
      <w:bodyDiv w:val="1"/>
      <w:marLeft w:val="0"/>
      <w:marRight w:val="0"/>
      <w:marTop w:val="0"/>
      <w:marBottom w:val="0"/>
      <w:divBdr>
        <w:top w:val="none" w:sz="0" w:space="0" w:color="auto"/>
        <w:left w:val="none" w:sz="0" w:space="0" w:color="auto"/>
        <w:bottom w:val="none" w:sz="0" w:space="0" w:color="auto"/>
        <w:right w:val="none" w:sz="0" w:space="0" w:color="auto"/>
      </w:divBdr>
    </w:div>
    <w:div w:id="70217261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F2DA-1CE8-4596-956A-BBD32669E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44C2D-8B8E-42FF-8D3A-A6E24FD860C1}">
  <ds:schemaRefs>
    <ds:schemaRef ds:uri="http://schemas.microsoft.com/office/2006/metadata/properties"/>
    <ds:schemaRef ds:uri="http://schemas.microsoft.com/office/infopath/2007/PartnerControls"/>
    <ds:schemaRef ds:uri="0cf7f8c8-a62b-411e-8b53-740838f8789c"/>
    <ds:schemaRef ds:uri="06abd2b9-dd68-49d4-bfde-c891c3030d9c"/>
    <ds:schemaRef ds:uri="15ff3d39-6e7b-4d70-9b7c-8d9fe85d0f29"/>
  </ds:schemaRefs>
</ds:datastoreItem>
</file>

<file path=customXml/itemProps3.xml><?xml version="1.0" encoding="utf-8"?>
<ds:datastoreItem xmlns:ds="http://schemas.openxmlformats.org/officeDocument/2006/customXml" ds:itemID="{2B3E06EB-FCA5-4F39-90B6-A03B61B8980C}">
  <ds:schemaRefs>
    <ds:schemaRef ds:uri="http://schemas.microsoft.com/sharepoint/v3/contenttype/forms"/>
  </ds:schemaRefs>
</ds:datastoreItem>
</file>

<file path=customXml/itemProps4.xml><?xml version="1.0" encoding="utf-8"?>
<ds:datastoreItem xmlns:ds="http://schemas.openxmlformats.org/officeDocument/2006/customXml" ds:itemID="{1F158F68-36EA-4D58-B106-8DCD248E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784</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Editorial</cp:lastModifiedBy>
  <cp:revision>11</cp:revision>
  <cp:lastPrinted>2021-04-13T12:54:00Z</cp:lastPrinted>
  <dcterms:created xsi:type="dcterms:W3CDTF">2021-04-26T07:24:00Z</dcterms:created>
  <dcterms:modified xsi:type="dcterms:W3CDTF">2021-04-26T09:28:00Z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