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491BD9" w14:paraId="6EB3B5BF" w14:textId="77777777" w:rsidTr="00F01738">
        <w:trPr>
          <w:trHeight w:hRule="exact" w:val="851"/>
        </w:trPr>
        <w:tc>
          <w:tcPr>
            <w:tcW w:w="1276" w:type="dxa"/>
            <w:tcBorders>
              <w:bottom w:val="single" w:sz="4" w:space="0" w:color="auto"/>
            </w:tcBorders>
          </w:tcPr>
          <w:p w14:paraId="04B0E3D9" w14:textId="77777777" w:rsidR="00132EA9" w:rsidRPr="00491BD9" w:rsidRDefault="00132EA9" w:rsidP="00F01738">
            <w:pPr>
              <w:rPr>
                <w:lang w:val="fr-FR"/>
              </w:rPr>
            </w:pPr>
            <w:bookmarkStart w:id="0" w:name="_Hlk65586006"/>
            <w:bookmarkStart w:id="1" w:name="_GoBack"/>
            <w:bookmarkEnd w:id="0"/>
            <w:bookmarkEnd w:id="1"/>
          </w:p>
        </w:tc>
        <w:tc>
          <w:tcPr>
            <w:tcW w:w="2268" w:type="dxa"/>
            <w:tcBorders>
              <w:bottom w:val="single" w:sz="4" w:space="0" w:color="auto"/>
            </w:tcBorders>
            <w:vAlign w:val="bottom"/>
          </w:tcPr>
          <w:p w14:paraId="1121B6F4" w14:textId="77777777" w:rsidR="00132EA9" w:rsidRPr="00491BD9" w:rsidRDefault="00132EA9" w:rsidP="00F01738">
            <w:pPr>
              <w:spacing w:after="80" w:line="300" w:lineRule="exact"/>
              <w:rPr>
                <w:sz w:val="28"/>
                <w:lang w:val="fr-FR"/>
              </w:rPr>
            </w:pPr>
            <w:r w:rsidRPr="00491BD9">
              <w:rPr>
                <w:sz w:val="28"/>
                <w:lang w:val="fr-FR"/>
              </w:rPr>
              <w:t>Nations Unies</w:t>
            </w:r>
          </w:p>
        </w:tc>
        <w:tc>
          <w:tcPr>
            <w:tcW w:w="6095" w:type="dxa"/>
            <w:gridSpan w:val="2"/>
            <w:tcBorders>
              <w:bottom w:val="single" w:sz="4" w:space="0" w:color="auto"/>
            </w:tcBorders>
            <w:vAlign w:val="bottom"/>
          </w:tcPr>
          <w:p w14:paraId="55746E2E" w14:textId="77777777" w:rsidR="00132EA9" w:rsidRPr="00491BD9" w:rsidRDefault="00A658A1" w:rsidP="00A658A1">
            <w:pPr>
              <w:jc w:val="right"/>
              <w:rPr>
                <w:lang w:val="fr-FR"/>
              </w:rPr>
            </w:pPr>
            <w:r w:rsidRPr="00491BD9">
              <w:rPr>
                <w:sz w:val="40"/>
                <w:lang w:val="fr-FR"/>
              </w:rPr>
              <w:t>ST</w:t>
            </w:r>
            <w:r w:rsidRPr="00491BD9">
              <w:rPr>
                <w:lang w:val="fr-FR"/>
              </w:rPr>
              <w:t>/SG/AC.10/48/Add.2</w:t>
            </w:r>
          </w:p>
        </w:tc>
      </w:tr>
      <w:tr w:rsidR="00132EA9" w:rsidRPr="00491BD9" w14:paraId="074DABED" w14:textId="77777777" w:rsidTr="00F01738">
        <w:trPr>
          <w:trHeight w:hRule="exact" w:val="2835"/>
        </w:trPr>
        <w:tc>
          <w:tcPr>
            <w:tcW w:w="1276" w:type="dxa"/>
            <w:tcBorders>
              <w:top w:val="single" w:sz="4" w:space="0" w:color="auto"/>
              <w:bottom w:val="single" w:sz="12" w:space="0" w:color="auto"/>
            </w:tcBorders>
          </w:tcPr>
          <w:p w14:paraId="7F5054D2" w14:textId="77777777" w:rsidR="00132EA9" w:rsidRPr="00491BD9" w:rsidRDefault="00132EA9" w:rsidP="00F01738">
            <w:pPr>
              <w:spacing w:before="120"/>
              <w:jc w:val="center"/>
              <w:rPr>
                <w:lang w:val="fr-FR"/>
              </w:rPr>
            </w:pPr>
            <w:r w:rsidRPr="00491BD9">
              <w:rPr>
                <w:noProof/>
                <w:lang w:val="fr-FR" w:eastAsia="fr-CH"/>
              </w:rPr>
              <w:drawing>
                <wp:inline distT="0" distB="0" distL="0" distR="0" wp14:anchorId="4ED11721" wp14:editId="46713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D306FB" w14:textId="77777777" w:rsidR="00132EA9" w:rsidRPr="00491BD9" w:rsidRDefault="00132EA9" w:rsidP="00F01738">
            <w:pPr>
              <w:spacing w:before="120" w:line="420" w:lineRule="exact"/>
              <w:rPr>
                <w:b/>
                <w:sz w:val="40"/>
                <w:szCs w:val="40"/>
                <w:lang w:val="fr-FR"/>
              </w:rPr>
            </w:pPr>
            <w:r w:rsidRPr="00491BD9">
              <w:rPr>
                <w:b/>
                <w:sz w:val="40"/>
                <w:szCs w:val="40"/>
                <w:lang w:val="fr-FR"/>
              </w:rPr>
              <w:t>Secrétariat</w:t>
            </w:r>
          </w:p>
        </w:tc>
        <w:tc>
          <w:tcPr>
            <w:tcW w:w="2835" w:type="dxa"/>
            <w:tcBorders>
              <w:top w:val="single" w:sz="4" w:space="0" w:color="auto"/>
              <w:bottom w:val="single" w:sz="12" w:space="0" w:color="auto"/>
            </w:tcBorders>
          </w:tcPr>
          <w:p w14:paraId="05BFAD6B" w14:textId="77777777" w:rsidR="00132EA9" w:rsidRPr="00491BD9" w:rsidRDefault="00A658A1" w:rsidP="00A658A1">
            <w:pPr>
              <w:spacing w:before="240" w:line="240" w:lineRule="exact"/>
              <w:rPr>
                <w:lang w:val="fr-FR"/>
              </w:rPr>
            </w:pPr>
            <w:proofErr w:type="spellStart"/>
            <w:r w:rsidRPr="00491BD9">
              <w:rPr>
                <w:lang w:val="fr-FR"/>
              </w:rPr>
              <w:t>Distr</w:t>
            </w:r>
            <w:proofErr w:type="spellEnd"/>
            <w:r w:rsidRPr="00491BD9">
              <w:rPr>
                <w:lang w:val="fr-FR"/>
              </w:rPr>
              <w:t>. générale</w:t>
            </w:r>
          </w:p>
          <w:p w14:paraId="256C9A5E" w14:textId="41407234" w:rsidR="00A658A1" w:rsidRPr="00491BD9" w:rsidRDefault="007C1C42" w:rsidP="00A658A1">
            <w:pPr>
              <w:spacing w:line="240" w:lineRule="exact"/>
              <w:rPr>
                <w:lang w:val="fr-FR"/>
              </w:rPr>
            </w:pPr>
            <w:r>
              <w:rPr>
                <w:lang w:val="fr-FR"/>
              </w:rPr>
              <w:t>2</w:t>
            </w:r>
            <w:r w:rsidR="00656F3B">
              <w:rPr>
                <w:lang w:val="fr-FR"/>
              </w:rPr>
              <w:t>3</w:t>
            </w:r>
            <w:r>
              <w:rPr>
                <w:lang w:val="fr-FR"/>
              </w:rPr>
              <w:t xml:space="preserve"> mars</w:t>
            </w:r>
            <w:r w:rsidR="00A658A1" w:rsidRPr="00491BD9">
              <w:rPr>
                <w:lang w:val="fr-FR"/>
              </w:rPr>
              <w:t xml:space="preserve"> 2021</w:t>
            </w:r>
          </w:p>
          <w:p w14:paraId="526AE057" w14:textId="440879A1" w:rsidR="00A658A1" w:rsidRPr="00491BD9" w:rsidRDefault="007C1C42" w:rsidP="00A658A1">
            <w:pPr>
              <w:spacing w:line="240" w:lineRule="exact"/>
              <w:rPr>
                <w:lang w:val="fr-FR"/>
              </w:rPr>
            </w:pPr>
            <w:r>
              <w:rPr>
                <w:lang w:val="fr-FR"/>
              </w:rPr>
              <w:t>F</w:t>
            </w:r>
            <w:r w:rsidRPr="007C1C42">
              <w:rPr>
                <w:lang w:val="fr-FR"/>
              </w:rPr>
              <w:t>rançais</w:t>
            </w:r>
          </w:p>
          <w:p w14:paraId="692D3B6D" w14:textId="7D08549B" w:rsidR="00A658A1" w:rsidRPr="00491BD9" w:rsidRDefault="00A658A1" w:rsidP="00A658A1">
            <w:pPr>
              <w:spacing w:line="240" w:lineRule="exact"/>
              <w:rPr>
                <w:lang w:val="fr-FR"/>
              </w:rPr>
            </w:pPr>
            <w:r w:rsidRPr="00491BD9">
              <w:rPr>
                <w:lang w:val="fr-FR"/>
              </w:rPr>
              <w:t xml:space="preserve">Original : </w:t>
            </w:r>
            <w:r w:rsidR="007C1C42">
              <w:rPr>
                <w:lang w:val="fr-FR"/>
              </w:rPr>
              <w:t xml:space="preserve">anglais et </w:t>
            </w:r>
            <w:r w:rsidRPr="00491BD9">
              <w:rPr>
                <w:lang w:val="fr-FR"/>
              </w:rPr>
              <w:t>français</w:t>
            </w:r>
          </w:p>
        </w:tc>
      </w:tr>
    </w:tbl>
    <w:p w14:paraId="138E4841" w14:textId="77777777" w:rsidR="00A658A1" w:rsidRPr="00491BD9" w:rsidRDefault="00A658A1" w:rsidP="007513FE">
      <w:pPr>
        <w:spacing w:before="120"/>
        <w:rPr>
          <w:b/>
          <w:sz w:val="24"/>
          <w:szCs w:val="24"/>
          <w:lang w:val="fr-FR"/>
        </w:rPr>
      </w:pPr>
      <w:r w:rsidRPr="00491BD9">
        <w:rPr>
          <w:b/>
          <w:sz w:val="24"/>
          <w:szCs w:val="24"/>
          <w:lang w:val="fr-FR"/>
        </w:rPr>
        <w:t>Comité d’experts du transport des marchandises dangereuses</w:t>
      </w:r>
      <w:r w:rsidRPr="00491BD9">
        <w:rPr>
          <w:b/>
          <w:sz w:val="24"/>
          <w:szCs w:val="24"/>
          <w:lang w:val="fr-FR"/>
        </w:rPr>
        <w:br/>
        <w:t>et du Système général harmonisé de classification</w:t>
      </w:r>
      <w:r w:rsidRPr="00491BD9">
        <w:rPr>
          <w:b/>
          <w:sz w:val="24"/>
          <w:szCs w:val="24"/>
          <w:lang w:val="fr-FR"/>
        </w:rPr>
        <w:br/>
        <w:t>et d’étiquetage des produits chimiques</w:t>
      </w:r>
    </w:p>
    <w:p w14:paraId="51841B9B" w14:textId="24B36BB5" w:rsidR="00B61BC8" w:rsidRPr="00B61BC8" w:rsidRDefault="00B61BC8" w:rsidP="00B61BC8">
      <w:pPr>
        <w:keepNext/>
        <w:keepLines/>
        <w:tabs>
          <w:tab w:val="right" w:pos="851"/>
        </w:tabs>
        <w:kinsoku/>
        <w:overflowPunct/>
        <w:autoSpaceDE/>
        <w:autoSpaceDN/>
        <w:adjustRightInd/>
        <w:snapToGrid/>
        <w:spacing w:before="360" w:after="240" w:line="300" w:lineRule="exact"/>
        <w:ind w:left="1134" w:right="1134" w:hanging="1134"/>
        <w:rPr>
          <w:b/>
          <w:bCs/>
          <w:sz w:val="28"/>
          <w:lang w:val="fr-FR" w:eastAsia="en-US"/>
        </w:rPr>
      </w:pPr>
      <w:r w:rsidRPr="00B61BC8">
        <w:rPr>
          <w:b/>
          <w:bCs/>
          <w:sz w:val="28"/>
          <w:lang w:val="fr-FR" w:eastAsia="en-US"/>
        </w:rPr>
        <w:tab/>
      </w:r>
      <w:r w:rsidRPr="00B61BC8">
        <w:rPr>
          <w:b/>
          <w:bCs/>
          <w:sz w:val="28"/>
          <w:lang w:val="fr-FR" w:eastAsia="en-US"/>
        </w:rPr>
        <w:tab/>
        <w:t xml:space="preserve">Rapport du Comité d’experts du transport des marchandises dangereuses et du système général harmonisé de classification et d’étiquetage des produits chimiques sur sa </w:t>
      </w:r>
      <w:r w:rsidR="00654930" w:rsidRPr="00491BD9">
        <w:rPr>
          <w:b/>
          <w:bCs/>
          <w:sz w:val="28"/>
          <w:lang w:val="fr-FR" w:eastAsia="en-US"/>
        </w:rPr>
        <w:t>dixième</w:t>
      </w:r>
      <w:r w:rsidRPr="00B61BC8">
        <w:rPr>
          <w:b/>
          <w:bCs/>
          <w:sz w:val="28"/>
          <w:lang w:val="fr-FR" w:eastAsia="en-US"/>
        </w:rPr>
        <w:t xml:space="preserve"> session </w:t>
      </w:r>
    </w:p>
    <w:p w14:paraId="5423F654" w14:textId="1299A5D7" w:rsidR="00B61BC8" w:rsidRPr="00B61BC8" w:rsidRDefault="00B61BC8" w:rsidP="00B61BC8">
      <w:pPr>
        <w:keepNext/>
        <w:keepLines/>
        <w:tabs>
          <w:tab w:val="right" w:pos="851"/>
        </w:tabs>
        <w:kinsoku/>
        <w:overflowPunct/>
        <w:autoSpaceDE/>
        <w:autoSpaceDN/>
        <w:adjustRightInd/>
        <w:snapToGrid/>
        <w:spacing w:before="240" w:after="120" w:line="240" w:lineRule="exact"/>
        <w:ind w:left="1134" w:right="1134" w:hanging="1134"/>
        <w:rPr>
          <w:lang w:val="fr-FR" w:eastAsia="en-US"/>
        </w:rPr>
      </w:pPr>
      <w:r w:rsidRPr="00B61BC8">
        <w:rPr>
          <w:lang w:val="fr-FR" w:eastAsia="en-US"/>
        </w:rPr>
        <w:tab/>
      </w:r>
      <w:r w:rsidRPr="00B61BC8">
        <w:rPr>
          <w:lang w:val="fr-FR" w:eastAsia="en-US"/>
        </w:rPr>
        <w:tab/>
        <w:t xml:space="preserve">tenue à Genève le </w:t>
      </w:r>
      <w:r w:rsidR="00654930" w:rsidRPr="00491BD9">
        <w:rPr>
          <w:lang w:val="fr-FR" w:eastAsia="en-US"/>
        </w:rPr>
        <w:t>11</w:t>
      </w:r>
      <w:r w:rsidRPr="00B61BC8">
        <w:rPr>
          <w:lang w:val="fr-FR" w:eastAsia="en-US"/>
        </w:rPr>
        <w:t xml:space="preserve"> décembre 20</w:t>
      </w:r>
      <w:r w:rsidR="00654930" w:rsidRPr="00491BD9">
        <w:rPr>
          <w:lang w:val="fr-FR" w:eastAsia="en-US"/>
        </w:rPr>
        <w:t>20</w:t>
      </w:r>
    </w:p>
    <w:p w14:paraId="02ADD960" w14:textId="77777777" w:rsidR="00B61BC8" w:rsidRPr="00491BD9" w:rsidRDefault="00B61BC8" w:rsidP="00B61BC8">
      <w:pPr>
        <w:pStyle w:val="H23G"/>
        <w:rPr>
          <w:lang w:val="fr-FR" w:eastAsia="en-US"/>
        </w:rPr>
      </w:pPr>
      <w:r w:rsidRPr="00491BD9">
        <w:rPr>
          <w:lang w:val="fr-FR" w:eastAsia="en-US"/>
        </w:rPr>
        <w:tab/>
      </w:r>
      <w:r w:rsidRPr="00491BD9">
        <w:rPr>
          <w:lang w:val="fr-FR" w:eastAsia="en-US"/>
        </w:rPr>
        <w:tab/>
        <w:t>Additif</w:t>
      </w:r>
    </w:p>
    <w:p w14:paraId="6278D7B8" w14:textId="77777777" w:rsidR="00B61BC8" w:rsidRPr="00B61BC8" w:rsidRDefault="00B61BC8" w:rsidP="00B61BC8">
      <w:pPr>
        <w:keepNext/>
        <w:keepLines/>
        <w:tabs>
          <w:tab w:val="right" w:pos="851"/>
        </w:tabs>
        <w:kinsoku/>
        <w:overflowPunct/>
        <w:autoSpaceDE/>
        <w:autoSpaceDN/>
        <w:adjustRightInd/>
        <w:snapToGrid/>
        <w:spacing w:before="360" w:after="240" w:line="270" w:lineRule="exact"/>
        <w:ind w:left="1134" w:right="1134" w:hanging="1134"/>
        <w:rPr>
          <w:b/>
          <w:sz w:val="24"/>
          <w:lang w:val="fr-FR" w:eastAsia="en-US"/>
        </w:rPr>
      </w:pPr>
      <w:r w:rsidRPr="00B61BC8">
        <w:rPr>
          <w:b/>
          <w:sz w:val="24"/>
          <w:lang w:val="fr-FR" w:eastAsia="en-US"/>
        </w:rPr>
        <w:tab/>
      </w:r>
      <w:r w:rsidRPr="00B61BC8">
        <w:rPr>
          <w:b/>
          <w:sz w:val="24"/>
          <w:lang w:val="fr-FR" w:eastAsia="en-US"/>
        </w:rPr>
        <w:tab/>
        <w:t>Annexe II</w:t>
      </w:r>
    </w:p>
    <w:p w14:paraId="50F88F41" w14:textId="53E5125F" w:rsidR="00B61BC8" w:rsidRPr="00491BD9" w:rsidRDefault="00B61BC8" w:rsidP="00B61BC8">
      <w:pPr>
        <w:keepNext/>
        <w:keepLines/>
        <w:tabs>
          <w:tab w:val="right" w:pos="851"/>
        </w:tabs>
        <w:kinsoku/>
        <w:overflowPunct/>
        <w:autoSpaceDE/>
        <w:autoSpaceDN/>
        <w:adjustRightInd/>
        <w:snapToGrid/>
        <w:spacing w:before="360" w:after="240" w:line="270" w:lineRule="exact"/>
        <w:ind w:left="1134" w:right="1134" w:hanging="1134"/>
        <w:rPr>
          <w:b/>
          <w:sz w:val="24"/>
          <w:lang w:val="fr-FR" w:eastAsia="en-US"/>
        </w:rPr>
      </w:pPr>
      <w:r w:rsidRPr="00B61BC8">
        <w:rPr>
          <w:b/>
          <w:sz w:val="24"/>
          <w:lang w:val="fr-FR" w:eastAsia="en-US"/>
        </w:rPr>
        <w:tab/>
      </w:r>
      <w:r w:rsidRPr="00B61BC8">
        <w:rPr>
          <w:b/>
          <w:sz w:val="24"/>
          <w:lang w:val="fr-FR" w:eastAsia="en-US"/>
        </w:rPr>
        <w:tab/>
        <w:t xml:space="preserve">Amendements à la </w:t>
      </w:r>
      <w:r w:rsidR="00654930" w:rsidRPr="00491BD9">
        <w:rPr>
          <w:b/>
          <w:sz w:val="24"/>
          <w:lang w:val="fr-FR" w:eastAsia="en-US"/>
        </w:rPr>
        <w:t>septième</w:t>
      </w:r>
      <w:r w:rsidRPr="00B61BC8">
        <w:rPr>
          <w:b/>
          <w:sz w:val="24"/>
          <w:lang w:val="fr-FR" w:eastAsia="en-US"/>
        </w:rPr>
        <w:t xml:space="preserve"> édition révisée </w:t>
      </w:r>
      <w:r w:rsidR="00C80930">
        <w:rPr>
          <w:b/>
          <w:sz w:val="24"/>
          <w:lang w:val="fr-FR" w:eastAsia="en-US"/>
        </w:rPr>
        <w:t>du</w:t>
      </w:r>
      <w:r w:rsidRPr="00B61BC8">
        <w:rPr>
          <w:b/>
          <w:sz w:val="24"/>
          <w:lang w:val="fr-FR" w:eastAsia="en-US"/>
        </w:rPr>
        <w:t xml:space="preserve"> Manuel d’épreuves et de critères (ST/SG/AC.10/11/Rev.</w:t>
      </w:r>
      <w:r w:rsidR="00654930" w:rsidRPr="00491BD9">
        <w:rPr>
          <w:b/>
          <w:sz w:val="24"/>
          <w:lang w:val="fr-FR" w:eastAsia="en-US"/>
        </w:rPr>
        <w:t>7</w:t>
      </w:r>
      <w:r w:rsidRPr="00B61BC8">
        <w:rPr>
          <w:b/>
          <w:sz w:val="24"/>
          <w:lang w:val="fr-FR" w:eastAsia="en-US"/>
        </w:rPr>
        <w:t>)</w:t>
      </w:r>
    </w:p>
    <w:p w14:paraId="76084F5A" w14:textId="6FD8622D" w:rsidR="00737D00" w:rsidRPr="00491BD9" w:rsidRDefault="00737D00" w:rsidP="0069428A">
      <w:pPr>
        <w:pStyle w:val="SingleTxtG"/>
        <w:rPr>
          <w:lang w:val="fr-FR"/>
        </w:rPr>
      </w:pPr>
    </w:p>
    <w:p w14:paraId="5C0AEB38" w14:textId="6F3F0AC6" w:rsidR="00950315" w:rsidRPr="00491BD9" w:rsidRDefault="00950315">
      <w:pPr>
        <w:suppressAutoHyphens w:val="0"/>
        <w:kinsoku/>
        <w:overflowPunct/>
        <w:autoSpaceDE/>
        <w:autoSpaceDN/>
        <w:adjustRightInd/>
        <w:snapToGrid/>
        <w:spacing w:after="200" w:line="276" w:lineRule="auto"/>
        <w:rPr>
          <w:lang w:val="fr-FR" w:eastAsia="en-US"/>
        </w:rPr>
      </w:pPr>
      <w:r w:rsidRPr="00491BD9">
        <w:rPr>
          <w:lang w:val="fr-FR" w:eastAsia="en-US"/>
        </w:rPr>
        <w:br w:type="page"/>
      </w:r>
    </w:p>
    <w:p w14:paraId="3162C3F1" w14:textId="77777777" w:rsidR="00FD4439" w:rsidRPr="00491BD9" w:rsidRDefault="00FD4439" w:rsidP="00FD4439">
      <w:pPr>
        <w:keepNext/>
        <w:keepLines/>
        <w:tabs>
          <w:tab w:val="right" w:pos="851"/>
        </w:tabs>
        <w:spacing w:before="360" w:after="240" w:line="270" w:lineRule="exact"/>
        <w:ind w:left="1134" w:right="1134" w:hanging="1134"/>
        <w:rPr>
          <w:b/>
          <w:sz w:val="24"/>
          <w:lang w:val="fr-FR"/>
        </w:rPr>
      </w:pPr>
      <w:r w:rsidRPr="00491BD9">
        <w:rPr>
          <w:b/>
          <w:sz w:val="24"/>
          <w:lang w:val="fr-FR"/>
        </w:rPr>
        <w:lastRenderedPageBreak/>
        <w:tab/>
      </w:r>
      <w:r w:rsidRPr="00491BD9">
        <w:rPr>
          <w:b/>
          <w:sz w:val="24"/>
          <w:lang w:val="fr-FR"/>
        </w:rPr>
        <w:tab/>
        <w:t>Table des matières générale</w:t>
      </w:r>
    </w:p>
    <w:p w14:paraId="3503CF24" w14:textId="77777777" w:rsidR="00FD4439" w:rsidRPr="00491BD9" w:rsidRDefault="00FD4439" w:rsidP="000C0279">
      <w:pPr>
        <w:tabs>
          <w:tab w:val="left" w:pos="2268"/>
        </w:tabs>
        <w:spacing w:after="120"/>
        <w:ind w:left="2268" w:right="1134" w:hanging="1134"/>
        <w:jc w:val="both"/>
        <w:rPr>
          <w:lang w:val="fr-FR"/>
        </w:rPr>
      </w:pPr>
      <w:r w:rsidRPr="00491BD9">
        <w:rPr>
          <w:lang w:val="fr-FR"/>
        </w:rPr>
        <w:t>13</w:t>
      </w:r>
      <w:r w:rsidRPr="00491BD9">
        <w:rPr>
          <w:lang w:val="fr-FR"/>
        </w:rPr>
        <w:tab/>
        <w:t>Remplacer « est une matière explosible instable » par « peut être affectée à une division ».</w:t>
      </w:r>
    </w:p>
    <w:p w14:paraId="6E2E62B4" w14:textId="77777777" w:rsidR="00FD4439" w:rsidRPr="00491BD9" w:rsidRDefault="00FD4439" w:rsidP="000C0279">
      <w:pPr>
        <w:tabs>
          <w:tab w:val="left" w:pos="2268"/>
        </w:tabs>
        <w:spacing w:after="120"/>
        <w:ind w:left="2268" w:right="1134" w:hanging="1134"/>
        <w:jc w:val="both"/>
        <w:rPr>
          <w:lang w:val="fr-FR"/>
        </w:rPr>
      </w:pPr>
      <w:r w:rsidRPr="00491BD9">
        <w:rPr>
          <w:lang w:val="fr-FR"/>
        </w:rPr>
        <w:t>14</w:t>
      </w:r>
      <w:r w:rsidRPr="00491BD9">
        <w:rPr>
          <w:lang w:val="fr-FR"/>
        </w:rPr>
        <w:tab/>
        <w:t>Remplacer « </w:t>
      </w:r>
      <w:r w:rsidRPr="00491BD9">
        <w:rPr>
          <w:szCs w:val="22"/>
          <w:lang w:val="fr-FR"/>
        </w:rPr>
        <w:t>sont trop dangereux pour le transport et sont classés</w:t>
      </w:r>
      <w:r w:rsidRPr="00491BD9">
        <w:rPr>
          <w:szCs w:val="22"/>
          <w:lang w:val="fr-FR"/>
        </w:rPr>
        <w:br/>
        <w:t>comme des explosifs instables selon le GHS » par « peut être affecté à une division ».</w:t>
      </w:r>
    </w:p>
    <w:p w14:paraId="5E5311B6" w14:textId="77777777" w:rsidR="00833C9F" w:rsidRPr="00491BD9" w:rsidRDefault="00833C9F" w:rsidP="00833C9F">
      <w:pPr>
        <w:keepNext/>
        <w:keepLines/>
        <w:tabs>
          <w:tab w:val="right" w:pos="851"/>
        </w:tabs>
        <w:spacing w:before="360" w:after="240" w:line="270" w:lineRule="exact"/>
        <w:ind w:left="1134" w:right="1134" w:hanging="1134"/>
        <w:rPr>
          <w:b/>
          <w:sz w:val="24"/>
          <w:lang w:val="fr-FR"/>
        </w:rPr>
      </w:pPr>
      <w:r w:rsidRPr="00491BD9">
        <w:rPr>
          <w:b/>
          <w:sz w:val="24"/>
          <w:lang w:val="fr-FR"/>
        </w:rPr>
        <w:tab/>
      </w:r>
      <w:r w:rsidRPr="00491BD9">
        <w:rPr>
          <w:b/>
          <w:sz w:val="24"/>
          <w:lang w:val="fr-FR"/>
        </w:rPr>
        <w:tab/>
        <w:t>Section 10</w:t>
      </w:r>
    </w:p>
    <w:p w14:paraId="33DB4E3B" w14:textId="77777777" w:rsidR="00833C9F" w:rsidRPr="00491BD9" w:rsidRDefault="00833C9F" w:rsidP="00833C9F">
      <w:pPr>
        <w:tabs>
          <w:tab w:val="left" w:pos="2268"/>
        </w:tabs>
        <w:spacing w:after="120"/>
        <w:ind w:left="1134" w:right="1134"/>
        <w:jc w:val="both"/>
        <w:rPr>
          <w:lang w:val="fr-FR"/>
        </w:rPr>
      </w:pPr>
      <w:r w:rsidRPr="00491BD9">
        <w:rPr>
          <w:lang w:val="fr-FR"/>
        </w:rPr>
        <w:t>10.1.2</w:t>
      </w:r>
      <w:r w:rsidRPr="00491BD9">
        <w:rPr>
          <w:lang w:val="fr-FR"/>
        </w:rPr>
        <w:tab/>
        <w:t>Modifier pour lire comme suit :</w:t>
      </w:r>
    </w:p>
    <w:p w14:paraId="7F550279" w14:textId="77777777" w:rsidR="00833C9F" w:rsidRPr="00491BD9" w:rsidRDefault="00833C9F" w:rsidP="00833C9F">
      <w:pPr>
        <w:pStyle w:val="SingleTxtG"/>
        <w:rPr>
          <w:lang w:val="fr-FR"/>
        </w:rPr>
      </w:pPr>
      <w:r w:rsidRPr="00491BD9">
        <w:rPr>
          <w:lang w:val="fr-FR"/>
        </w:rPr>
        <w:t>« 10.1.2</w:t>
      </w:r>
      <w:r w:rsidRPr="00491BD9">
        <w:rPr>
          <w:lang w:val="fr-FR"/>
        </w:rPr>
        <w:tab/>
        <w:t xml:space="preserve">La classe de danger des matières et objets explosibles du SGH couvre tous les secteurs. La classe 1 du Règlement type est une subdivision de cette classe et porte sur les matières et objets explosibles configurés pour le transport. </w:t>
      </w:r>
    </w:p>
    <w:p w14:paraId="7B4CE260" w14:textId="4A5641AD" w:rsidR="00833C9F" w:rsidRPr="00491BD9" w:rsidRDefault="00833C9F" w:rsidP="00F54810">
      <w:pPr>
        <w:pStyle w:val="SingleTxtG"/>
        <w:ind w:firstLine="1134"/>
        <w:rPr>
          <w:lang w:val="fr-FR"/>
        </w:rPr>
      </w:pPr>
      <w:r w:rsidRPr="00491BD9">
        <w:rPr>
          <w:lang w:val="fr-FR"/>
        </w:rPr>
        <w:t>Les marchandises de la classe 1 doivent être affectées à l’une des six divisions de danger en fonction de la nature du danger qu’elles présentent (voir le chapitre 2.1, par. 2.1.1.4 du Règlement type) et à l’un des 13 groupes de compatibilité auxquels sont affectés les matières et objets explosibles. La division, et au besoin le groupe de compatibilité, est également utilisée comme base pour la classification dans la classe de danger du SGH pour les matières et objets explosibles (voir sect. 2.1.2 du chapitre 2.1 du SGH). En outre, la classe de danger du SGH comprend également des matières et objets explosibles qui ne sont pas affectés à une division.</w:t>
      </w:r>
    </w:p>
    <w:p w14:paraId="4F9577FB" w14:textId="2CBF84CC" w:rsidR="00833C9F" w:rsidRPr="00491BD9" w:rsidRDefault="00833C9F" w:rsidP="00F54810">
      <w:pPr>
        <w:pStyle w:val="SingleTxtG"/>
        <w:ind w:firstLine="1134"/>
        <w:rPr>
          <w:lang w:val="fr-FR"/>
        </w:rPr>
      </w:pPr>
      <w:r w:rsidRPr="00491BD9">
        <w:rPr>
          <w:lang w:val="fr-FR"/>
        </w:rPr>
        <w:t>Les matières et objets explosibles qui ne sont pas affectés à une division sont interdits au transport. ».</w:t>
      </w:r>
    </w:p>
    <w:p w14:paraId="6224C3AF" w14:textId="485CE6C3" w:rsidR="00E71DEE" w:rsidRPr="00491BD9" w:rsidRDefault="00833C9F" w:rsidP="00E71DEE">
      <w:pPr>
        <w:pStyle w:val="SingleTxtG"/>
        <w:ind w:left="2268"/>
        <w:rPr>
          <w:lang w:val="fr-FR"/>
        </w:rPr>
      </w:pPr>
      <w:r w:rsidRPr="00491BD9">
        <w:rPr>
          <w:lang w:val="fr-FR"/>
        </w:rPr>
        <w:t>Le texte existant au 10.1.2, de « La procédure générale de classement… » jusqu’à la fin, est transféré en un nouveau 10.1.3</w:t>
      </w:r>
      <w:r w:rsidR="008723B0">
        <w:rPr>
          <w:lang w:val="fr-FR"/>
        </w:rPr>
        <w:t>.</w:t>
      </w:r>
    </w:p>
    <w:p w14:paraId="1AC644E3" w14:textId="4808FEAB" w:rsidR="00833C9F" w:rsidRPr="00491BD9" w:rsidRDefault="00140869" w:rsidP="00C964E1">
      <w:pPr>
        <w:pStyle w:val="SingleTxtG"/>
        <w:ind w:left="2268"/>
        <w:rPr>
          <w:spacing w:val="-2"/>
          <w:lang w:val="fr-FR"/>
        </w:rPr>
      </w:pPr>
      <w:r w:rsidRPr="00491BD9">
        <w:rPr>
          <w:spacing w:val="-2"/>
          <w:lang w:val="fr-FR"/>
        </w:rPr>
        <w:t xml:space="preserve">Renuméroter </w:t>
      </w:r>
      <w:r>
        <w:rPr>
          <w:spacing w:val="-2"/>
          <w:lang w:val="fr-FR"/>
        </w:rPr>
        <w:t xml:space="preserve">les paragraphes 10.1.3 et 10.14 </w:t>
      </w:r>
      <w:r w:rsidRPr="00491BD9">
        <w:rPr>
          <w:spacing w:val="-2"/>
          <w:lang w:val="fr-FR"/>
        </w:rPr>
        <w:t>en tant que 10.1.4</w:t>
      </w:r>
      <w:r w:rsidRPr="00491BD9" w:rsidDel="008723B0">
        <w:rPr>
          <w:lang w:val="fr-FR"/>
        </w:rPr>
        <w:t xml:space="preserve"> </w:t>
      </w:r>
      <w:r>
        <w:rPr>
          <w:spacing w:val="-2"/>
          <w:lang w:val="fr-FR"/>
        </w:rPr>
        <w:t>et 10.15</w:t>
      </w:r>
      <w:r w:rsidR="002B59AB">
        <w:rPr>
          <w:spacing w:val="-2"/>
          <w:lang w:val="fr-FR"/>
        </w:rPr>
        <w:t>.</w:t>
      </w:r>
    </w:p>
    <w:p w14:paraId="0BC59324" w14:textId="052A352D" w:rsidR="00833C9F" w:rsidRPr="00491BD9" w:rsidRDefault="00833C9F" w:rsidP="00833C9F">
      <w:pPr>
        <w:pStyle w:val="SingleTxtG"/>
        <w:tabs>
          <w:tab w:val="left" w:pos="2268"/>
        </w:tabs>
        <w:ind w:left="2268" w:hanging="1134"/>
        <w:rPr>
          <w:spacing w:val="-2"/>
          <w:lang w:val="fr-FR"/>
        </w:rPr>
      </w:pPr>
      <w:r w:rsidRPr="00491BD9">
        <w:rPr>
          <w:spacing w:val="-2"/>
          <w:lang w:val="fr-FR"/>
        </w:rPr>
        <w:t>10.1.</w:t>
      </w:r>
      <w:r w:rsidR="008E5FF6">
        <w:rPr>
          <w:spacing w:val="-2"/>
          <w:lang w:val="fr-FR"/>
        </w:rPr>
        <w:t xml:space="preserve">4 </w:t>
      </w:r>
      <w:r w:rsidR="002B59AB">
        <w:rPr>
          <w:spacing w:val="-2"/>
          <w:lang w:val="fr-FR"/>
        </w:rPr>
        <w:t>(renuméroté)</w:t>
      </w:r>
      <w:r w:rsidRPr="00491BD9">
        <w:rPr>
          <w:spacing w:val="-2"/>
          <w:lang w:val="fr-FR"/>
        </w:rPr>
        <w:tab/>
        <w:t>Dans la première phrase, remplacer « présentés au transport » par « configurés pour le transport ». Dans la dernière phrase, remplacer « pour le transport » par « dans la configuration de transport ».</w:t>
      </w:r>
    </w:p>
    <w:p w14:paraId="34F3A434" w14:textId="77777777" w:rsidR="008E5FF6" w:rsidRPr="00491BD9" w:rsidRDefault="008E5FF6" w:rsidP="008E5FF6">
      <w:pPr>
        <w:tabs>
          <w:tab w:val="left" w:pos="2268"/>
        </w:tabs>
        <w:spacing w:after="120"/>
        <w:ind w:left="2268" w:right="1134" w:hanging="1134"/>
        <w:jc w:val="both"/>
        <w:rPr>
          <w:lang w:val="fr-FR"/>
        </w:rPr>
      </w:pPr>
      <w:r w:rsidRPr="00491BD9">
        <w:rPr>
          <w:lang w:val="fr-FR"/>
        </w:rPr>
        <w:t>10.3.1.1</w:t>
      </w:r>
      <w:r w:rsidRPr="00491BD9">
        <w:rPr>
          <w:lang w:val="fr-FR"/>
        </w:rPr>
        <w:tab/>
        <w:t>Modifier pour lire comme suit :</w:t>
      </w:r>
    </w:p>
    <w:p w14:paraId="01EF33F0" w14:textId="4BCF612F" w:rsidR="008E5FF6" w:rsidRPr="00491BD9" w:rsidRDefault="008E5FF6" w:rsidP="008E5FF6">
      <w:pPr>
        <w:tabs>
          <w:tab w:val="left" w:pos="2268"/>
        </w:tabs>
        <w:spacing w:after="120"/>
        <w:ind w:left="1134" w:right="1134"/>
        <w:jc w:val="both"/>
        <w:rPr>
          <w:lang w:val="fr-FR"/>
        </w:rPr>
      </w:pPr>
      <w:r w:rsidRPr="00491BD9">
        <w:rPr>
          <w:lang w:val="fr-FR"/>
        </w:rPr>
        <w:t>« 10.3.1.1</w:t>
      </w:r>
      <w:r w:rsidRPr="00491BD9">
        <w:rPr>
          <w:lang w:val="fr-FR"/>
        </w:rPr>
        <w:tab/>
        <w:t>La procédure d’acceptation vise à déterminer si une matière telle que présentée pour la classification est susceptible d’appartenir à la classe des matières et objets explosibles. À cette fin, on contrôle qu’une matière n’est pas trop insensible pour relever de cette classe ou est acceptée comme matière explosible mais est considérée comme trop sensible aux sollicitations mécaniques, à la chaleur ou à la flamme pour être affectée à une division ou si l’objet proprement dit ou l’objet emballé est accepté comme objet explosible mais considéré comme trop sensible aux chocs ou à la chaleur pour être affecté à une division. »</w:t>
      </w:r>
    </w:p>
    <w:p w14:paraId="778F0D61" w14:textId="248FE795" w:rsidR="005516EE" w:rsidRDefault="00833C9F" w:rsidP="00833C9F">
      <w:pPr>
        <w:pStyle w:val="SingleTxtG"/>
        <w:tabs>
          <w:tab w:val="left" w:pos="2268"/>
        </w:tabs>
        <w:ind w:left="2268" w:hanging="1134"/>
        <w:rPr>
          <w:lang w:val="fr-FR"/>
        </w:rPr>
      </w:pPr>
      <w:r w:rsidRPr="00491BD9">
        <w:rPr>
          <w:lang w:val="fr-FR"/>
        </w:rPr>
        <w:t>Figure 10.1</w:t>
      </w:r>
      <w:r w:rsidRPr="00491BD9">
        <w:rPr>
          <w:lang w:val="fr-FR"/>
        </w:rPr>
        <w:tab/>
      </w:r>
      <w:r w:rsidR="00585B7D">
        <w:rPr>
          <w:lang w:val="fr-FR"/>
        </w:rPr>
        <w:t>Modifier</w:t>
      </w:r>
      <w:r w:rsidR="00585B7D" w:rsidRPr="00491BD9">
        <w:rPr>
          <w:lang w:val="fr-FR"/>
        </w:rPr>
        <w:t xml:space="preserve"> </w:t>
      </w:r>
      <w:r w:rsidRPr="00491BD9">
        <w:rPr>
          <w:lang w:val="fr-FR"/>
        </w:rPr>
        <w:t>la case « CLASSER comme MATIÈRE OU OBJET EXPLOSIBLE INSTABLE »</w:t>
      </w:r>
      <w:r w:rsidR="005516EE">
        <w:rPr>
          <w:lang w:val="fr-FR"/>
        </w:rPr>
        <w:t xml:space="preserve"> pour lire :</w:t>
      </w:r>
    </w:p>
    <w:p w14:paraId="56EDF0AC" w14:textId="70E5EF66" w:rsidR="00833C9F" w:rsidRPr="00491BD9" w:rsidRDefault="005516EE" w:rsidP="00AE0849">
      <w:pPr>
        <w:pStyle w:val="SingleTxtG"/>
        <w:tabs>
          <w:tab w:val="left" w:pos="1134"/>
        </w:tabs>
        <w:jc w:val="center"/>
        <w:rPr>
          <w:lang w:val="fr-FR"/>
        </w:rPr>
      </w:pPr>
      <w:r>
        <w:rPr>
          <w:lang w:val="fr-FR"/>
        </w:rPr>
        <w:t>« </w:t>
      </w:r>
      <w:r w:rsidRPr="00491BD9">
        <w:rPr>
          <w:lang w:val="fr-FR"/>
        </w:rPr>
        <w:t>CLASSER COMME MATIÈRE OU OBJET EXPLOSIBLE</w:t>
      </w:r>
      <w:r w:rsidR="00AE0849">
        <w:rPr>
          <w:lang w:val="fr-FR"/>
        </w:rPr>
        <w:br/>
      </w:r>
      <w:r w:rsidR="00833C9F" w:rsidRPr="00491BD9">
        <w:rPr>
          <w:lang w:val="fr-FR"/>
        </w:rPr>
        <w:t>Pas d’affectation à une division »</w:t>
      </w:r>
    </w:p>
    <w:p w14:paraId="30C5BC19" w14:textId="77777777" w:rsidR="00833C9F" w:rsidRPr="00491BD9" w:rsidRDefault="00833C9F" w:rsidP="00833C9F">
      <w:pPr>
        <w:tabs>
          <w:tab w:val="left" w:pos="2268"/>
        </w:tabs>
        <w:spacing w:after="120"/>
        <w:ind w:left="2268" w:right="1134" w:hanging="1134"/>
        <w:jc w:val="both"/>
        <w:rPr>
          <w:lang w:val="fr-FR"/>
        </w:rPr>
      </w:pPr>
      <w:r w:rsidRPr="00491BD9">
        <w:rPr>
          <w:lang w:val="fr-FR"/>
        </w:rPr>
        <w:t>Figure 10.2</w:t>
      </w:r>
      <w:r w:rsidRPr="00491BD9">
        <w:rPr>
          <w:lang w:val="fr-FR"/>
        </w:rPr>
        <w:tab/>
        <w:t>Modifier le texte dans la case 13 pour lire : « Est-elle trop sensible pour être affectée à une division sous la forme éprouvée ? ».</w:t>
      </w:r>
    </w:p>
    <w:p w14:paraId="2CCDE2AD" w14:textId="77777777" w:rsidR="00833C9F" w:rsidRPr="00491BD9" w:rsidRDefault="00833C9F" w:rsidP="00833C9F">
      <w:pPr>
        <w:tabs>
          <w:tab w:val="left" w:pos="2268"/>
        </w:tabs>
        <w:spacing w:after="120"/>
        <w:ind w:left="2268" w:right="1134"/>
        <w:jc w:val="both"/>
        <w:rPr>
          <w:lang w:val="fr-FR"/>
        </w:rPr>
      </w:pPr>
      <w:r w:rsidRPr="00491BD9">
        <w:rPr>
          <w:lang w:val="fr-FR"/>
        </w:rPr>
        <w:t>Modifier le texte dans la case 16 pour lire : « L’objet, l’objet emballé ou la matière emballée sont-ils trop sensibles pour être affectés à une division ? ».</w:t>
      </w:r>
    </w:p>
    <w:p w14:paraId="709A1C73" w14:textId="77777777" w:rsidR="00A160B7" w:rsidRDefault="00833C9F" w:rsidP="00833C9F">
      <w:pPr>
        <w:tabs>
          <w:tab w:val="left" w:pos="2268"/>
        </w:tabs>
        <w:spacing w:after="120"/>
        <w:ind w:left="2268" w:right="1134"/>
        <w:jc w:val="both"/>
        <w:rPr>
          <w:lang w:val="fr-FR"/>
        </w:rPr>
      </w:pPr>
      <w:r w:rsidRPr="00491BD9">
        <w:rPr>
          <w:lang w:val="fr-FR"/>
        </w:rPr>
        <w:t>Modifier le texte dans la case 17 pour lire :</w:t>
      </w:r>
    </w:p>
    <w:p w14:paraId="717DD2C9" w14:textId="24E4BC20" w:rsidR="00833C9F" w:rsidRPr="00491BD9" w:rsidRDefault="00833C9F" w:rsidP="00AE0849">
      <w:pPr>
        <w:pStyle w:val="SingleTxtG"/>
        <w:tabs>
          <w:tab w:val="left" w:pos="1134"/>
        </w:tabs>
        <w:jc w:val="center"/>
        <w:rPr>
          <w:lang w:val="fr-FR"/>
        </w:rPr>
      </w:pPr>
      <w:r w:rsidRPr="00491BD9">
        <w:rPr>
          <w:lang w:val="fr-FR"/>
        </w:rPr>
        <w:t xml:space="preserve">« CLASSER </w:t>
      </w:r>
      <w:r w:rsidR="00A160B7" w:rsidRPr="00491BD9">
        <w:rPr>
          <w:lang w:val="fr-FR"/>
        </w:rPr>
        <w:t>COMME MATIERE OU OBJET EXPLOSIBLE</w:t>
      </w:r>
      <w:r w:rsidR="00AE0849">
        <w:rPr>
          <w:lang w:val="fr-FR"/>
        </w:rPr>
        <w:br/>
      </w:r>
      <w:r w:rsidRPr="00491BD9">
        <w:rPr>
          <w:lang w:val="fr-FR"/>
        </w:rPr>
        <w:t>Pas d’affectation à une division »</w:t>
      </w:r>
    </w:p>
    <w:p w14:paraId="030C599A" w14:textId="77777777" w:rsidR="00833C9F" w:rsidRPr="00491BD9" w:rsidRDefault="00833C9F" w:rsidP="00833C9F">
      <w:pPr>
        <w:tabs>
          <w:tab w:val="left" w:pos="2268"/>
        </w:tabs>
        <w:spacing w:after="120"/>
        <w:ind w:left="2268" w:right="1134"/>
        <w:jc w:val="both"/>
        <w:rPr>
          <w:lang w:val="fr-FR"/>
        </w:rPr>
      </w:pPr>
      <w:r w:rsidRPr="00491BD9">
        <w:rPr>
          <w:lang w:val="fr-FR"/>
        </w:rPr>
        <w:lastRenderedPageBreak/>
        <w:t>Modifier le texte dans la case 19 pour lire : « ACCEPTER PROVISOIREMENT EN TANT QUE MATIERE OU OBJET EXPLOSIBLE (passer à la figure 10.3) ».</w:t>
      </w:r>
    </w:p>
    <w:p w14:paraId="30C9F2A5" w14:textId="528B16D6" w:rsidR="00833C9F" w:rsidRPr="00491BD9" w:rsidRDefault="00833C9F" w:rsidP="00833C9F">
      <w:pPr>
        <w:tabs>
          <w:tab w:val="left" w:pos="2268"/>
        </w:tabs>
        <w:spacing w:after="120"/>
        <w:ind w:left="2268" w:right="1134" w:hanging="1134"/>
        <w:jc w:val="both"/>
        <w:rPr>
          <w:lang w:val="fr-FR"/>
        </w:rPr>
      </w:pPr>
      <w:r w:rsidRPr="00491BD9">
        <w:rPr>
          <w:lang w:val="fr-FR"/>
        </w:rPr>
        <w:t>10.3.2.4</w:t>
      </w:r>
      <w:r w:rsidRPr="00491BD9">
        <w:rPr>
          <w:lang w:val="fr-FR"/>
        </w:rPr>
        <w:tab/>
      </w:r>
      <w:r w:rsidR="00050FE8">
        <w:rPr>
          <w:lang w:val="fr-FR"/>
        </w:rPr>
        <w:t>Dans la première phrase</w:t>
      </w:r>
      <w:r w:rsidRPr="00491BD9">
        <w:rPr>
          <w:lang w:val="fr-FR"/>
        </w:rPr>
        <w:t>, remplacer « Est-elle instable » par « Est-elle trop sensible pour être affectée à une division ».</w:t>
      </w:r>
    </w:p>
    <w:p w14:paraId="7FB6D501" w14:textId="5252ED0A" w:rsidR="00833C9F" w:rsidRPr="00491BD9" w:rsidRDefault="00833C9F" w:rsidP="00833C9F">
      <w:pPr>
        <w:tabs>
          <w:tab w:val="left" w:pos="2268"/>
        </w:tabs>
        <w:spacing w:after="120"/>
        <w:ind w:left="2268" w:right="1134" w:hanging="1134"/>
        <w:jc w:val="both"/>
        <w:rPr>
          <w:lang w:val="fr-FR"/>
        </w:rPr>
      </w:pPr>
      <w:r w:rsidRPr="00491BD9">
        <w:rPr>
          <w:lang w:val="fr-FR"/>
        </w:rPr>
        <w:t>10.3.2.5</w:t>
      </w:r>
      <w:r w:rsidRPr="00491BD9">
        <w:rPr>
          <w:lang w:val="fr-FR"/>
        </w:rPr>
        <w:tab/>
      </w:r>
      <w:r w:rsidR="00050FE8">
        <w:rPr>
          <w:lang w:val="fr-FR"/>
        </w:rPr>
        <w:t>Dans la première phrase</w:t>
      </w:r>
      <w:r w:rsidRPr="00491BD9">
        <w:rPr>
          <w:lang w:val="fr-FR"/>
        </w:rPr>
        <w:t>, remplacer « sont-ils des matières ou objets explosibles instables » par « sont-ils des matières ou objets explosibles trop sensibles pour être affectés à une division ».</w:t>
      </w:r>
    </w:p>
    <w:p w14:paraId="1191DDE0" w14:textId="543ED5B7" w:rsidR="00833C9F" w:rsidRPr="00491BD9" w:rsidRDefault="00833C9F" w:rsidP="00833C9F">
      <w:pPr>
        <w:tabs>
          <w:tab w:val="left" w:pos="2268"/>
        </w:tabs>
        <w:spacing w:after="120"/>
        <w:ind w:left="2268" w:right="1134" w:hanging="1134"/>
        <w:jc w:val="both"/>
        <w:rPr>
          <w:lang w:val="fr-FR"/>
        </w:rPr>
      </w:pPr>
      <w:r w:rsidRPr="00491BD9">
        <w:rPr>
          <w:lang w:val="fr-FR"/>
        </w:rPr>
        <w:t>10.4.1.1</w:t>
      </w:r>
      <w:r w:rsidRPr="00491BD9">
        <w:rPr>
          <w:lang w:val="fr-FR"/>
        </w:rPr>
        <w:tab/>
        <w:t xml:space="preserve">Au début, </w:t>
      </w:r>
      <w:r w:rsidR="00050FE8">
        <w:rPr>
          <w:lang w:val="fr-FR"/>
        </w:rPr>
        <w:t>modifier</w:t>
      </w:r>
      <w:r w:rsidRPr="00491BD9">
        <w:rPr>
          <w:lang w:val="fr-FR"/>
        </w:rPr>
        <w:t xml:space="preserve"> les deux premières phrases </w:t>
      </w:r>
      <w:r w:rsidR="00050FE8">
        <w:rPr>
          <w:lang w:val="fr-FR"/>
        </w:rPr>
        <w:t>pour lire comme suit</w:t>
      </w:r>
      <w:r w:rsidRPr="00491BD9">
        <w:rPr>
          <w:lang w:val="fr-FR"/>
        </w:rPr>
        <w:t> :</w:t>
      </w:r>
    </w:p>
    <w:p w14:paraId="23F9872F" w14:textId="15390F5C" w:rsidR="00833C9F" w:rsidRPr="00491BD9" w:rsidRDefault="00833C9F" w:rsidP="00833C9F">
      <w:pPr>
        <w:spacing w:after="120"/>
        <w:ind w:left="1134" w:right="1134"/>
        <w:jc w:val="both"/>
        <w:rPr>
          <w:lang w:val="fr-FR"/>
        </w:rPr>
      </w:pPr>
      <w:r w:rsidRPr="00491BD9">
        <w:rPr>
          <w:lang w:val="fr-FR"/>
        </w:rPr>
        <w:t>« À moins d’être considérés trop sensibles pour être affectés à une division, les matières et objets explosibles peuvent être affectés à l’une des six divisions de danger, selon le type de danger qu’ils présentent (voir 2.1.1.4 du Règlement type et 2.1.2 du SGH). L’affectation à une division est une condition préalable au transport de matières et objets explosibles (voir par. 10.1.2). La procédure d’affectation (fig. 10.3 et 10.5) décrit de quelle manière on affecte les matières et les objets explosibles à une division. Les matières et objets explosibles peuvent également être classés d’office dans la division 1.1. »</w:t>
      </w:r>
    </w:p>
    <w:p w14:paraId="36C3E161" w14:textId="77777777" w:rsidR="00833C9F" w:rsidRPr="00491BD9" w:rsidRDefault="00833C9F" w:rsidP="00833C9F">
      <w:pPr>
        <w:spacing w:after="120"/>
        <w:ind w:left="1134" w:right="1134"/>
        <w:jc w:val="both"/>
        <w:rPr>
          <w:lang w:val="fr-FR"/>
        </w:rPr>
      </w:pPr>
      <w:r w:rsidRPr="00491BD9">
        <w:rPr>
          <w:lang w:val="fr-FR"/>
        </w:rPr>
        <w:tab/>
      </w:r>
      <w:r w:rsidRPr="00491BD9">
        <w:rPr>
          <w:lang w:val="fr-FR"/>
        </w:rPr>
        <w:tab/>
      </w:r>
      <w:r w:rsidRPr="00491BD9">
        <w:rPr>
          <w:lang w:val="fr-FR"/>
        </w:rPr>
        <w:tab/>
        <w:t>L’amendement à la phrase suivante ne s’applique pas au texte français.</w:t>
      </w:r>
    </w:p>
    <w:p w14:paraId="13AA0EC6" w14:textId="77777777" w:rsidR="00833C9F" w:rsidRPr="00491BD9" w:rsidRDefault="00833C9F" w:rsidP="00833C9F">
      <w:pPr>
        <w:tabs>
          <w:tab w:val="left" w:pos="2268"/>
        </w:tabs>
        <w:spacing w:after="120"/>
        <w:ind w:left="2268" w:right="1134" w:hanging="1134"/>
        <w:jc w:val="both"/>
        <w:rPr>
          <w:lang w:val="fr-FR"/>
        </w:rPr>
      </w:pPr>
      <w:r w:rsidRPr="00491BD9">
        <w:rPr>
          <w:lang w:val="fr-FR"/>
        </w:rPr>
        <w:tab/>
        <w:t>Dans l’avant-dernière phrase, remplacer « 2.1.1.2 b) du SGH » par « 2.1.1.2.1 b) du SGH ».</w:t>
      </w:r>
    </w:p>
    <w:p w14:paraId="5C410034" w14:textId="77777777" w:rsidR="003A04DD" w:rsidRDefault="003A04DD" w:rsidP="003A04DD">
      <w:pPr>
        <w:tabs>
          <w:tab w:val="left" w:pos="2268"/>
        </w:tabs>
        <w:spacing w:after="120"/>
        <w:ind w:left="2268" w:right="1134" w:hanging="1134"/>
        <w:jc w:val="both"/>
        <w:rPr>
          <w:lang w:val="fr-FR"/>
        </w:rPr>
      </w:pPr>
      <w:r w:rsidRPr="00491BD9">
        <w:rPr>
          <w:lang w:val="fr-FR"/>
        </w:rPr>
        <w:t>Figure 10.4</w:t>
      </w:r>
      <w:r w:rsidRPr="00491BD9">
        <w:rPr>
          <w:lang w:val="fr-FR"/>
        </w:rPr>
        <w:tab/>
        <w:t>Modifier le texte dans la case 6 pour lire :</w:t>
      </w:r>
    </w:p>
    <w:p w14:paraId="6DDB6DAC" w14:textId="712FE57D" w:rsidR="003A04DD" w:rsidRPr="00491BD9" w:rsidRDefault="003A04DD" w:rsidP="00262E45">
      <w:pPr>
        <w:tabs>
          <w:tab w:val="left" w:pos="1134"/>
        </w:tabs>
        <w:spacing w:after="120"/>
        <w:ind w:left="1134" w:right="1134"/>
        <w:jc w:val="center"/>
        <w:rPr>
          <w:lang w:val="fr-FR"/>
        </w:rPr>
      </w:pPr>
      <w:r w:rsidRPr="00491BD9">
        <w:rPr>
          <w:lang w:val="fr-FR"/>
        </w:rPr>
        <w:t>« Classement comme matière explosible</w:t>
      </w:r>
      <w:r>
        <w:rPr>
          <w:lang w:val="fr-FR"/>
        </w:rPr>
        <w:t>.</w:t>
      </w:r>
      <w:r w:rsidR="00262E45">
        <w:rPr>
          <w:lang w:val="fr-FR"/>
        </w:rPr>
        <w:br/>
      </w:r>
      <w:r w:rsidRPr="00491BD9">
        <w:rPr>
          <w:lang w:val="fr-FR"/>
        </w:rPr>
        <w:t>Pas d’affectation à une division</w:t>
      </w:r>
      <w:r>
        <w:rPr>
          <w:lang w:val="fr-FR"/>
        </w:rPr>
        <w:t>.</w:t>
      </w:r>
      <w:r w:rsidRPr="00491BD9">
        <w:rPr>
          <w:lang w:val="fr-FR"/>
        </w:rPr>
        <w:t> »</w:t>
      </w:r>
    </w:p>
    <w:p w14:paraId="160B5473" w14:textId="27008FEB" w:rsidR="003A04DD" w:rsidRPr="00491BD9" w:rsidRDefault="003A04DD" w:rsidP="003A04DD">
      <w:pPr>
        <w:tabs>
          <w:tab w:val="left" w:pos="2268"/>
        </w:tabs>
        <w:spacing w:after="120"/>
        <w:ind w:left="2268" w:right="1134" w:hanging="1134"/>
        <w:jc w:val="both"/>
        <w:rPr>
          <w:lang w:val="fr-FR"/>
        </w:rPr>
      </w:pPr>
      <w:r w:rsidRPr="00491BD9">
        <w:rPr>
          <w:lang w:val="fr-FR"/>
        </w:rPr>
        <w:tab/>
        <w:t>Dans la case 7, supprimer « autre qu’instable »</w:t>
      </w:r>
      <w:r>
        <w:rPr>
          <w:lang w:val="fr-FR"/>
        </w:rPr>
        <w:t xml:space="preserve"> </w:t>
      </w:r>
      <w:r w:rsidR="00A5567A">
        <w:rPr>
          <w:lang w:val="fr-FR"/>
        </w:rPr>
        <w:t xml:space="preserve">dans la première phrase </w:t>
      </w:r>
      <w:r>
        <w:rPr>
          <w:lang w:val="fr-FR"/>
        </w:rPr>
        <w:t>et ajouter</w:t>
      </w:r>
      <w:r w:rsidR="00A5567A" w:rsidRPr="00A5567A">
        <w:rPr>
          <w:lang w:val="fr-FR"/>
        </w:rPr>
        <w:t xml:space="preserve"> </w:t>
      </w:r>
      <w:r w:rsidR="00A5567A">
        <w:rPr>
          <w:lang w:val="fr-FR"/>
        </w:rPr>
        <w:t>un point à la fin de la dernière phrase</w:t>
      </w:r>
      <w:r w:rsidRPr="00491BD9">
        <w:rPr>
          <w:lang w:val="fr-FR"/>
        </w:rPr>
        <w:t>.</w:t>
      </w:r>
    </w:p>
    <w:p w14:paraId="3178F3D6" w14:textId="73307E20" w:rsidR="00833C9F" w:rsidRPr="00491BD9" w:rsidRDefault="00833C9F" w:rsidP="00833C9F">
      <w:pPr>
        <w:tabs>
          <w:tab w:val="left" w:pos="2268"/>
        </w:tabs>
        <w:spacing w:after="120"/>
        <w:ind w:left="2268" w:right="1134" w:hanging="1134"/>
        <w:jc w:val="both"/>
        <w:rPr>
          <w:lang w:val="fr-FR"/>
        </w:rPr>
      </w:pPr>
      <w:r w:rsidRPr="00491BD9">
        <w:rPr>
          <w:lang w:val="fr-FR"/>
        </w:rPr>
        <w:t>Figure 10.6 a)</w:t>
      </w:r>
      <w:r w:rsidRPr="00491BD9">
        <w:rPr>
          <w:lang w:val="fr-FR"/>
        </w:rPr>
        <w:tab/>
      </w:r>
      <w:r w:rsidR="00970F34">
        <w:rPr>
          <w:lang w:val="fr-FR"/>
        </w:rPr>
        <w:tab/>
      </w:r>
      <w:r w:rsidR="00970F34">
        <w:rPr>
          <w:lang w:val="fr-FR"/>
        </w:rPr>
        <w:tab/>
      </w:r>
      <w:r w:rsidR="00D35F56">
        <w:rPr>
          <w:lang w:val="fr-FR"/>
        </w:rPr>
        <w:t>M</w:t>
      </w:r>
      <w:r w:rsidRPr="00491BD9">
        <w:rPr>
          <w:lang w:val="fr-FR"/>
        </w:rPr>
        <w:t>odifier l’information pour la case 13 pour lire : « Est-elle trop sensible pour être affectée à une division sous la forme éprouvée ? ».</w:t>
      </w:r>
    </w:p>
    <w:p w14:paraId="1283F488" w14:textId="77777777" w:rsidR="00833C9F" w:rsidRPr="00491BD9" w:rsidRDefault="00833C9F" w:rsidP="00833C9F">
      <w:pPr>
        <w:tabs>
          <w:tab w:val="left" w:pos="2268"/>
        </w:tabs>
        <w:spacing w:after="120"/>
        <w:ind w:left="2268" w:right="1134" w:hanging="1134"/>
        <w:jc w:val="both"/>
        <w:rPr>
          <w:lang w:val="fr-FR"/>
        </w:rPr>
      </w:pPr>
      <w:r w:rsidRPr="00491BD9">
        <w:rPr>
          <w:lang w:val="fr-FR"/>
        </w:rPr>
        <w:t>Figure 10.6 b)</w:t>
      </w:r>
      <w:r w:rsidRPr="00491BD9">
        <w:rPr>
          <w:lang w:val="fr-FR"/>
        </w:rPr>
        <w:tab/>
        <w:t>Modifier le texte dans la case 13 pour lire : « Est-elle trop sensible pour être affectée à une division sous la forme éprouvée ? ».</w:t>
      </w:r>
    </w:p>
    <w:p w14:paraId="6B48CBE9" w14:textId="77777777" w:rsidR="00833C9F" w:rsidRPr="00491BD9" w:rsidRDefault="00833C9F" w:rsidP="00833C9F">
      <w:pPr>
        <w:tabs>
          <w:tab w:val="left" w:pos="2268"/>
        </w:tabs>
        <w:spacing w:after="120"/>
        <w:ind w:left="2268" w:right="1134"/>
        <w:jc w:val="both"/>
        <w:rPr>
          <w:lang w:val="fr-FR"/>
        </w:rPr>
      </w:pPr>
      <w:r w:rsidRPr="00491BD9">
        <w:rPr>
          <w:lang w:val="fr-FR"/>
        </w:rPr>
        <w:t>Modifier le texte dans la case 16 pour lire : « L’objet, l’objet emballé ou la matière emballée sont-ils trop sensibles pour être affectés à une division ? ».</w:t>
      </w:r>
    </w:p>
    <w:p w14:paraId="641B99CA" w14:textId="77777777" w:rsidR="002A64BF" w:rsidRDefault="00833C9F" w:rsidP="00833C9F">
      <w:pPr>
        <w:tabs>
          <w:tab w:val="left" w:pos="2268"/>
        </w:tabs>
        <w:spacing w:after="120"/>
        <w:ind w:left="2268" w:right="1134"/>
        <w:jc w:val="both"/>
        <w:rPr>
          <w:lang w:val="fr-FR"/>
        </w:rPr>
      </w:pPr>
      <w:r w:rsidRPr="00491BD9">
        <w:rPr>
          <w:lang w:val="fr-FR"/>
        </w:rPr>
        <w:t>Modifier le texte dans la case 17 pour lire :</w:t>
      </w:r>
    </w:p>
    <w:p w14:paraId="62C3A6EC" w14:textId="4117AA2C" w:rsidR="00833C9F" w:rsidRPr="00491BD9" w:rsidRDefault="00833C9F" w:rsidP="00D35F56">
      <w:pPr>
        <w:tabs>
          <w:tab w:val="left" w:pos="1134"/>
        </w:tabs>
        <w:spacing w:after="120"/>
        <w:ind w:left="1134" w:right="1134"/>
        <w:jc w:val="center"/>
        <w:rPr>
          <w:lang w:val="fr-FR"/>
        </w:rPr>
      </w:pPr>
      <w:r w:rsidRPr="00491BD9">
        <w:rPr>
          <w:lang w:val="fr-FR"/>
        </w:rPr>
        <w:t xml:space="preserve">« CLASSER </w:t>
      </w:r>
      <w:r w:rsidR="002A64BF" w:rsidRPr="00491BD9">
        <w:rPr>
          <w:lang w:val="fr-FR"/>
        </w:rPr>
        <w:t>COMME MATIERE OU OBJET EXPLOSIBLE</w:t>
      </w:r>
      <w:r w:rsidR="00D35F56">
        <w:rPr>
          <w:lang w:val="fr-FR"/>
        </w:rPr>
        <w:br/>
      </w:r>
      <w:r w:rsidRPr="00491BD9">
        <w:rPr>
          <w:lang w:val="fr-FR"/>
        </w:rPr>
        <w:t>Pas d’affectation à une division »</w:t>
      </w:r>
    </w:p>
    <w:p w14:paraId="06E7A08D" w14:textId="77777777" w:rsidR="00833C9F" w:rsidRPr="00491BD9" w:rsidRDefault="00833C9F" w:rsidP="00833C9F">
      <w:pPr>
        <w:tabs>
          <w:tab w:val="left" w:pos="2268"/>
        </w:tabs>
        <w:spacing w:after="120"/>
        <w:ind w:left="2268" w:right="1134"/>
        <w:jc w:val="both"/>
        <w:rPr>
          <w:lang w:val="fr-FR"/>
        </w:rPr>
      </w:pPr>
      <w:r w:rsidRPr="00491BD9">
        <w:rPr>
          <w:lang w:val="fr-FR"/>
        </w:rPr>
        <w:t>Modifier le texte dans la case 19 pour lire : « ACCEPTER PROVISOIREMENT EN TANT QUE MATIERE OU OBJET EXPLOSIBLE (passer à la figure 10.3) ».</w:t>
      </w:r>
    </w:p>
    <w:p w14:paraId="49EBDCEE" w14:textId="40749C2B" w:rsidR="00833C9F" w:rsidRPr="00491BD9" w:rsidRDefault="00833C9F" w:rsidP="00833C9F">
      <w:pPr>
        <w:tabs>
          <w:tab w:val="left" w:pos="2268"/>
        </w:tabs>
        <w:spacing w:after="120"/>
        <w:ind w:left="2268" w:right="1134" w:hanging="1134"/>
        <w:jc w:val="both"/>
        <w:rPr>
          <w:lang w:val="fr-FR"/>
        </w:rPr>
      </w:pPr>
      <w:r w:rsidRPr="00491BD9">
        <w:rPr>
          <w:lang w:val="fr-FR"/>
        </w:rPr>
        <w:t>Figure 10.7 a)</w:t>
      </w:r>
      <w:r w:rsidRPr="00491BD9">
        <w:rPr>
          <w:lang w:val="fr-FR"/>
        </w:rPr>
        <w:tab/>
      </w:r>
      <w:r w:rsidR="00970F34">
        <w:rPr>
          <w:lang w:val="fr-FR"/>
        </w:rPr>
        <w:tab/>
      </w:r>
      <w:r w:rsidR="00970F34">
        <w:rPr>
          <w:lang w:val="fr-FR"/>
        </w:rPr>
        <w:tab/>
      </w:r>
      <w:r w:rsidR="00D35F56">
        <w:rPr>
          <w:lang w:val="fr-FR"/>
        </w:rPr>
        <w:t>M</w:t>
      </w:r>
      <w:r w:rsidRPr="00491BD9">
        <w:rPr>
          <w:lang w:val="fr-FR"/>
        </w:rPr>
        <w:t>odifier l’information pour la case 13 pour lire : « Est-elle trop sensible pour être affectée à une division sous la forme éprouvée ? ».</w:t>
      </w:r>
    </w:p>
    <w:p w14:paraId="00283D6C" w14:textId="77777777" w:rsidR="00833C9F" w:rsidRPr="00491BD9" w:rsidRDefault="00833C9F" w:rsidP="00833C9F">
      <w:pPr>
        <w:tabs>
          <w:tab w:val="left" w:pos="2268"/>
        </w:tabs>
        <w:spacing w:after="120"/>
        <w:ind w:left="2268" w:right="1134" w:hanging="1134"/>
        <w:jc w:val="both"/>
        <w:rPr>
          <w:lang w:val="fr-FR"/>
        </w:rPr>
      </w:pPr>
      <w:r w:rsidRPr="00491BD9">
        <w:rPr>
          <w:lang w:val="fr-FR"/>
        </w:rPr>
        <w:t>Figure 10.7 b)</w:t>
      </w:r>
      <w:r w:rsidRPr="00491BD9">
        <w:rPr>
          <w:lang w:val="fr-FR"/>
        </w:rPr>
        <w:tab/>
        <w:t>Modifier le texte dans la case 13 pour lire : « Est-elle trop sensible pour être affectée à une division sous la forme éprouvée ? ».</w:t>
      </w:r>
    </w:p>
    <w:p w14:paraId="22C9124E" w14:textId="77777777" w:rsidR="00833C9F" w:rsidRPr="00491BD9" w:rsidRDefault="00833C9F" w:rsidP="00833C9F">
      <w:pPr>
        <w:tabs>
          <w:tab w:val="left" w:pos="2268"/>
        </w:tabs>
        <w:spacing w:after="120"/>
        <w:ind w:left="2268" w:right="1134"/>
        <w:jc w:val="both"/>
        <w:rPr>
          <w:lang w:val="fr-FR"/>
        </w:rPr>
      </w:pPr>
      <w:r w:rsidRPr="00491BD9">
        <w:rPr>
          <w:lang w:val="fr-FR"/>
        </w:rPr>
        <w:t>Modifier le texte dans la case 16 pour lire : « L’objet, l’objet emballé ou la matière emballée sont-ils trop sensibles pour être affectés à une division ? ».</w:t>
      </w:r>
    </w:p>
    <w:p w14:paraId="3BAC766D" w14:textId="77777777" w:rsidR="002A64BF" w:rsidRDefault="00833C9F" w:rsidP="00833C9F">
      <w:pPr>
        <w:tabs>
          <w:tab w:val="left" w:pos="2268"/>
        </w:tabs>
        <w:spacing w:after="120"/>
        <w:ind w:left="2268" w:right="1134"/>
        <w:jc w:val="both"/>
        <w:rPr>
          <w:lang w:val="fr-FR"/>
        </w:rPr>
      </w:pPr>
      <w:r w:rsidRPr="00491BD9">
        <w:rPr>
          <w:lang w:val="fr-FR"/>
        </w:rPr>
        <w:t>Modifier le texte dans la case 17 pour lire :</w:t>
      </w:r>
    </w:p>
    <w:p w14:paraId="16D00B6A" w14:textId="2F9EC917" w:rsidR="00833C9F" w:rsidRPr="00491BD9" w:rsidRDefault="00833C9F" w:rsidP="00826F66">
      <w:pPr>
        <w:tabs>
          <w:tab w:val="left" w:pos="1134"/>
        </w:tabs>
        <w:spacing w:after="120"/>
        <w:ind w:left="1134" w:right="1134"/>
        <w:jc w:val="center"/>
        <w:rPr>
          <w:lang w:val="fr-FR"/>
        </w:rPr>
      </w:pPr>
      <w:r w:rsidRPr="00491BD9">
        <w:rPr>
          <w:lang w:val="fr-FR"/>
        </w:rPr>
        <w:t xml:space="preserve">« CLASSER </w:t>
      </w:r>
      <w:r w:rsidR="002A64BF" w:rsidRPr="00491BD9">
        <w:rPr>
          <w:lang w:val="fr-FR"/>
        </w:rPr>
        <w:t>COMME MATIERE OU OBJET EXPLOSIBLE</w:t>
      </w:r>
      <w:r w:rsidR="00826F66">
        <w:rPr>
          <w:lang w:val="fr-FR"/>
        </w:rPr>
        <w:br/>
      </w:r>
      <w:r w:rsidRPr="00491BD9">
        <w:rPr>
          <w:lang w:val="fr-FR"/>
        </w:rPr>
        <w:t>Pas d’affectation à une division »</w:t>
      </w:r>
    </w:p>
    <w:p w14:paraId="46529189" w14:textId="77777777" w:rsidR="00833C9F" w:rsidRPr="00491BD9" w:rsidRDefault="00833C9F" w:rsidP="00833C9F">
      <w:pPr>
        <w:tabs>
          <w:tab w:val="left" w:pos="2268"/>
        </w:tabs>
        <w:spacing w:after="120"/>
        <w:ind w:left="2268" w:right="1134"/>
        <w:jc w:val="both"/>
        <w:rPr>
          <w:lang w:val="fr-FR"/>
        </w:rPr>
      </w:pPr>
      <w:r w:rsidRPr="00491BD9">
        <w:rPr>
          <w:lang w:val="fr-FR"/>
        </w:rPr>
        <w:t>Modifier le texte dans la case 19 pour lire : « ACCEPTER PROVISOIREMENT EN TANT QUE MATIERE OU OBJET EXPLOSIBLE ».</w:t>
      </w:r>
    </w:p>
    <w:p w14:paraId="48068BC3" w14:textId="77777777" w:rsidR="00833C9F" w:rsidRPr="00491BD9" w:rsidRDefault="00833C9F" w:rsidP="00833C9F">
      <w:pPr>
        <w:pStyle w:val="H1G"/>
        <w:rPr>
          <w:rFonts w:eastAsiaTheme="minorHAnsi"/>
          <w:lang w:val="fr-FR" w:eastAsia="en-US"/>
        </w:rPr>
      </w:pPr>
      <w:r w:rsidRPr="00491BD9">
        <w:rPr>
          <w:rFonts w:eastAsiaTheme="minorHAnsi"/>
          <w:lang w:val="fr-FR" w:eastAsia="en-US"/>
        </w:rPr>
        <w:lastRenderedPageBreak/>
        <w:tab/>
      </w:r>
      <w:r w:rsidRPr="00491BD9">
        <w:rPr>
          <w:rFonts w:eastAsiaTheme="minorHAnsi"/>
          <w:lang w:val="fr-FR" w:eastAsia="en-US"/>
        </w:rPr>
        <w:tab/>
        <w:t>Section 13</w:t>
      </w:r>
    </w:p>
    <w:p w14:paraId="3E2C9B32" w14:textId="77777777" w:rsidR="00833C9F" w:rsidRPr="00491BD9" w:rsidRDefault="00833C9F" w:rsidP="00833C9F">
      <w:pPr>
        <w:pStyle w:val="SingleTxtG"/>
        <w:tabs>
          <w:tab w:val="left" w:pos="2268"/>
        </w:tabs>
        <w:rPr>
          <w:lang w:val="fr-FR" w:eastAsia="en-US"/>
        </w:rPr>
      </w:pPr>
      <w:r w:rsidRPr="00491BD9">
        <w:rPr>
          <w:lang w:val="fr-FR" w:eastAsia="en-US"/>
        </w:rPr>
        <w:t>13.1</w:t>
      </w:r>
      <w:r w:rsidRPr="00491BD9">
        <w:rPr>
          <w:lang w:val="fr-FR" w:eastAsia="en-US"/>
        </w:rPr>
        <w:tab/>
        <w:t>Modifier le paragraphe sous le titre pour lire comme suit et supprimer le Nota :</w:t>
      </w:r>
    </w:p>
    <w:p w14:paraId="504AA175" w14:textId="4507943D" w:rsidR="00833C9F" w:rsidRPr="00491BD9" w:rsidRDefault="00833C9F" w:rsidP="00833C9F">
      <w:pPr>
        <w:pStyle w:val="SingleTxtG"/>
        <w:tabs>
          <w:tab w:val="left" w:pos="2268"/>
        </w:tabs>
        <w:rPr>
          <w:lang w:val="fr-FR" w:eastAsia="en-US"/>
        </w:rPr>
      </w:pPr>
      <w:r w:rsidRPr="00491BD9">
        <w:rPr>
          <w:lang w:val="fr-FR" w:eastAsia="en-US"/>
        </w:rPr>
        <w:t>« Cette série d’épreuves est utilisée pour répondre aux questions des cases 12 et 13 de la figure 10.2 en déterminant la sensibilité de la matière aux sollicitations mécaniques (choc et frottement), ainsi qu’à la chaleur et à la flamme. La réponse à la question de la case 12 est « non » si un résultat positif (+) est obtenu lors de l’épreuve du type 3 c) et si la matière est considérée comme trop sensible pour être affectée à une division. La réponse à la question de la case 13 est « oui » si un résultat positif (+) est obtenu pour l’un quelconque des types d’épreuve 3 a), 3 b) ou 3 d). Si un résultat positif (+) est obtenu, la matière est considérée comme trop sensible pour être affectée à une division dans la forme sous laquelle elle a été éprouvée mais elle peut être soit placée dans un objet, soit flegmatisée, soit emballée pour réduire sa sensibilité aux sollicitations externes. »</w:t>
      </w:r>
    </w:p>
    <w:p w14:paraId="3C21CDC0"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13.4.1.1</w:t>
      </w:r>
      <w:r w:rsidRPr="00491BD9">
        <w:rPr>
          <w:lang w:val="fr-FR" w:eastAsia="en-US"/>
        </w:rPr>
        <w:tab/>
      </w:r>
      <w:r w:rsidRPr="00491BD9">
        <w:rPr>
          <w:lang w:val="fr-FR" w:eastAsia="en-US"/>
        </w:rPr>
        <w:tab/>
        <w:t>Dans la première phrase, remplacer « une matière explosible instable » par « trop sensible pour être affectée à une division ».</w:t>
      </w:r>
    </w:p>
    <w:p w14:paraId="4499CC35"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13.4.1.4.1</w:t>
      </w:r>
      <w:r w:rsidRPr="00491BD9">
        <w:rPr>
          <w:lang w:val="fr-FR" w:eastAsia="en-US"/>
        </w:rPr>
        <w:tab/>
      </w:r>
      <w:r w:rsidRPr="00491BD9">
        <w:rPr>
          <w:lang w:val="fr-FR" w:eastAsia="en-US"/>
        </w:rPr>
        <w:tab/>
        <w:t>Dans la première phrase, remplacer « une matière explosible instable » par « trop sensible pour être affectée à une division ».</w:t>
      </w:r>
    </w:p>
    <w:p w14:paraId="26567BC9"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13.4.1.4.2</w:t>
      </w:r>
      <w:r w:rsidRPr="00491BD9">
        <w:rPr>
          <w:lang w:val="fr-FR" w:eastAsia="en-US"/>
        </w:rPr>
        <w:tab/>
      </w:r>
      <w:r w:rsidRPr="00491BD9">
        <w:rPr>
          <w:lang w:val="fr-FR" w:eastAsia="en-US"/>
        </w:rPr>
        <w:tab/>
        <w:t>Dans la première phrase, remplacer « une matière explosible instable » par « trop sensible pour être affectée à une division ».</w:t>
      </w:r>
    </w:p>
    <w:p w14:paraId="10B18738"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13.4.2.1</w:t>
      </w:r>
      <w:r w:rsidRPr="00491BD9">
        <w:rPr>
          <w:lang w:val="fr-FR" w:eastAsia="en-US"/>
        </w:rPr>
        <w:tab/>
        <w:t>Dans la première phrase, remplacer « une matière explosible instable » par « trop sensible pour être affectée à une division ».</w:t>
      </w:r>
    </w:p>
    <w:p w14:paraId="7AEE45B2"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13.4.2.4</w:t>
      </w:r>
      <w:r w:rsidRPr="00491BD9">
        <w:rPr>
          <w:lang w:val="fr-FR" w:eastAsia="en-US"/>
        </w:rPr>
        <w:tab/>
        <w:t>Dans le paragraphe après les alinéas, dans la première phrase, remplacer « une matière explosible instable » par « trop sensible pour être affectée à une division ».</w:t>
      </w:r>
    </w:p>
    <w:p w14:paraId="444A4939"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13.4.3.1</w:t>
      </w:r>
      <w:r w:rsidRPr="00491BD9">
        <w:rPr>
          <w:lang w:val="fr-FR" w:eastAsia="en-US"/>
        </w:rPr>
        <w:tab/>
      </w:r>
      <w:r w:rsidRPr="00491BD9">
        <w:rPr>
          <w:lang w:val="fr-FR" w:eastAsia="en-US"/>
        </w:rPr>
        <w:tab/>
        <w:t>Dans la première phrase, remplacer « une matière explosible instable » par « trop sensible pour être affectée à une division ».</w:t>
      </w:r>
    </w:p>
    <w:p w14:paraId="0DE2FB6B"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13.4.3.4.1</w:t>
      </w:r>
      <w:r w:rsidRPr="00491BD9">
        <w:rPr>
          <w:lang w:val="fr-FR" w:eastAsia="en-US"/>
        </w:rPr>
        <w:tab/>
        <w:t>Dans le paragraphe après les alinéas, dans la première phrase, remplacer « une matière explosible instable » par « trop sensible pour être affectée à une division ». À la fin, remplacer « jugée comme n’étant pas une matière explosible instable » par « jugée comme trop sensible pour être affectée à une division ».</w:t>
      </w:r>
    </w:p>
    <w:p w14:paraId="0FD793FD"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13.4.3.4.2</w:t>
      </w:r>
      <w:r w:rsidRPr="00491BD9">
        <w:rPr>
          <w:lang w:val="fr-FR" w:eastAsia="en-US"/>
        </w:rPr>
        <w:tab/>
        <w:t>Dans le paragraphe après les alinéas, dans la troisième phrase, remplacer « une matière explosible instable » par « trop sensible pour être affectée à une division ». Dans l’avant-dernière phrase, remplacer « jugée comme n’étant pas une matière explosible instable » par « jugée comme trop sensible pour être affectée à une division ».</w:t>
      </w:r>
    </w:p>
    <w:p w14:paraId="4376A892"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13.4.4.1</w:t>
      </w:r>
      <w:r w:rsidRPr="00491BD9">
        <w:rPr>
          <w:lang w:val="fr-FR" w:eastAsia="en-US"/>
        </w:rPr>
        <w:tab/>
        <w:t>Remplacer « une matière explosible instable » par « trop sensible pour être affectée à une division ».</w:t>
      </w:r>
    </w:p>
    <w:p w14:paraId="070D5543"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13.4.4.4</w:t>
      </w:r>
      <w:r w:rsidRPr="00491BD9">
        <w:rPr>
          <w:lang w:val="fr-FR" w:eastAsia="en-US"/>
        </w:rPr>
        <w:tab/>
        <w:t>Dans le paragraphe après les alinéas, dans la première phrase, remplacer « une matière explosible instable » par « trop sensible pour être affectée à une division ».</w:t>
      </w:r>
    </w:p>
    <w:p w14:paraId="1DA19604"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13.4.5.1</w:t>
      </w:r>
      <w:r w:rsidRPr="00491BD9">
        <w:rPr>
          <w:lang w:val="fr-FR" w:eastAsia="en-US"/>
        </w:rPr>
        <w:tab/>
        <w:t>Dans la première phrase, remplacer « une matière explosible instable » par « trop sensible pour être affectée à une division ».</w:t>
      </w:r>
    </w:p>
    <w:p w14:paraId="043FD232" w14:textId="4BDDC0E6" w:rsidR="00A73AF1" w:rsidRPr="00491BD9" w:rsidRDefault="00A73AF1" w:rsidP="00A73AF1">
      <w:pPr>
        <w:pStyle w:val="SingleTxtG"/>
        <w:tabs>
          <w:tab w:val="left" w:pos="2268"/>
        </w:tabs>
        <w:ind w:left="2268" w:hanging="1134"/>
        <w:rPr>
          <w:lang w:val="fr-FR" w:eastAsia="en-US"/>
        </w:rPr>
      </w:pPr>
      <w:r w:rsidRPr="00491BD9">
        <w:rPr>
          <w:lang w:val="fr-FR" w:eastAsia="en-US"/>
        </w:rPr>
        <w:t>13.4.5.4.</w:t>
      </w:r>
      <w:r>
        <w:rPr>
          <w:lang w:val="fr-FR" w:eastAsia="en-US"/>
        </w:rPr>
        <w:t>2</w:t>
      </w:r>
      <w:r w:rsidRPr="00491BD9">
        <w:rPr>
          <w:lang w:val="fr-FR" w:eastAsia="en-US"/>
        </w:rPr>
        <w:tab/>
        <w:t>Dans la première phrase, remplacer « une matière explosible instable » par « trop sensible pour être affectée à une division ».</w:t>
      </w:r>
    </w:p>
    <w:p w14:paraId="63A48A37"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13.4.5.4.3</w:t>
      </w:r>
      <w:r w:rsidRPr="00491BD9">
        <w:rPr>
          <w:lang w:val="fr-FR" w:eastAsia="en-US"/>
        </w:rPr>
        <w:tab/>
        <w:t>Dans la première phrase, remplacer « une matière explosible instable » par « trop sensible pour être affectée à une division ».</w:t>
      </w:r>
    </w:p>
    <w:p w14:paraId="41E1617A"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13.4.6.1</w:t>
      </w:r>
      <w:r w:rsidRPr="00491BD9">
        <w:rPr>
          <w:lang w:val="fr-FR" w:eastAsia="en-US"/>
        </w:rPr>
        <w:tab/>
        <w:t>Remplacer « une matière explosible instable » par « trop sensible pour être affectée à une division ».</w:t>
      </w:r>
    </w:p>
    <w:p w14:paraId="0F1ADAF0"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lastRenderedPageBreak/>
        <w:t>13.4.6.4.1</w:t>
      </w:r>
      <w:r w:rsidRPr="00491BD9">
        <w:rPr>
          <w:lang w:val="fr-FR" w:eastAsia="en-US"/>
        </w:rPr>
        <w:tab/>
        <w:t>Dans le paragraphe après les alinéas, dans la première phrase, remplacer « une matière explosible instable » par « trop sensible pour être affectée à une division ».</w:t>
      </w:r>
    </w:p>
    <w:p w14:paraId="08624B17"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13.4.6.4.2</w:t>
      </w:r>
      <w:r w:rsidRPr="00491BD9">
        <w:rPr>
          <w:lang w:val="fr-FR" w:eastAsia="en-US"/>
        </w:rPr>
        <w:tab/>
        <w:t>Dans le paragraphe après les alinéas, dans la première phrase, remplacer « une matière explosible instable » par « trop sensible pour être affectée à une division ».</w:t>
      </w:r>
    </w:p>
    <w:p w14:paraId="72E5BC19"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13.4.7.1</w:t>
      </w:r>
      <w:r w:rsidRPr="00491BD9">
        <w:rPr>
          <w:lang w:val="fr-FR" w:eastAsia="en-US"/>
        </w:rPr>
        <w:tab/>
        <w:t>Remplacer « une matière explosible instable » par « trop sensible pour être affectée à une division ».</w:t>
      </w:r>
    </w:p>
    <w:p w14:paraId="00525CB0"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13.4.7.5.1</w:t>
      </w:r>
      <w:r w:rsidRPr="00491BD9">
        <w:rPr>
          <w:lang w:val="fr-FR" w:eastAsia="en-US"/>
        </w:rPr>
        <w:tab/>
        <w:t>Dans la première phrase, remplacer « une matière explosible instable » par « trop sensible pour être affectée à une division ».</w:t>
      </w:r>
    </w:p>
    <w:p w14:paraId="77665ACD"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13.4.7.5.2</w:t>
      </w:r>
      <w:r w:rsidRPr="00491BD9">
        <w:rPr>
          <w:lang w:val="fr-FR" w:eastAsia="en-US"/>
        </w:rPr>
        <w:tab/>
        <w:t>Dans la première phrase, remplacer « une matière explosible instable » par « trop sensible pour être affectée à une division ».</w:t>
      </w:r>
    </w:p>
    <w:p w14:paraId="6989AA3C"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13.5.1.1</w:t>
      </w:r>
      <w:r w:rsidRPr="00491BD9">
        <w:rPr>
          <w:lang w:val="fr-FR" w:eastAsia="en-US"/>
        </w:rPr>
        <w:tab/>
        <w:t>Remplacer « une matière explosible instable » par « trop sensible pour être affectée à une division ».</w:t>
      </w:r>
    </w:p>
    <w:p w14:paraId="09F50195"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13.5.1.4</w:t>
      </w:r>
      <w:r w:rsidRPr="00491BD9">
        <w:rPr>
          <w:lang w:val="fr-FR" w:eastAsia="en-US"/>
        </w:rPr>
        <w:tab/>
        <w:t>Dans le paragraphe après les alinéas, dans la première phrase, remplacer « une matière explosible instable » par « trop sensible pour être affectée à une division ».</w:t>
      </w:r>
    </w:p>
    <w:p w14:paraId="1D2A72AA"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13.5.2.1</w:t>
      </w:r>
      <w:r w:rsidRPr="00491BD9">
        <w:rPr>
          <w:lang w:val="fr-FR" w:eastAsia="en-US"/>
        </w:rPr>
        <w:tab/>
        <w:t>Remplacer « une matière explosible instable » par « trop sensible pour être affectée à une division ».</w:t>
      </w:r>
    </w:p>
    <w:p w14:paraId="6CAF8F83"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13.5.2.4</w:t>
      </w:r>
      <w:r w:rsidRPr="00491BD9">
        <w:rPr>
          <w:lang w:val="fr-FR" w:eastAsia="en-US"/>
        </w:rPr>
        <w:tab/>
        <w:t>Dans le paragraphe après les alinéas, dans la première phrase, remplacer « une matière explosible instable » par « trop sensible pour être affectée à une division ».</w:t>
      </w:r>
    </w:p>
    <w:p w14:paraId="6C9BE367"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13.5.3.1</w:t>
      </w:r>
      <w:r w:rsidRPr="00491BD9">
        <w:rPr>
          <w:lang w:val="fr-FR" w:eastAsia="en-US"/>
        </w:rPr>
        <w:tab/>
        <w:t>Remplacer « une matière explosible instable » par « trop sensible pour être affectée à une division ».</w:t>
      </w:r>
    </w:p>
    <w:p w14:paraId="62408983"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13.5.3.4</w:t>
      </w:r>
      <w:r w:rsidRPr="00491BD9">
        <w:rPr>
          <w:lang w:val="fr-FR" w:eastAsia="en-US"/>
        </w:rPr>
        <w:tab/>
        <w:t>Dans le paragraphe après les alinéas, dans la première phrase, remplacer « une matière explosible instable » par « trop sensible pour être affectée à une division ».</w:t>
      </w:r>
    </w:p>
    <w:p w14:paraId="49D423EF"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13.5.4.1</w:t>
      </w:r>
      <w:r w:rsidRPr="00491BD9">
        <w:rPr>
          <w:lang w:val="fr-FR" w:eastAsia="en-US"/>
        </w:rPr>
        <w:tab/>
        <w:t>Remplacer « une matière explosible instable » par « trop sensible pour être affectée à une division ».</w:t>
      </w:r>
    </w:p>
    <w:p w14:paraId="6711ECF4"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13.5.4.5</w:t>
      </w:r>
      <w:r w:rsidRPr="00491BD9">
        <w:rPr>
          <w:lang w:val="fr-FR" w:eastAsia="en-US"/>
        </w:rPr>
        <w:tab/>
        <w:t>Dans la première phrase, remplacer « une matière explosible instable » par « trop sensible pour être affectée à une division ».</w:t>
      </w:r>
    </w:p>
    <w:p w14:paraId="1269FCD4"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13.6.1.3.1</w:t>
      </w:r>
      <w:r w:rsidRPr="00491BD9">
        <w:rPr>
          <w:lang w:val="fr-FR" w:eastAsia="en-US"/>
        </w:rPr>
        <w:tab/>
      </w:r>
      <w:r w:rsidRPr="00491BD9">
        <w:rPr>
          <w:lang w:val="fr-FR" w:eastAsia="en-US"/>
        </w:rPr>
        <w:tab/>
        <w:t>Remplacer « thermiquement trop instable pour le transport et doit être catégorisée comme une matière explosible instable » par « trop sensible pour être affectée à une division ».</w:t>
      </w:r>
    </w:p>
    <w:p w14:paraId="4B7711A9"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13.6.1.4.2</w:t>
      </w:r>
      <w:r w:rsidRPr="00491BD9">
        <w:rPr>
          <w:lang w:val="fr-FR" w:eastAsia="en-US"/>
        </w:rPr>
        <w:tab/>
        <w:t>Remplacer « , doit être catégorisée comme explosible instable et ne doit pas être autorisée pour le transport » par « et donc trop sensible pour être affectée à une division ».</w:t>
      </w:r>
    </w:p>
    <w:p w14:paraId="7C66020A"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13.6.2.4.2</w:t>
      </w:r>
      <w:r w:rsidRPr="00491BD9">
        <w:rPr>
          <w:lang w:val="fr-FR" w:eastAsia="en-US"/>
        </w:rPr>
        <w:tab/>
        <w:t xml:space="preserve">Remplacer « , doit être catégorisée comme explosible instable et ne doit pas être autorisée pour le transport » par « et donc trop sensible pour être affectée à une division ». </w:t>
      </w:r>
    </w:p>
    <w:p w14:paraId="0F33000C"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13.7.1.3</w:t>
      </w:r>
      <w:r w:rsidRPr="00491BD9">
        <w:rPr>
          <w:lang w:val="fr-FR" w:eastAsia="en-US"/>
        </w:rPr>
        <w:tab/>
        <w:t>Dans le paragraphe après les alinéas, dans la deuxième phrase, remplacer « une matière explosible instable » par « trop sensible pour être affectée à une division ».</w:t>
      </w:r>
    </w:p>
    <w:p w14:paraId="2E38F0B0" w14:textId="77777777" w:rsidR="00833C9F" w:rsidRPr="00491BD9" w:rsidRDefault="00833C9F" w:rsidP="00833C9F">
      <w:pPr>
        <w:pStyle w:val="H1G"/>
        <w:rPr>
          <w:rFonts w:eastAsiaTheme="minorHAnsi"/>
          <w:lang w:val="fr-FR" w:eastAsia="en-US"/>
        </w:rPr>
      </w:pPr>
      <w:r w:rsidRPr="00491BD9">
        <w:rPr>
          <w:rFonts w:eastAsiaTheme="minorHAnsi"/>
          <w:lang w:val="fr-FR" w:eastAsia="en-US"/>
        </w:rPr>
        <w:tab/>
      </w:r>
      <w:r w:rsidRPr="00491BD9">
        <w:rPr>
          <w:rFonts w:eastAsiaTheme="minorHAnsi"/>
          <w:lang w:val="fr-FR" w:eastAsia="en-US"/>
        </w:rPr>
        <w:tab/>
        <w:t>Section 14</w:t>
      </w:r>
    </w:p>
    <w:p w14:paraId="59766787"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14.1.1</w:t>
      </w:r>
      <w:r w:rsidRPr="00491BD9">
        <w:rPr>
          <w:lang w:val="fr-FR" w:eastAsia="en-US"/>
        </w:rPr>
        <w:tab/>
        <w:t>Dans la première phrase, remplacer « trop dangereux pour être transportés » par « trop sensibles pour être affectés à une division ».</w:t>
      </w:r>
    </w:p>
    <w:p w14:paraId="621E1C66"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14.4.1.1</w:t>
      </w:r>
      <w:r w:rsidRPr="00491BD9">
        <w:rPr>
          <w:lang w:val="fr-FR" w:eastAsia="en-US"/>
        </w:rPr>
        <w:tab/>
        <w:t>Dans la première phrase, remplacer « trop dangereux pour être transporté » par « trop sensible pour être affecté à une division ».</w:t>
      </w:r>
    </w:p>
    <w:p w14:paraId="4C167E18"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lastRenderedPageBreak/>
        <w:t>14.4.1.4</w:t>
      </w:r>
      <w:r w:rsidRPr="00491BD9">
        <w:rPr>
          <w:lang w:val="fr-FR" w:eastAsia="en-US"/>
        </w:rPr>
        <w:tab/>
        <w:t>Dans la première phrase, remplacer « trop dangereux pour être transportés » par « trop sensibles pour être affectés à une division ».</w:t>
      </w:r>
    </w:p>
    <w:p w14:paraId="3A49880C"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14.5.1.4</w:t>
      </w:r>
      <w:r w:rsidRPr="00491BD9">
        <w:rPr>
          <w:lang w:val="fr-FR" w:eastAsia="en-US"/>
        </w:rPr>
        <w:tab/>
        <w:t>Dans le premier paragraphe, remplacer « trop dangereux pour être transporté » par « trop sensible pour être affecté à une division ».</w:t>
      </w:r>
    </w:p>
    <w:p w14:paraId="1F0F44A5" w14:textId="77777777" w:rsidR="00833C9F" w:rsidRPr="00491BD9" w:rsidRDefault="00833C9F" w:rsidP="00833C9F">
      <w:pPr>
        <w:pStyle w:val="SingleTxtG"/>
        <w:tabs>
          <w:tab w:val="left" w:pos="2268"/>
        </w:tabs>
        <w:ind w:left="2268" w:hanging="1134"/>
        <w:rPr>
          <w:lang w:val="fr-FR" w:eastAsia="en-US"/>
        </w:rPr>
      </w:pPr>
      <w:r w:rsidRPr="00491BD9">
        <w:rPr>
          <w:lang w:val="fr-FR" w:eastAsia="en-US"/>
        </w:rPr>
        <w:t>14.5.2.4</w:t>
      </w:r>
      <w:r w:rsidRPr="00491BD9">
        <w:rPr>
          <w:lang w:val="fr-FR" w:eastAsia="en-US"/>
        </w:rPr>
        <w:tab/>
        <w:t>Dans la première phrase, remplacer « trop dangereux pour être transportés » par « trop sensibles pour être affectés à une division ».</w:t>
      </w:r>
    </w:p>
    <w:p w14:paraId="65F0E551" w14:textId="77777777" w:rsidR="00950315" w:rsidRPr="00491BD9" w:rsidRDefault="00950315" w:rsidP="00950315">
      <w:pPr>
        <w:pStyle w:val="H1G"/>
        <w:rPr>
          <w:lang w:val="fr-FR"/>
        </w:rPr>
      </w:pPr>
      <w:r w:rsidRPr="00491BD9">
        <w:rPr>
          <w:lang w:val="fr-FR"/>
        </w:rPr>
        <w:tab/>
      </w:r>
      <w:r w:rsidRPr="00491BD9">
        <w:rPr>
          <w:lang w:val="fr-FR"/>
        </w:rPr>
        <w:tab/>
        <w:t>Section 20</w:t>
      </w:r>
    </w:p>
    <w:p w14:paraId="3D0DA7AB" w14:textId="5EB73E90" w:rsidR="003A00C0" w:rsidRDefault="00950315" w:rsidP="00950315">
      <w:pPr>
        <w:pStyle w:val="SingleTxtG"/>
        <w:spacing w:before="120"/>
        <w:ind w:left="2268" w:hanging="1134"/>
        <w:rPr>
          <w:lang w:val="fr-FR"/>
        </w:rPr>
      </w:pPr>
      <w:r w:rsidRPr="00491BD9">
        <w:rPr>
          <w:lang w:val="fr-FR"/>
        </w:rPr>
        <w:t>20.3.3.3</w:t>
      </w:r>
      <w:r w:rsidRPr="00491BD9">
        <w:rPr>
          <w:lang w:val="fr-FR"/>
        </w:rPr>
        <w:tab/>
        <w:t>À la première phrase, après « l’analyse calorimétrique différentielle » ajouter « (ACD) ».</w:t>
      </w:r>
      <w:bookmarkStart w:id="2" w:name="_Hlk26426349"/>
    </w:p>
    <w:p w14:paraId="659A4A36" w14:textId="0D6739AB" w:rsidR="00950315" w:rsidRPr="00491BD9" w:rsidRDefault="003A00C0" w:rsidP="00950315">
      <w:pPr>
        <w:pStyle w:val="SingleTxtG"/>
        <w:spacing w:before="120"/>
        <w:ind w:left="2268" w:hanging="1134"/>
        <w:rPr>
          <w:lang w:val="fr-FR"/>
        </w:rPr>
      </w:pPr>
      <w:r>
        <w:rPr>
          <w:lang w:val="fr-FR"/>
        </w:rPr>
        <w:tab/>
      </w:r>
      <w:r w:rsidR="00950315" w:rsidRPr="00491BD9">
        <w:rPr>
          <w:lang w:val="fr-FR"/>
        </w:rPr>
        <w:t>Modifier la dernière phrase pour lire « Si l’on utilise l’ACD, la température initiale obtenue est définie comme la température à laquelle se produit le premier dégagement de chaleur décelé (à savoir lorsque la valeur de production de chaleur dépasse le niveau de référence). »</w:t>
      </w:r>
      <w:bookmarkEnd w:id="2"/>
    </w:p>
    <w:p w14:paraId="755F5D7B" w14:textId="4E278F74" w:rsidR="00950315" w:rsidRPr="00491BD9" w:rsidRDefault="00950315" w:rsidP="00950315">
      <w:pPr>
        <w:pStyle w:val="SingleTxtG"/>
        <w:rPr>
          <w:lang w:val="fr-FR"/>
        </w:rPr>
      </w:pPr>
      <w:r w:rsidRPr="00491BD9">
        <w:rPr>
          <w:lang w:val="fr-FR"/>
        </w:rPr>
        <w:t>Ajouter une nouvelle section 20.3.4, libellée comme suit :</w:t>
      </w:r>
    </w:p>
    <w:p w14:paraId="66921EB5" w14:textId="77777777" w:rsidR="00950315" w:rsidRPr="00491BD9" w:rsidRDefault="00950315" w:rsidP="00950315">
      <w:pPr>
        <w:pStyle w:val="SingleTxtG"/>
        <w:rPr>
          <w:b/>
          <w:bCs/>
          <w:lang w:val="fr-FR"/>
        </w:rPr>
      </w:pPr>
      <w:r w:rsidRPr="00491BD9">
        <w:rPr>
          <w:lang w:val="fr-FR"/>
        </w:rPr>
        <w:t>« </w:t>
      </w:r>
      <w:r w:rsidRPr="00491BD9">
        <w:rPr>
          <w:b/>
          <w:bCs/>
          <w:lang w:val="fr-FR"/>
        </w:rPr>
        <w:t>20.3.4</w:t>
      </w:r>
      <w:r w:rsidRPr="00491BD9">
        <w:rPr>
          <w:lang w:val="fr-FR"/>
        </w:rPr>
        <w:tab/>
      </w:r>
      <w:r w:rsidRPr="00996D30">
        <w:rPr>
          <w:b/>
          <w:bCs/>
          <w:i/>
          <w:iCs/>
          <w:lang w:val="fr-FR"/>
        </w:rPr>
        <w:t>Stabilité thermique des échantillons et évaluation de la régulation de la température pour le transport</w:t>
      </w:r>
    </w:p>
    <w:p w14:paraId="0EB0FCAB" w14:textId="77777777" w:rsidR="00950315" w:rsidRPr="00491BD9" w:rsidRDefault="00950315" w:rsidP="00950315">
      <w:pPr>
        <w:pStyle w:val="SingleTxtG"/>
        <w:rPr>
          <w:lang w:val="fr-FR"/>
        </w:rPr>
      </w:pPr>
      <w:r w:rsidRPr="00491BD9">
        <w:rPr>
          <w:lang w:val="fr-FR"/>
        </w:rPr>
        <w:t>20.3.4.1</w:t>
      </w:r>
      <w:r w:rsidRPr="00491BD9">
        <w:rPr>
          <w:lang w:val="fr-FR"/>
        </w:rPr>
        <w:tab/>
        <w:t>Les dispositions de la présente section s’appliquent uniquement aux échantillons qui relèvent des 2.4.2.3.2.4 b) et 2.5.3.2.5.1 dans les cas où la TDAA est inconnue.</w:t>
      </w:r>
    </w:p>
    <w:p w14:paraId="36D9E9B7" w14:textId="77777777" w:rsidR="00950315" w:rsidRPr="00491BD9" w:rsidRDefault="00950315" w:rsidP="00950315">
      <w:pPr>
        <w:pStyle w:val="SingleTxtG"/>
        <w:rPr>
          <w:lang w:val="fr-FR"/>
        </w:rPr>
      </w:pPr>
      <w:r w:rsidRPr="00491BD9">
        <w:rPr>
          <w:lang w:val="fr-FR"/>
        </w:rPr>
        <w:t xml:space="preserve">20.3.4.2 </w:t>
      </w:r>
      <w:r w:rsidRPr="00491BD9">
        <w:rPr>
          <w:lang w:val="fr-FR"/>
        </w:rPr>
        <w:tab/>
        <w:t>Si, dans le cadre d’une ACD, la température initiale de décomposition mesurée conformément au 20.3.3.3 est supérieure ou égale à 160 °C, on peut supposer que la TDAA estimative de l’échantillon est supérieure à 55 °C. Selon le 2.4.2.3.4 du Règlement type, il n’est pas nécessaire de réguler la température en pareil cas. Les épisodes ponctuels de faible dégagement de chaleur (&lt; 20 J/g) précédant la phase de décomposition proprement dite peuvent être négligés.</w:t>
      </w:r>
    </w:p>
    <w:p w14:paraId="60E7D0CB" w14:textId="77777777" w:rsidR="00950315" w:rsidRPr="00491BD9" w:rsidRDefault="00950315" w:rsidP="00950315">
      <w:pPr>
        <w:pStyle w:val="SingleTxtG"/>
        <w:rPr>
          <w:lang w:val="fr-FR"/>
        </w:rPr>
      </w:pPr>
      <w:r w:rsidRPr="00491BD9">
        <w:rPr>
          <w:lang w:val="fr-FR"/>
        </w:rPr>
        <w:t>20.3.4.3</w:t>
      </w:r>
      <w:r w:rsidRPr="00491BD9">
        <w:rPr>
          <w:lang w:val="fr-FR"/>
        </w:rPr>
        <w:tab/>
        <w:t xml:space="preserve">Afin de déterminer s’il est nécessaire de réguler la température, on peut exécuter une épreuve de contrainte thermique fondée sur les mesures obtenues par ACD, suivant le protocole ci-après : on procède à l’ACD de l’échantillon tel qu’il est présenté au transport, conformément au 20.3.3.3. Un deuxième échantillon est prélevé puis soumis à une contrainte thermique par échauffement de l’échantillon dans un creuset fermé, à une température constante donnée pendant une période définie. Dans la plupart des cas, on estime qu’un délai de vingt-quatre heures est suffisant. Après avoir subi cette contrainte, l’échantillon est refroidi à la température ambiante et soumis ensuite à l’ACD à la même vitesse de chauffe que précédemment. Si la comparaison des deux ACD montre que les paramètres de décomposition restent inchangés en ce qui concerne la température initiale de décomposition, la forme de la courbe et l’énergie, moyennant une incertitude de 10 %, l’échantillon est jugé stable à la température de contrainte appliquée. Pour les pics peu élevés s’accompagnant d’une production de chaleur maximale de 0,2 W/g, un écart de 25 % est acceptable dans les plages de températures inférieures à 250 °C et supérieures de 40 % à cette limite. Si l’épreuve de contrainte donne un résultat favorable à 60 °C, il n’est pas nécessaire de réguler la température. </w:t>
      </w:r>
    </w:p>
    <w:p w14:paraId="3841E83E" w14:textId="10C39B8F" w:rsidR="00950315" w:rsidRPr="00491BD9" w:rsidRDefault="00950315" w:rsidP="00950315">
      <w:pPr>
        <w:pStyle w:val="SingleTxtG"/>
        <w:rPr>
          <w:lang w:val="fr-FR"/>
        </w:rPr>
      </w:pPr>
      <w:r w:rsidRPr="00491BD9">
        <w:rPr>
          <w:lang w:val="fr-FR"/>
        </w:rPr>
        <w:t>20.3.4.4</w:t>
      </w:r>
      <w:r w:rsidRPr="00491BD9">
        <w:rPr>
          <w:lang w:val="fr-FR"/>
        </w:rPr>
        <w:tab/>
        <w:t>Si l’épreuve de contrainte donne un résultat défavorable à 60 °C, on applique la même procédure à des températures décroissantes par paliers de 10 K jusqu’à ce que les paramètres de décomposition redeviennent constants. La température correspondante est considérée comme étant la TDAA estimative de l’échantillon, qui permet de déduire la température de régulation et la température critique conformément au 28.2.3 et au tableau 28.2.</w:t>
      </w:r>
    </w:p>
    <w:p w14:paraId="53776CF6" w14:textId="2A740E66" w:rsidR="00950315" w:rsidRDefault="00950315" w:rsidP="00950315">
      <w:pPr>
        <w:pStyle w:val="SingleTxtG"/>
        <w:rPr>
          <w:lang w:val="fr-FR"/>
        </w:rPr>
      </w:pPr>
      <w:r w:rsidRPr="00491BD9">
        <w:rPr>
          <w:lang w:val="fr-FR"/>
        </w:rPr>
        <w:t>20.3.4.5</w:t>
      </w:r>
      <w:r w:rsidRPr="00491BD9">
        <w:rPr>
          <w:lang w:val="fr-FR"/>
        </w:rPr>
        <w:tab/>
        <w:t>La figure 20.2 donne des exemples d’épreuve de contrainte thermique réussie. La figure 20.3 donne des exemples d’échantillons pour lesquels l’épreuve de contrainte thermique a échoué. Le diagramme logique de la figure 20.4 représente la procédure à suivre.</w:t>
      </w:r>
    </w:p>
    <w:p w14:paraId="14919D39" w14:textId="77777777" w:rsidR="00043C07" w:rsidRPr="00D45815" w:rsidRDefault="00043C07">
      <w:pPr>
        <w:suppressAutoHyphens w:val="0"/>
        <w:kinsoku/>
        <w:overflowPunct/>
        <w:autoSpaceDE/>
        <w:autoSpaceDN/>
        <w:adjustRightInd/>
        <w:snapToGrid/>
        <w:spacing w:after="200" w:line="276" w:lineRule="auto"/>
        <w:rPr>
          <w:b/>
          <w:bCs/>
        </w:rPr>
      </w:pPr>
      <w:r w:rsidRPr="00D45815">
        <w:rPr>
          <w:b/>
          <w:bCs/>
        </w:rPr>
        <w:br w:type="page"/>
      </w:r>
    </w:p>
    <w:p w14:paraId="62565B68" w14:textId="77777777" w:rsidR="00B42BCE" w:rsidRPr="00491BD9" w:rsidRDefault="00B42BCE" w:rsidP="00B42BCE">
      <w:pPr>
        <w:pStyle w:val="SingleTxtG"/>
        <w:jc w:val="center"/>
        <w:rPr>
          <w:b/>
          <w:bCs/>
          <w:lang w:val="fr-FR"/>
        </w:rPr>
      </w:pPr>
      <w:r w:rsidRPr="00491BD9">
        <w:rPr>
          <w:b/>
          <w:bCs/>
          <w:lang w:val="fr-FR"/>
        </w:rPr>
        <w:lastRenderedPageBreak/>
        <w:t>Figure 20.2 : Exemples d’échantillons donnant un résultat favorable à l’épreuve de contrainte thermique</w:t>
      </w:r>
    </w:p>
    <w:p w14:paraId="705A6839" w14:textId="77777777" w:rsidR="008D3972" w:rsidRDefault="008D3972" w:rsidP="008D3972">
      <w:pPr>
        <w:suppressAutoHyphens w:val="0"/>
        <w:kinsoku/>
        <w:overflowPunct/>
        <w:autoSpaceDE/>
        <w:autoSpaceDN/>
        <w:adjustRightInd/>
        <w:snapToGrid/>
        <w:spacing w:after="200" w:line="276" w:lineRule="auto"/>
        <w:rPr>
          <w:b/>
          <w:bCs/>
        </w:rPr>
      </w:pPr>
      <w:r w:rsidRPr="00B4596E">
        <w:rPr>
          <w:b/>
          <w:bCs/>
          <w:noProof/>
        </w:rPr>
        <w:drawing>
          <wp:inline distT="0" distB="0" distL="0" distR="0" wp14:anchorId="06B5B7C9" wp14:editId="04585E0F">
            <wp:extent cx="6120000" cy="7199253"/>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000" cy="7199253"/>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8D3972" w:rsidRPr="00FD09A6" w14:paraId="15720BD5" w14:textId="77777777" w:rsidTr="0043434C">
        <w:trPr>
          <w:jc w:val="center"/>
        </w:trPr>
        <w:tc>
          <w:tcPr>
            <w:tcW w:w="454" w:type="dxa"/>
            <w:shd w:val="clear" w:color="auto" w:fill="auto"/>
          </w:tcPr>
          <w:p w14:paraId="575D3B75"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2EBECEF2" w14:textId="20C55AEF" w:rsidR="008D3972" w:rsidRPr="00FD09A6" w:rsidRDefault="00622C25" w:rsidP="0043434C">
            <w:pPr>
              <w:spacing w:before="120" w:after="120" w:line="240" w:lineRule="auto"/>
              <w:rPr>
                <w:rFonts w:asciiTheme="majorBidi" w:hAnsiTheme="majorBidi" w:cstheme="majorBidi"/>
                <w:szCs w:val="24"/>
              </w:rPr>
            </w:pPr>
            <w:r w:rsidRPr="00622C25">
              <w:rPr>
                <w:rFonts w:asciiTheme="majorBidi" w:hAnsiTheme="majorBidi" w:cstheme="majorBidi"/>
                <w:szCs w:val="24"/>
              </w:rPr>
              <w:t>Échantillon après contrainte thermique</w:t>
            </w:r>
          </w:p>
        </w:tc>
        <w:tc>
          <w:tcPr>
            <w:tcW w:w="454" w:type="dxa"/>
            <w:shd w:val="clear" w:color="auto" w:fill="auto"/>
          </w:tcPr>
          <w:p w14:paraId="6915F2C7"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0A0FA678" w14:textId="6278047B" w:rsidR="008D3972" w:rsidRPr="00FD09A6" w:rsidRDefault="00055842" w:rsidP="0043434C">
            <w:pPr>
              <w:spacing w:before="120" w:after="120" w:line="240" w:lineRule="auto"/>
              <w:rPr>
                <w:rFonts w:asciiTheme="majorBidi" w:hAnsiTheme="majorBidi" w:cstheme="majorBidi"/>
                <w:szCs w:val="24"/>
              </w:rPr>
            </w:pPr>
            <w:r w:rsidRPr="00055842">
              <w:rPr>
                <w:rFonts w:asciiTheme="majorBidi" w:hAnsiTheme="majorBidi" w:cstheme="majorBidi"/>
                <w:szCs w:val="24"/>
              </w:rPr>
              <w:t>Échantillon initial</w:t>
            </w:r>
          </w:p>
        </w:tc>
      </w:tr>
    </w:tbl>
    <w:p w14:paraId="533CB3BC" w14:textId="77777777" w:rsidR="008D3972" w:rsidRDefault="008D3972" w:rsidP="008D3972">
      <w:pPr>
        <w:suppressAutoHyphens w:val="0"/>
        <w:kinsoku/>
        <w:overflowPunct/>
        <w:autoSpaceDE/>
        <w:autoSpaceDN/>
        <w:adjustRightInd/>
        <w:snapToGrid/>
        <w:spacing w:after="200" w:line="276" w:lineRule="auto"/>
        <w:rPr>
          <w:b/>
          <w:bCs/>
        </w:rPr>
      </w:pPr>
      <w:r w:rsidRPr="00F2162B">
        <w:rPr>
          <w:b/>
          <w:bCs/>
        </w:rPr>
        <w:br w:type="page"/>
      </w:r>
    </w:p>
    <w:p w14:paraId="03C59762" w14:textId="544A38FB" w:rsidR="00B42BCE" w:rsidRPr="00491BD9" w:rsidRDefault="00B42BCE" w:rsidP="00B42BCE">
      <w:pPr>
        <w:pStyle w:val="SingleTxtG"/>
        <w:jc w:val="center"/>
        <w:rPr>
          <w:b/>
          <w:bCs/>
          <w:lang w:val="fr-FR"/>
        </w:rPr>
      </w:pPr>
      <w:r w:rsidRPr="00491BD9">
        <w:rPr>
          <w:b/>
          <w:bCs/>
          <w:lang w:val="fr-FR"/>
        </w:rPr>
        <w:lastRenderedPageBreak/>
        <w:t>Figure 20.2 : Exemples d’échantillons donnant un résultat favorable à l’épreuve de contrainte thermique</w:t>
      </w:r>
      <w:r>
        <w:rPr>
          <w:b/>
          <w:bCs/>
          <w:lang w:val="fr-FR"/>
        </w:rPr>
        <w:t xml:space="preserve"> (suite)</w:t>
      </w:r>
    </w:p>
    <w:p w14:paraId="46ACF4E6" w14:textId="77777777" w:rsidR="008D3972" w:rsidRDefault="008D3972" w:rsidP="008D3972">
      <w:pPr>
        <w:suppressAutoHyphens w:val="0"/>
        <w:kinsoku/>
        <w:overflowPunct/>
        <w:autoSpaceDE/>
        <w:autoSpaceDN/>
        <w:adjustRightInd/>
        <w:snapToGrid/>
        <w:spacing w:after="200" w:line="276" w:lineRule="auto"/>
        <w:rPr>
          <w:b/>
          <w:bCs/>
        </w:rPr>
      </w:pPr>
      <w:r w:rsidRPr="00842769">
        <w:rPr>
          <w:b/>
          <w:bCs/>
          <w:noProof/>
        </w:rPr>
        <w:drawing>
          <wp:inline distT="0" distB="0" distL="0" distR="0" wp14:anchorId="4D1D163A" wp14:editId="6FEA926C">
            <wp:extent cx="6120000" cy="719926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000" cy="7199260"/>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8D3972" w:rsidRPr="00FD09A6" w14:paraId="6F475CF4" w14:textId="77777777" w:rsidTr="0043434C">
        <w:trPr>
          <w:jc w:val="center"/>
        </w:trPr>
        <w:tc>
          <w:tcPr>
            <w:tcW w:w="454" w:type="dxa"/>
            <w:shd w:val="clear" w:color="auto" w:fill="auto"/>
          </w:tcPr>
          <w:p w14:paraId="743BE415"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38A9F33D" w14:textId="045F3860" w:rsidR="008D3972" w:rsidRPr="00FD09A6" w:rsidRDefault="00622C25" w:rsidP="0043434C">
            <w:pPr>
              <w:spacing w:before="120" w:after="120" w:line="240" w:lineRule="auto"/>
              <w:rPr>
                <w:rFonts w:asciiTheme="majorBidi" w:hAnsiTheme="majorBidi" w:cstheme="majorBidi"/>
                <w:szCs w:val="24"/>
              </w:rPr>
            </w:pPr>
            <w:r w:rsidRPr="00622C25">
              <w:rPr>
                <w:rFonts w:asciiTheme="majorBidi" w:hAnsiTheme="majorBidi" w:cstheme="majorBidi"/>
                <w:szCs w:val="24"/>
              </w:rPr>
              <w:t>Échantillon après contrainte thermique</w:t>
            </w:r>
          </w:p>
        </w:tc>
        <w:tc>
          <w:tcPr>
            <w:tcW w:w="454" w:type="dxa"/>
            <w:shd w:val="clear" w:color="auto" w:fill="auto"/>
          </w:tcPr>
          <w:p w14:paraId="6AE53D81"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77756F9A" w14:textId="576A4990" w:rsidR="008D3972" w:rsidRPr="00FD09A6" w:rsidRDefault="00055842" w:rsidP="0043434C">
            <w:pPr>
              <w:spacing w:before="120" w:after="120" w:line="240" w:lineRule="auto"/>
              <w:rPr>
                <w:rFonts w:asciiTheme="majorBidi" w:hAnsiTheme="majorBidi" w:cstheme="majorBidi"/>
                <w:szCs w:val="24"/>
              </w:rPr>
            </w:pPr>
            <w:r w:rsidRPr="00055842">
              <w:rPr>
                <w:rFonts w:asciiTheme="majorBidi" w:hAnsiTheme="majorBidi" w:cstheme="majorBidi"/>
                <w:szCs w:val="24"/>
              </w:rPr>
              <w:t>Échantillon initial</w:t>
            </w:r>
          </w:p>
        </w:tc>
      </w:tr>
    </w:tbl>
    <w:p w14:paraId="1FC60024" w14:textId="77777777" w:rsidR="008D3972" w:rsidRDefault="008D3972" w:rsidP="008D3972">
      <w:pPr>
        <w:suppressAutoHyphens w:val="0"/>
        <w:kinsoku/>
        <w:overflowPunct/>
        <w:autoSpaceDE/>
        <w:autoSpaceDN/>
        <w:adjustRightInd/>
        <w:snapToGrid/>
        <w:spacing w:after="200" w:line="276" w:lineRule="auto"/>
        <w:rPr>
          <w:b/>
          <w:bCs/>
        </w:rPr>
      </w:pPr>
      <w:r w:rsidRPr="00F2162B">
        <w:rPr>
          <w:b/>
          <w:bCs/>
        </w:rPr>
        <w:br w:type="page"/>
      </w:r>
    </w:p>
    <w:p w14:paraId="0A003687" w14:textId="0EE6BC20" w:rsidR="008D3972" w:rsidRPr="00F2162B" w:rsidRDefault="00AF4023" w:rsidP="008D3972">
      <w:pPr>
        <w:pStyle w:val="SingleTxtG"/>
        <w:jc w:val="center"/>
        <w:rPr>
          <w:b/>
          <w:bCs/>
        </w:rPr>
      </w:pPr>
      <w:r w:rsidRPr="00491BD9">
        <w:rPr>
          <w:b/>
          <w:bCs/>
          <w:lang w:val="fr-FR"/>
        </w:rPr>
        <w:lastRenderedPageBreak/>
        <w:t>Figure 20.3 : Exemples d’échantillons donnant un résultat défavorable à l’épreuve de contrainte thermiqu</w:t>
      </w:r>
      <w:r>
        <w:rPr>
          <w:b/>
          <w:bCs/>
          <w:lang w:val="fr-FR"/>
        </w:rPr>
        <w:t>e</w:t>
      </w:r>
    </w:p>
    <w:p w14:paraId="45389D87" w14:textId="77777777" w:rsidR="008D3972" w:rsidRDefault="008D3972" w:rsidP="008D3972">
      <w:pPr>
        <w:pStyle w:val="SingleTxtG"/>
        <w:ind w:left="0" w:right="0"/>
      </w:pPr>
      <w:r w:rsidRPr="002A27AC">
        <w:rPr>
          <w:noProof/>
        </w:rPr>
        <w:drawing>
          <wp:inline distT="0" distB="0" distL="0" distR="0" wp14:anchorId="150033E5" wp14:editId="0BDB3854">
            <wp:extent cx="6119495" cy="6896508"/>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t="2099" b="2099"/>
                    <a:stretch/>
                  </pic:blipFill>
                  <pic:spPr bwMode="auto">
                    <a:xfrm>
                      <a:off x="0" y="0"/>
                      <a:ext cx="6120000" cy="6897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8D3972" w:rsidRPr="00FD09A6" w14:paraId="73FB0BE5" w14:textId="77777777" w:rsidTr="0043434C">
        <w:tc>
          <w:tcPr>
            <w:tcW w:w="454" w:type="dxa"/>
            <w:shd w:val="clear" w:color="auto" w:fill="auto"/>
          </w:tcPr>
          <w:p w14:paraId="28001EA2"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27A3F77B" w14:textId="59368687" w:rsidR="008D3972" w:rsidRPr="00FD09A6" w:rsidRDefault="00622C25" w:rsidP="0043434C">
            <w:pPr>
              <w:spacing w:before="120" w:after="120" w:line="240" w:lineRule="auto"/>
              <w:rPr>
                <w:rFonts w:asciiTheme="majorBidi" w:hAnsiTheme="majorBidi" w:cstheme="majorBidi"/>
                <w:szCs w:val="24"/>
              </w:rPr>
            </w:pPr>
            <w:r w:rsidRPr="00622C25">
              <w:rPr>
                <w:rFonts w:asciiTheme="majorBidi" w:hAnsiTheme="majorBidi" w:cstheme="majorBidi"/>
                <w:szCs w:val="24"/>
              </w:rPr>
              <w:t>Échantillon après contrainte thermique</w:t>
            </w:r>
          </w:p>
        </w:tc>
        <w:tc>
          <w:tcPr>
            <w:tcW w:w="454" w:type="dxa"/>
            <w:shd w:val="clear" w:color="auto" w:fill="auto"/>
          </w:tcPr>
          <w:p w14:paraId="585A003A" w14:textId="77777777" w:rsidR="008D3972" w:rsidRPr="00FD09A6" w:rsidRDefault="008D3972"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0FC7830C" w14:textId="4AE06DF4" w:rsidR="008D3972" w:rsidRPr="00FD09A6" w:rsidRDefault="000702E3" w:rsidP="0043434C">
            <w:pPr>
              <w:spacing w:before="120" w:after="120" w:line="240" w:lineRule="auto"/>
              <w:rPr>
                <w:rFonts w:asciiTheme="majorBidi" w:hAnsiTheme="majorBidi" w:cstheme="majorBidi"/>
                <w:szCs w:val="24"/>
              </w:rPr>
            </w:pPr>
            <w:r w:rsidRPr="000702E3">
              <w:rPr>
                <w:rFonts w:asciiTheme="majorBidi" w:hAnsiTheme="majorBidi" w:cstheme="majorBidi"/>
                <w:szCs w:val="24"/>
              </w:rPr>
              <w:t>Échantillon initial</w:t>
            </w:r>
          </w:p>
        </w:tc>
      </w:tr>
      <w:tr w:rsidR="008D3972" w:rsidRPr="00FD09A6" w14:paraId="347054F8" w14:textId="77777777" w:rsidTr="0043434C">
        <w:tc>
          <w:tcPr>
            <w:tcW w:w="454" w:type="dxa"/>
            <w:shd w:val="clear" w:color="auto" w:fill="auto"/>
          </w:tcPr>
          <w:p w14:paraId="0104344D" w14:textId="77777777" w:rsidR="008D3972" w:rsidRPr="00FD09A6" w:rsidRDefault="008D3972" w:rsidP="0043434C">
            <w:pPr>
              <w:spacing w:before="120" w:after="120" w:line="240" w:lineRule="auto"/>
              <w:rPr>
                <w:rFonts w:asciiTheme="majorBidi" w:hAnsiTheme="majorBidi" w:cstheme="majorBidi"/>
                <w:szCs w:val="24"/>
              </w:rPr>
            </w:pPr>
            <w:r>
              <w:rPr>
                <w:rFonts w:asciiTheme="majorBidi" w:hAnsiTheme="majorBidi" w:cstheme="majorBidi"/>
                <w:szCs w:val="24"/>
              </w:rPr>
              <w:t>(C)</w:t>
            </w:r>
          </w:p>
        </w:tc>
        <w:tc>
          <w:tcPr>
            <w:tcW w:w="3798" w:type="dxa"/>
            <w:shd w:val="clear" w:color="auto" w:fill="auto"/>
          </w:tcPr>
          <w:p w14:paraId="195714DD" w14:textId="53485920" w:rsidR="008D3972" w:rsidRDefault="00AD6CA4" w:rsidP="0043434C">
            <w:pPr>
              <w:spacing w:before="120" w:after="120" w:line="240" w:lineRule="auto"/>
              <w:rPr>
                <w:rFonts w:asciiTheme="majorBidi" w:hAnsiTheme="majorBidi" w:cstheme="majorBidi"/>
                <w:szCs w:val="24"/>
              </w:rPr>
            </w:pPr>
            <w:r>
              <w:rPr>
                <w:lang w:val="fr-FR"/>
              </w:rPr>
              <w:t xml:space="preserve">Échec : </w:t>
            </w:r>
            <w:r w:rsidRPr="00765C53">
              <w:rPr>
                <w:lang w:val="fr-FR"/>
              </w:rPr>
              <w:t>différence de forme des</w:t>
            </w:r>
            <w:r>
              <w:rPr>
                <w:lang w:val="fr-FR"/>
              </w:rPr>
              <w:t xml:space="preserve"> pics</w:t>
            </w:r>
          </w:p>
        </w:tc>
        <w:tc>
          <w:tcPr>
            <w:tcW w:w="454" w:type="dxa"/>
            <w:shd w:val="clear" w:color="auto" w:fill="auto"/>
          </w:tcPr>
          <w:p w14:paraId="3CC8202D" w14:textId="77777777" w:rsidR="008D3972" w:rsidRPr="00FD09A6" w:rsidRDefault="008D3972" w:rsidP="0043434C">
            <w:pPr>
              <w:spacing w:before="120" w:after="120" w:line="240" w:lineRule="auto"/>
              <w:rPr>
                <w:rFonts w:asciiTheme="majorBidi" w:hAnsiTheme="majorBidi" w:cstheme="majorBidi"/>
                <w:szCs w:val="24"/>
              </w:rPr>
            </w:pPr>
            <w:r>
              <w:rPr>
                <w:rFonts w:asciiTheme="majorBidi" w:hAnsiTheme="majorBidi" w:cstheme="majorBidi"/>
                <w:szCs w:val="24"/>
              </w:rPr>
              <w:t>(D)</w:t>
            </w:r>
          </w:p>
        </w:tc>
        <w:tc>
          <w:tcPr>
            <w:tcW w:w="3798" w:type="dxa"/>
            <w:shd w:val="clear" w:color="auto" w:fill="auto"/>
          </w:tcPr>
          <w:p w14:paraId="64874509" w14:textId="26A344CA" w:rsidR="008D3972" w:rsidRDefault="00657E65" w:rsidP="0043434C">
            <w:pPr>
              <w:spacing w:before="120" w:after="120" w:line="240" w:lineRule="auto"/>
              <w:rPr>
                <w:rFonts w:asciiTheme="majorBidi" w:hAnsiTheme="majorBidi" w:cstheme="majorBidi"/>
                <w:szCs w:val="24"/>
              </w:rPr>
            </w:pPr>
            <w:r w:rsidRPr="00657E65">
              <w:rPr>
                <w:rFonts w:asciiTheme="majorBidi" w:hAnsiTheme="majorBidi" w:cstheme="majorBidi"/>
                <w:szCs w:val="24"/>
              </w:rPr>
              <w:t>Échec : détérioration (perte d’énergie &gt; 10 %)</w:t>
            </w:r>
          </w:p>
        </w:tc>
      </w:tr>
      <w:tr w:rsidR="008D3972" w:rsidRPr="00FD09A6" w14:paraId="643860E0" w14:textId="77777777" w:rsidTr="0043434C">
        <w:tc>
          <w:tcPr>
            <w:tcW w:w="454" w:type="dxa"/>
            <w:shd w:val="clear" w:color="auto" w:fill="auto"/>
          </w:tcPr>
          <w:p w14:paraId="54787ABF" w14:textId="77777777" w:rsidR="008D3972" w:rsidRPr="00FD09A6" w:rsidRDefault="008D3972" w:rsidP="0043434C">
            <w:pPr>
              <w:spacing w:before="120" w:after="120" w:line="240" w:lineRule="auto"/>
              <w:rPr>
                <w:rFonts w:asciiTheme="majorBidi" w:hAnsiTheme="majorBidi" w:cstheme="majorBidi"/>
                <w:szCs w:val="24"/>
              </w:rPr>
            </w:pPr>
            <w:r>
              <w:rPr>
                <w:rFonts w:asciiTheme="majorBidi" w:hAnsiTheme="majorBidi" w:cstheme="majorBidi"/>
                <w:szCs w:val="24"/>
              </w:rPr>
              <w:t>(E)</w:t>
            </w:r>
          </w:p>
        </w:tc>
        <w:tc>
          <w:tcPr>
            <w:tcW w:w="3798" w:type="dxa"/>
            <w:shd w:val="clear" w:color="auto" w:fill="auto"/>
          </w:tcPr>
          <w:p w14:paraId="2D09C442" w14:textId="169D93A6" w:rsidR="008D3972" w:rsidRDefault="000E6F8C" w:rsidP="0043434C">
            <w:pPr>
              <w:spacing w:before="120" w:after="120" w:line="240" w:lineRule="auto"/>
              <w:rPr>
                <w:rFonts w:asciiTheme="majorBidi" w:hAnsiTheme="majorBidi" w:cstheme="majorBidi"/>
                <w:szCs w:val="24"/>
              </w:rPr>
            </w:pPr>
            <w:r w:rsidRPr="000E6F8C">
              <w:rPr>
                <w:rFonts w:asciiTheme="majorBidi" w:hAnsiTheme="majorBidi" w:cstheme="majorBidi"/>
                <w:szCs w:val="24"/>
              </w:rPr>
              <w:t>Échec : différence de forme des pics malgré une perte d’énergie acceptable</w:t>
            </w:r>
          </w:p>
        </w:tc>
        <w:tc>
          <w:tcPr>
            <w:tcW w:w="454" w:type="dxa"/>
            <w:shd w:val="clear" w:color="auto" w:fill="auto"/>
          </w:tcPr>
          <w:p w14:paraId="6ABAEDC4" w14:textId="77777777" w:rsidR="008D3972" w:rsidRPr="00FD09A6" w:rsidRDefault="008D3972" w:rsidP="0043434C">
            <w:pPr>
              <w:spacing w:before="120" w:after="120" w:line="240" w:lineRule="auto"/>
              <w:rPr>
                <w:rFonts w:asciiTheme="majorBidi" w:hAnsiTheme="majorBidi" w:cstheme="majorBidi"/>
                <w:szCs w:val="24"/>
              </w:rPr>
            </w:pPr>
            <w:r>
              <w:rPr>
                <w:rFonts w:asciiTheme="majorBidi" w:hAnsiTheme="majorBidi" w:cstheme="majorBidi"/>
                <w:szCs w:val="24"/>
              </w:rPr>
              <w:t>(F)</w:t>
            </w:r>
          </w:p>
        </w:tc>
        <w:tc>
          <w:tcPr>
            <w:tcW w:w="3798" w:type="dxa"/>
            <w:shd w:val="clear" w:color="auto" w:fill="auto"/>
          </w:tcPr>
          <w:p w14:paraId="20407795" w14:textId="0B543D2B" w:rsidR="008D3972" w:rsidRDefault="009A3795" w:rsidP="009A3795">
            <w:pPr>
              <w:spacing w:before="120" w:after="120" w:line="240" w:lineRule="auto"/>
              <w:rPr>
                <w:rFonts w:asciiTheme="majorBidi" w:hAnsiTheme="majorBidi" w:cstheme="majorBidi"/>
                <w:szCs w:val="24"/>
              </w:rPr>
            </w:pPr>
            <w:r w:rsidRPr="009A3795">
              <w:rPr>
                <w:rFonts w:asciiTheme="majorBidi" w:hAnsiTheme="majorBidi" w:cstheme="majorBidi"/>
                <w:szCs w:val="24"/>
              </w:rPr>
              <w:t>Superposition des courbes</w:t>
            </w:r>
          </w:p>
        </w:tc>
      </w:tr>
      <w:tr w:rsidR="008D3972" w:rsidRPr="00FD09A6" w14:paraId="581708B4" w14:textId="77777777" w:rsidTr="0043434C">
        <w:tc>
          <w:tcPr>
            <w:tcW w:w="454" w:type="dxa"/>
            <w:shd w:val="clear" w:color="auto" w:fill="auto"/>
          </w:tcPr>
          <w:p w14:paraId="61E951BB" w14:textId="77777777" w:rsidR="008D3972" w:rsidRPr="00FD09A6" w:rsidRDefault="008D3972" w:rsidP="0043434C">
            <w:pPr>
              <w:spacing w:before="120" w:after="120" w:line="240" w:lineRule="auto"/>
              <w:rPr>
                <w:rFonts w:asciiTheme="majorBidi" w:hAnsiTheme="majorBidi" w:cstheme="majorBidi"/>
                <w:szCs w:val="24"/>
              </w:rPr>
            </w:pPr>
            <w:r>
              <w:rPr>
                <w:rFonts w:asciiTheme="majorBidi" w:hAnsiTheme="majorBidi" w:cstheme="majorBidi"/>
                <w:szCs w:val="24"/>
              </w:rPr>
              <w:t>(G)</w:t>
            </w:r>
          </w:p>
        </w:tc>
        <w:tc>
          <w:tcPr>
            <w:tcW w:w="3798" w:type="dxa"/>
            <w:shd w:val="clear" w:color="auto" w:fill="auto"/>
          </w:tcPr>
          <w:p w14:paraId="4EF16366" w14:textId="4237B0AA" w:rsidR="008D3972" w:rsidRDefault="00BD6B37" w:rsidP="0043434C">
            <w:pPr>
              <w:spacing w:before="120" w:after="120" w:line="240" w:lineRule="auto"/>
              <w:rPr>
                <w:rFonts w:asciiTheme="majorBidi" w:hAnsiTheme="majorBidi" w:cstheme="majorBidi"/>
                <w:szCs w:val="24"/>
              </w:rPr>
            </w:pPr>
            <w:r w:rsidRPr="00BD6B37">
              <w:rPr>
                <w:rFonts w:asciiTheme="majorBidi" w:hAnsiTheme="majorBidi" w:cstheme="majorBidi"/>
                <w:szCs w:val="24"/>
              </w:rPr>
              <w:t>Portion du pic manquante après une contrainte thermique</w:t>
            </w:r>
          </w:p>
        </w:tc>
        <w:tc>
          <w:tcPr>
            <w:tcW w:w="454" w:type="dxa"/>
            <w:shd w:val="clear" w:color="auto" w:fill="auto"/>
          </w:tcPr>
          <w:p w14:paraId="1D7F328C" w14:textId="77777777" w:rsidR="008D3972" w:rsidRPr="00FD09A6" w:rsidRDefault="008D3972" w:rsidP="0043434C">
            <w:pPr>
              <w:spacing w:before="120" w:after="120" w:line="240" w:lineRule="auto"/>
              <w:rPr>
                <w:rFonts w:asciiTheme="majorBidi" w:hAnsiTheme="majorBidi" w:cstheme="majorBidi"/>
                <w:szCs w:val="24"/>
              </w:rPr>
            </w:pPr>
          </w:p>
        </w:tc>
        <w:tc>
          <w:tcPr>
            <w:tcW w:w="3798" w:type="dxa"/>
            <w:shd w:val="clear" w:color="auto" w:fill="auto"/>
          </w:tcPr>
          <w:p w14:paraId="33C2ED51" w14:textId="77777777" w:rsidR="008D3972" w:rsidRDefault="008D3972" w:rsidP="0043434C">
            <w:pPr>
              <w:spacing w:before="120" w:after="120" w:line="240" w:lineRule="auto"/>
              <w:rPr>
                <w:rFonts w:asciiTheme="majorBidi" w:hAnsiTheme="majorBidi" w:cstheme="majorBidi"/>
                <w:szCs w:val="24"/>
              </w:rPr>
            </w:pPr>
          </w:p>
        </w:tc>
      </w:tr>
    </w:tbl>
    <w:p w14:paraId="6B34DF3C" w14:textId="77777777" w:rsidR="00F67082" w:rsidRDefault="00F67082">
      <w:pPr>
        <w:suppressAutoHyphens w:val="0"/>
        <w:kinsoku/>
        <w:overflowPunct/>
        <w:autoSpaceDE/>
        <w:autoSpaceDN/>
        <w:adjustRightInd/>
        <w:snapToGrid/>
        <w:spacing w:after="200" w:line="276" w:lineRule="auto"/>
        <w:rPr>
          <w:b/>
          <w:bCs/>
          <w:iCs/>
          <w:lang w:val="fr-FR"/>
        </w:rPr>
      </w:pPr>
      <w:r>
        <w:rPr>
          <w:b/>
          <w:bCs/>
          <w:iCs/>
          <w:lang w:val="fr-FR"/>
        </w:rPr>
        <w:br w:type="page"/>
      </w:r>
    </w:p>
    <w:p w14:paraId="6706BA5E" w14:textId="4C1C0D3E" w:rsidR="00422EE3" w:rsidRPr="00491BD9" w:rsidRDefault="00422EE3" w:rsidP="00422EE3">
      <w:pPr>
        <w:pStyle w:val="SingleTxtG"/>
        <w:keepNext/>
        <w:jc w:val="center"/>
        <w:rPr>
          <w:b/>
          <w:bCs/>
          <w:iCs/>
          <w:lang w:val="fr-FR"/>
        </w:rPr>
      </w:pPr>
      <w:r w:rsidRPr="00491BD9">
        <w:rPr>
          <w:b/>
          <w:bCs/>
          <w:iCs/>
          <w:lang w:val="fr-FR"/>
        </w:rPr>
        <w:lastRenderedPageBreak/>
        <w:t xml:space="preserve">Figure 20.4 : </w:t>
      </w:r>
      <w:r w:rsidRPr="00491BD9">
        <w:rPr>
          <w:b/>
          <w:bCs/>
          <w:lang w:val="fr-FR"/>
        </w:rPr>
        <w:t>Diagramme logique concernant l’évaluation de la stabilité thermique des échantillons conformément au 20.3.4</w:t>
      </w:r>
    </w:p>
    <w:bookmarkStart w:id="3" w:name="_Hlk48224962"/>
    <w:p w14:paraId="082898B2" w14:textId="77777777" w:rsidR="00422EE3" w:rsidRPr="00491BD9" w:rsidRDefault="00422EE3" w:rsidP="00422EE3">
      <w:pPr>
        <w:pStyle w:val="SingleTxtG"/>
        <w:rPr>
          <w:lang w:val="fr-FR"/>
        </w:rPr>
      </w:pPr>
      <w:r w:rsidRPr="00491BD9">
        <w:rPr>
          <w:lang w:val="fr-FR"/>
        </w:rPr>
        <w:object w:dxaOrig="8610" w:dyaOrig="10450" w14:anchorId="14A3D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pt;height:438pt" o:ole="">
            <v:imagedata r:id="rId18" o:title=""/>
          </v:shape>
          <o:OLEObject Type="Embed" ProgID="Visio.Drawing.15" ShapeID="_x0000_i1025" DrawAspect="Content" ObjectID="_1678082081" r:id="rId19"/>
        </w:object>
      </w:r>
      <w:bookmarkEnd w:id="3"/>
    </w:p>
    <w:p w14:paraId="18769166" w14:textId="77777777" w:rsidR="00422EE3" w:rsidRPr="00491BD9" w:rsidRDefault="00422EE3" w:rsidP="00422EE3">
      <w:pPr>
        <w:pStyle w:val="SingleTxtG"/>
        <w:rPr>
          <w:lang w:val="fr-FR"/>
        </w:rPr>
      </w:pPr>
      <w:r w:rsidRPr="00491BD9">
        <w:rPr>
          <w:b/>
          <w:bCs/>
          <w:i/>
          <w:iCs/>
          <w:lang w:val="fr-FR"/>
        </w:rPr>
        <w:t>NOTA</w:t>
      </w:r>
      <w:r w:rsidRPr="00491BD9">
        <w:rPr>
          <w:b/>
          <w:bCs/>
          <w:i/>
          <w:iCs/>
          <w:lang w:val="fr-FR"/>
        </w:rPr>
        <w:tab/>
        <w:t>1</w:t>
      </w:r>
      <w:r w:rsidRPr="00491BD9">
        <w:rPr>
          <w:b/>
          <w:i/>
          <w:iCs/>
          <w:lang w:val="fr-FR"/>
        </w:rPr>
        <w:t> :</w:t>
      </w:r>
      <w:r w:rsidRPr="00491BD9">
        <w:rPr>
          <w:lang w:val="fr-FR"/>
        </w:rPr>
        <w:t xml:space="preserve"> </w:t>
      </w:r>
      <w:r w:rsidRPr="00491BD9">
        <w:rPr>
          <w:i/>
          <w:iCs/>
          <w:lang w:val="fr-FR"/>
        </w:rPr>
        <w:t>Les épisodes ponctuels de faible dégagement de chaleur (&lt; 20 J/g) précédant la phase de décomposition proprement dite peuvent être négligés.</w:t>
      </w:r>
      <w:r w:rsidRPr="00491BD9">
        <w:rPr>
          <w:lang w:val="fr-FR"/>
        </w:rPr>
        <w:t xml:space="preserve"> </w:t>
      </w:r>
    </w:p>
    <w:p w14:paraId="17B4BA64" w14:textId="11A8E4BE" w:rsidR="00422EE3" w:rsidRPr="00491BD9" w:rsidRDefault="00422EE3" w:rsidP="00422EE3">
      <w:pPr>
        <w:pStyle w:val="SingleTxtG"/>
        <w:ind w:firstLine="567"/>
        <w:rPr>
          <w:lang w:val="fr-FR"/>
        </w:rPr>
      </w:pPr>
      <w:r w:rsidRPr="00491BD9">
        <w:rPr>
          <w:b/>
          <w:bCs/>
          <w:i/>
          <w:iCs/>
          <w:lang w:val="fr-FR"/>
        </w:rPr>
        <w:t>2 :</w:t>
      </w:r>
      <w:r w:rsidRPr="00491BD9">
        <w:rPr>
          <w:lang w:val="fr-FR"/>
        </w:rPr>
        <w:t xml:space="preserve"> </w:t>
      </w:r>
      <w:r w:rsidRPr="00491BD9">
        <w:rPr>
          <w:i/>
          <w:lang w:val="fr-FR"/>
        </w:rPr>
        <w:t>Marge de t</w:t>
      </w:r>
      <w:r w:rsidRPr="00491BD9">
        <w:rPr>
          <w:i/>
          <w:iCs/>
          <w:lang w:val="fr-FR"/>
        </w:rPr>
        <w:t>olérance générale pour la comparaison d’énergie résultant de l’incertitude de mesure : 10 %.</w:t>
      </w:r>
      <w:r w:rsidRPr="00491BD9">
        <w:rPr>
          <w:lang w:val="fr-FR"/>
        </w:rPr>
        <w:t xml:space="preserve"> </w:t>
      </w:r>
      <w:r w:rsidRPr="00491BD9">
        <w:rPr>
          <w:i/>
          <w:iCs/>
          <w:lang w:val="fr-FR"/>
        </w:rPr>
        <w:t xml:space="preserve">Pour les pics peu élevés s’accompagnant d’une production de chaleur maximale de 0,2 W/g, </w:t>
      </w:r>
      <w:r w:rsidRPr="00491BD9">
        <w:rPr>
          <w:bCs/>
          <w:i/>
          <w:iCs/>
          <w:lang w:val="fr-FR"/>
        </w:rPr>
        <w:t xml:space="preserve">un écart </w:t>
      </w:r>
      <w:r w:rsidRPr="00491BD9">
        <w:rPr>
          <w:i/>
          <w:iCs/>
          <w:lang w:val="fr-FR"/>
        </w:rPr>
        <w:t>de 25 % est</w:t>
      </w:r>
      <w:r w:rsidRPr="00491BD9">
        <w:rPr>
          <w:lang w:val="fr-FR"/>
        </w:rPr>
        <w:t xml:space="preserve"> </w:t>
      </w:r>
      <w:r w:rsidRPr="00491BD9">
        <w:rPr>
          <w:i/>
          <w:iCs/>
          <w:lang w:val="fr-FR"/>
        </w:rPr>
        <w:t>acceptable dans les plages de température inférieures à 250 °C, et de 40 % au-dessus de cette limite.</w:t>
      </w:r>
      <w:r w:rsidRPr="00491BD9">
        <w:rPr>
          <w:lang w:val="fr-FR"/>
        </w:rPr>
        <w:t> ».</w:t>
      </w:r>
    </w:p>
    <w:p w14:paraId="6432220D" w14:textId="68AE7267" w:rsidR="00422EE3" w:rsidRPr="00491BD9" w:rsidRDefault="00422EE3" w:rsidP="0055326F">
      <w:pPr>
        <w:pStyle w:val="SingleTxtG"/>
        <w:tabs>
          <w:tab w:val="left" w:pos="2268"/>
        </w:tabs>
        <w:rPr>
          <w:iCs/>
          <w:lang w:val="fr-FR"/>
        </w:rPr>
      </w:pPr>
      <w:r w:rsidRPr="00491BD9">
        <w:rPr>
          <w:lang w:val="fr-FR"/>
        </w:rPr>
        <w:t xml:space="preserve">Renuméroter les </w:t>
      </w:r>
      <w:r w:rsidRPr="00491BD9">
        <w:rPr>
          <w:iCs/>
          <w:lang w:val="fr-FR"/>
        </w:rPr>
        <w:t>figures 20.2 et 20.3 en tant que figures 20.5 et 20.6 respectivement</w:t>
      </w:r>
      <w:r w:rsidR="0018144A">
        <w:rPr>
          <w:iCs/>
          <w:lang w:val="fr-FR"/>
        </w:rPr>
        <w:t xml:space="preserve"> </w:t>
      </w:r>
      <w:r w:rsidR="0018144A" w:rsidRPr="0018144A">
        <w:rPr>
          <w:iCs/>
          <w:lang w:val="fr-FR"/>
        </w:rPr>
        <w:t>et mettre à jour les références croisées au paragraphe 20.5.1.</w:t>
      </w:r>
    </w:p>
    <w:p w14:paraId="68D8859B" w14:textId="6533B0BB" w:rsidR="00105454" w:rsidRPr="00491BD9" w:rsidRDefault="00105454" w:rsidP="00105454">
      <w:pPr>
        <w:pStyle w:val="H1G"/>
        <w:rPr>
          <w:rFonts w:eastAsiaTheme="minorHAnsi"/>
          <w:lang w:val="fr-FR" w:eastAsia="en-US"/>
        </w:rPr>
      </w:pPr>
      <w:r w:rsidRPr="00491BD9">
        <w:rPr>
          <w:rFonts w:eastAsiaTheme="minorHAnsi"/>
          <w:lang w:val="fr-FR" w:eastAsia="en-US"/>
        </w:rPr>
        <w:tab/>
      </w:r>
      <w:r w:rsidRPr="00491BD9">
        <w:rPr>
          <w:rFonts w:eastAsiaTheme="minorHAnsi"/>
          <w:lang w:val="fr-FR" w:eastAsia="en-US"/>
        </w:rPr>
        <w:tab/>
        <w:t xml:space="preserve">Section </w:t>
      </w:r>
      <w:r>
        <w:rPr>
          <w:rFonts w:eastAsiaTheme="minorHAnsi"/>
          <w:lang w:val="fr-FR" w:eastAsia="en-US"/>
        </w:rPr>
        <w:t>28</w:t>
      </w:r>
    </w:p>
    <w:p w14:paraId="292E7720" w14:textId="77777777" w:rsidR="005F0E87" w:rsidRPr="005F0E87" w:rsidRDefault="005F0E87" w:rsidP="005F0E87">
      <w:pPr>
        <w:keepNext/>
        <w:spacing w:after="120"/>
        <w:ind w:left="2268" w:right="1134" w:hanging="1134"/>
        <w:jc w:val="both"/>
        <w:rPr>
          <w:rFonts w:eastAsiaTheme="minorHAnsi"/>
          <w:lang w:eastAsia="en-US"/>
        </w:rPr>
      </w:pPr>
      <w:r w:rsidRPr="005F0E87">
        <w:rPr>
          <w:rFonts w:eastAsiaTheme="minorHAnsi"/>
          <w:lang w:val="fr-FR" w:eastAsia="en-US"/>
        </w:rPr>
        <w:t>28.1</w:t>
      </w:r>
      <w:r w:rsidRPr="005F0E87">
        <w:rPr>
          <w:rFonts w:eastAsiaTheme="minorHAnsi"/>
          <w:lang w:val="fr-FR" w:eastAsia="en-US"/>
        </w:rPr>
        <w:tab/>
        <w:t>Le premier paragraphe sous le point 28.1 devient le 28.1.1 avec les modifications suivantes :</w:t>
      </w:r>
    </w:p>
    <w:p w14:paraId="769CC291" w14:textId="18EA0E5C" w:rsidR="005F0E87" w:rsidRPr="005F0E87" w:rsidRDefault="005F0E87" w:rsidP="005F0E87">
      <w:pPr>
        <w:spacing w:after="120"/>
        <w:ind w:left="2268" w:right="1134" w:hanging="1134"/>
        <w:jc w:val="both"/>
        <w:rPr>
          <w:rFonts w:eastAsiaTheme="minorHAnsi"/>
          <w:lang w:val="fr-FR" w:eastAsia="en-US"/>
        </w:rPr>
      </w:pPr>
      <w:r w:rsidRPr="005F0E87">
        <w:rPr>
          <w:rFonts w:eastAsiaTheme="minorHAnsi"/>
          <w:lang w:val="fr-FR" w:eastAsia="en-US"/>
        </w:rPr>
        <w:tab/>
        <w:t>Dans la première phrase, remplacer « </w:t>
      </w:r>
      <w:bookmarkStart w:id="4" w:name="_Hlk65576404"/>
      <w:r w:rsidRPr="005F0E87">
        <w:rPr>
          <w:lang w:eastAsia="fr-FR"/>
        </w:rPr>
        <w:t xml:space="preserve">la TDAA (température de décomposition auto-accélérée ou point de décomposition exothermique) </w:t>
      </w:r>
      <w:r w:rsidRPr="005F0E87">
        <w:rPr>
          <w:spacing w:val="-2"/>
          <w:lang w:eastAsia="fr-FR"/>
        </w:rPr>
        <w:t>et la TPAA (température de polymérisation auto-accélérée)</w:t>
      </w:r>
      <w:bookmarkEnd w:id="4"/>
      <w:r w:rsidRPr="005F0E87">
        <w:rPr>
          <w:spacing w:val="-2"/>
          <w:lang w:eastAsia="fr-FR"/>
        </w:rPr>
        <w:t> » par « </w:t>
      </w:r>
      <w:r w:rsidRPr="005F0E87">
        <w:rPr>
          <w:lang w:eastAsia="fr-FR"/>
        </w:rPr>
        <w:t xml:space="preserve">la température de </w:t>
      </w:r>
      <w:r w:rsidRPr="005F0E87">
        <w:rPr>
          <w:lang w:eastAsia="fr-FR"/>
        </w:rPr>
        <w:lastRenderedPageBreak/>
        <w:t xml:space="preserve">décomposition auto-accélérée (TDAA) ou point de décomposition exothermique </w:t>
      </w:r>
      <w:r w:rsidRPr="005F0E87">
        <w:rPr>
          <w:spacing w:val="-2"/>
          <w:lang w:eastAsia="fr-FR"/>
        </w:rPr>
        <w:t>et la température de polymérisation auto-accélérée (TPAA) ».</w:t>
      </w:r>
    </w:p>
    <w:p w14:paraId="76E11A80" w14:textId="722C2C11" w:rsidR="005F0E87" w:rsidRPr="005F0E87" w:rsidRDefault="0055326F" w:rsidP="00166AE3">
      <w:pPr>
        <w:spacing w:after="120"/>
        <w:ind w:left="2268" w:right="1134" w:hanging="1134"/>
        <w:jc w:val="both"/>
        <w:rPr>
          <w:rFonts w:eastAsiaTheme="minorHAnsi"/>
          <w:lang w:eastAsia="en-US"/>
        </w:rPr>
      </w:pPr>
      <w:r>
        <w:rPr>
          <w:rFonts w:eastAsiaTheme="minorHAnsi"/>
          <w:lang w:val="fr-FR" w:eastAsia="en-US"/>
        </w:rPr>
        <w:tab/>
      </w:r>
      <w:r w:rsidR="005F0E87" w:rsidRPr="005F0E87">
        <w:rPr>
          <w:rFonts w:eastAsiaTheme="minorHAnsi"/>
          <w:lang w:val="fr-FR" w:eastAsia="en-US"/>
        </w:rPr>
        <w:t>La dernière phrase avant les actuels alinéas a) à c) se lit comme suit : « Pour faciliter l’interprétation des résultats, les modèles suivants peuvent être utilisés :</w:t>
      </w:r>
      <w:r w:rsidR="005F0E87" w:rsidRPr="005F0E87">
        <w:rPr>
          <w:rFonts w:eastAsiaTheme="minorHAnsi"/>
          <w:b/>
          <w:bCs/>
          <w:vertAlign w:val="superscript"/>
          <w:lang w:val="fr-FR" w:eastAsia="en-US"/>
        </w:rPr>
        <w:t>1</w:t>
      </w:r>
      <w:r w:rsidR="005F0E87" w:rsidRPr="005F0E87">
        <w:rPr>
          <w:rFonts w:eastAsiaTheme="minorHAnsi"/>
          <w:lang w:val="fr-FR" w:eastAsia="en-US"/>
        </w:rPr>
        <w:t> »</w:t>
      </w:r>
    </w:p>
    <w:p w14:paraId="34C29B02" w14:textId="77777777" w:rsidR="005F0E87" w:rsidRPr="005F0E87" w:rsidRDefault="005F0E87" w:rsidP="005F0E87">
      <w:pPr>
        <w:keepNext/>
        <w:keepLines/>
        <w:spacing w:after="120"/>
        <w:ind w:left="2268" w:right="1134" w:hanging="1134"/>
        <w:jc w:val="both"/>
        <w:rPr>
          <w:rFonts w:eastAsiaTheme="minorHAnsi"/>
          <w:lang w:eastAsia="en-US"/>
        </w:rPr>
      </w:pPr>
      <w:r w:rsidRPr="005F0E87">
        <w:rPr>
          <w:rFonts w:eastAsiaTheme="minorHAnsi"/>
          <w:lang w:val="fr-FR" w:eastAsia="en-US"/>
        </w:rPr>
        <w:tab/>
        <w:t>Remplacer les alinéas a) à c) actuels par le texte suivant :</w:t>
      </w:r>
    </w:p>
    <w:p w14:paraId="28C174F8" w14:textId="4A5C966A" w:rsidR="005F0E87" w:rsidRPr="005F0E87" w:rsidRDefault="003E357B" w:rsidP="003E357B">
      <w:pPr>
        <w:tabs>
          <w:tab w:val="left" w:pos="2268"/>
        </w:tabs>
        <w:spacing w:after="120"/>
        <w:ind w:left="2835" w:right="1134" w:hanging="1701"/>
        <w:jc w:val="both"/>
        <w:rPr>
          <w:rFonts w:eastAsiaTheme="minorHAnsi"/>
          <w:lang w:eastAsia="en-US"/>
        </w:rPr>
      </w:pPr>
      <w:r>
        <w:rPr>
          <w:rFonts w:eastAsiaTheme="minorHAnsi"/>
          <w:lang w:val="fr-FR" w:eastAsia="en-US"/>
        </w:rPr>
        <w:tab/>
      </w:r>
      <w:r w:rsidR="005F0E87" w:rsidRPr="005F0E87">
        <w:rPr>
          <w:rFonts w:eastAsiaTheme="minorHAnsi"/>
          <w:lang w:val="fr-FR" w:eastAsia="en-US"/>
        </w:rPr>
        <w:t>« a)</w:t>
      </w:r>
      <w:r w:rsidR="005F0E87" w:rsidRPr="005F0E87">
        <w:rPr>
          <w:rFonts w:eastAsiaTheme="minorHAnsi"/>
          <w:lang w:val="fr-FR" w:eastAsia="en-US"/>
        </w:rPr>
        <w:tab/>
        <w:t>Le modèle de Semenov, dans lequel la principale résistance au transfert de chaleur se trouve à la périphérie (c’est à dire au niveau de l’emballage). Ce modèle est généralement applicable aux liquides homogènes mais peut également être appliqué aux matières solides dans les emballages (à l’exclusion des GRV) ;</w:t>
      </w:r>
    </w:p>
    <w:p w14:paraId="20B10E62" w14:textId="0B0D6750" w:rsidR="005F0E87" w:rsidRPr="005F0E87" w:rsidRDefault="003E357B" w:rsidP="003E357B">
      <w:pPr>
        <w:tabs>
          <w:tab w:val="left" w:pos="2268"/>
        </w:tabs>
        <w:spacing w:after="120"/>
        <w:ind w:left="2835" w:right="1134" w:hanging="1701"/>
        <w:jc w:val="both"/>
        <w:rPr>
          <w:rFonts w:eastAsiaTheme="minorHAnsi"/>
          <w:lang w:eastAsia="en-US"/>
        </w:rPr>
      </w:pPr>
      <w:r>
        <w:rPr>
          <w:rFonts w:eastAsiaTheme="minorHAnsi"/>
          <w:lang w:val="fr-FR" w:eastAsia="en-US"/>
        </w:rPr>
        <w:tab/>
      </w:r>
      <w:r w:rsidR="005F0E87" w:rsidRPr="005F0E87">
        <w:rPr>
          <w:rFonts w:eastAsiaTheme="minorHAnsi"/>
          <w:lang w:val="fr-FR" w:eastAsia="en-US"/>
        </w:rPr>
        <w:t>b)</w:t>
      </w:r>
      <w:r w:rsidR="005F0E87" w:rsidRPr="005F0E87">
        <w:rPr>
          <w:rFonts w:eastAsiaTheme="minorHAnsi"/>
          <w:lang w:val="fr-FR" w:eastAsia="en-US"/>
        </w:rPr>
        <w:tab/>
        <w:t>Le modèle de Frank-</w:t>
      </w:r>
      <w:proofErr w:type="spellStart"/>
      <w:r w:rsidR="005F0E87" w:rsidRPr="005F0E87">
        <w:rPr>
          <w:rFonts w:eastAsiaTheme="minorHAnsi"/>
          <w:lang w:val="fr-FR" w:eastAsia="en-US"/>
        </w:rPr>
        <w:t>Kamenetskii</w:t>
      </w:r>
      <w:proofErr w:type="spellEnd"/>
      <w:r w:rsidR="005F0E87" w:rsidRPr="005F0E87">
        <w:rPr>
          <w:rFonts w:eastAsiaTheme="minorHAnsi"/>
          <w:lang w:val="fr-FR" w:eastAsia="en-US"/>
        </w:rPr>
        <w:t>, dans lequel la principale résistance au transfert de chaleur se trouve à l’intérieur de la matière. Ce modèle est généralement applicable aux matières solides contenues dans des emballages plus grands, des GRV ou des citernes ;</w:t>
      </w:r>
    </w:p>
    <w:p w14:paraId="43819999" w14:textId="1C4116BF" w:rsidR="005F0E87" w:rsidRPr="005F0E87" w:rsidRDefault="003E357B" w:rsidP="003E357B">
      <w:pPr>
        <w:tabs>
          <w:tab w:val="left" w:pos="2268"/>
        </w:tabs>
        <w:spacing w:after="120"/>
        <w:ind w:left="2835" w:right="1134" w:hanging="1701"/>
        <w:jc w:val="both"/>
        <w:rPr>
          <w:rFonts w:eastAsiaTheme="minorHAnsi"/>
          <w:lang w:eastAsia="en-US"/>
        </w:rPr>
      </w:pPr>
      <w:r>
        <w:rPr>
          <w:rFonts w:eastAsiaTheme="minorHAnsi"/>
          <w:lang w:val="fr-FR" w:eastAsia="en-US"/>
        </w:rPr>
        <w:tab/>
      </w:r>
      <w:r w:rsidR="005F0E87" w:rsidRPr="005F0E87">
        <w:rPr>
          <w:rFonts w:eastAsiaTheme="minorHAnsi"/>
          <w:lang w:val="fr-FR" w:eastAsia="en-US"/>
        </w:rPr>
        <w:t>c)</w:t>
      </w:r>
      <w:r w:rsidR="005F0E87" w:rsidRPr="005F0E87">
        <w:rPr>
          <w:rFonts w:eastAsiaTheme="minorHAnsi"/>
          <w:lang w:val="fr-FR" w:eastAsia="en-US"/>
        </w:rPr>
        <w:tab/>
      </w:r>
      <w:r w:rsidR="005F0E87" w:rsidRPr="005F0E87">
        <w:rPr>
          <w:rFonts w:eastAsiaTheme="minorHAnsi"/>
          <w:lang w:val="fr-FR" w:eastAsia="en-US"/>
        </w:rPr>
        <w:tab/>
        <w:t>Le modèle de Thomas, dans lequel la résistance au transfert de chaleur se situe à la fois à la périphérie et dans la matière ;</w:t>
      </w:r>
    </w:p>
    <w:p w14:paraId="5DEE4DCF" w14:textId="08125716" w:rsidR="005F0E87" w:rsidRPr="005F0E87" w:rsidRDefault="003E357B" w:rsidP="003E357B">
      <w:pPr>
        <w:tabs>
          <w:tab w:val="left" w:pos="2268"/>
        </w:tabs>
        <w:spacing w:after="120"/>
        <w:ind w:left="2835" w:right="1134" w:hanging="1701"/>
        <w:jc w:val="both"/>
        <w:rPr>
          <w:rFonts w:eastAsiaTheme="minorHAnsi"/>
          <w:lang w:eastAsia="en-US"/>
        </w:rPr>
      </w:pPr>
      <w:r>
        <w:rPr>
          <w:rFonts w:eastAsiaTheme="minorHAnsi"/>
          <w:lang w:val="fr-FR" w:eastAsia="en-US"/>
        </w:rPr>
        <w:tab/>
      </w:r>
      <w:r w:rsidR="005F0E87" w:rsidRPr="005F0E87">
        <w:rPr>
          <w:rFonts w:eastAsiaTheme="minorHAnsi"/>
          <w:lang w:val="fr-FR" w:eastAsia="en-US"/>
        </w:rPr>
        <w:t>d)</w:t>
      </w:r>
      <w:r w:rsidR="005F0E87" w:rsidRPr="005F0E87">
        <w:rPr>
          <w:rFonts w:eastAsiaTheme="minorHAnsi"/>
          <w:lang w:val="fr-FR" w:eastAsia="en-US"/>
        </w:rPr>
        <w:tab/>
        <w:t>Les modèles non stationnaires, par exemple les méthodes par éléments finis, ou la méthode de la mécanique numérique des fluides, combinés avec des méthodes thermocinétiques. »</w:t>
      </w:r>
    </w:p>
    <w:p w14:paraId="1A2BE621" w14:textId="77777777" w:rsidR="005F0E87" w:rsidRPr="005F0E87" w:rsidRDefault="005F0E87" w:rsidP="005F0E87">
      <w:pPr>
        <w:keepNext/>
        <w:keepLines/>
        <w:spacing w:after="120"/>
        <w:ind w:left="2268" w:right="1134" w:hanging="1134"/>
        <w:jc w:val="both"/>
        <w:rPr>
          <w:rFonts w:eastAsiaTheme="minorHAnsi"/>
          <w:lang w:eastAsia="en-US"/>
        </w:rPr>
      </w:pPr>
      <w:r w:rsidRPr="005F0E87">
        <w:rPr>
          <w:rFonts w:eastAsiaTheme="minorHAnsi"/>
          <w:lang w:val="fr-FR" w:eastAsia="en-US"/>
        </w:rPr>
        <w:tab/>
        <w:t>Les références qui figurent actuellement à la fin du paragraphe deviennent la note de bas de page « 1 » et se lisent comme suit :</w:t>
      </w:r>
    </w:p>
    <w:p w14:paraId="212830FE" w14:textId="07F9ED8E" w:rsidR="005F0E87" w:rsidRPr="005F0E87" w:rsidRDefault="005F0E87" w:rsidP="00E87AA3">
      <w:pPr>
        <w:spacing w:after="120"/>
        <w:ind w:left="1134" w:right="1134"/>
        <w:jc w:val="both"/>
        <w:rPr>
          <w:rFonts w:eastAsiaTheme="minorHAnsi"/>
          <w:i/>
          <w:iCs/>
          <w:lang w:eastAsia="en-US"/>
        </w:rPr>
      </w:pPr>
      <w:r w:rsidRPr="005F0E87">
        <w:rPr>
          <w:rFonts w:eastAsiaTheme="minorHAnsi"/>
          <w:lang w:val="fr-FR" w:eastAsia="en-US"/>
        </w:rPr>
        <w:t>« </w:t>
      </w:r>
      <w:r w:rsidRPr="005F0E87">
        <w:rPr>
          <w:rFonts w:eastAsiaTheme="minorHAnsi"/>
          <w:sz w:val="18"/>
          <w:szCs w:val="18"/>
          <w:vertAlign w:val="superscript"/>
          <w:lang w:val="fr-FR" w:eastAsia="en-US"/>
        </w:rPr>
        <w:t>1</w:t>
      </w:r>
      <w:r w:rsidRPr="005F0E87">
        <w:rPr>
          <w:rFonts w:eastAsiaTheme="minorHAnsi"/>
          <w:sz w:val="18"/>
          <w:szCs w:val="18"/>
          <w:lang w:val="fr-FR" w:eastAsia="en-US"/>
        </w:rPr>
        <w:t xml:space="preserve"> </w:t>
      </w:r>
      <w:r w:rsidR="00E87AA3">
        <w:rPr>
          <w:rFonts w:eastAsiaTheme="minorHAnsi"/>
          <w:sz w:val="18"/>
          <w:szCs w:val="18"/>
          <w:lang w:val="fr-FR" w:eastAsia="en-US"/>
        </w:rPr>
        <w:tab/>
      </w:r>
      <w:r w:rsidRPr="005F0E87">
        <w:rPr>
          <w:rFonts w:eastAsiaTheme="minorHAnsi"/>
          <w:i/>
          <w:sz w:val="18"/>
          <w:szCs w:val="18"/>
          <w:lang w:val="fr-FR" w:eastAsia="en-US"/>
        </w:rPr>
        <w:t>Références : N. N. Semenov, Z. </w:t>
      </w:r>
      <w:proofErr w:type="spellStart"/>
      <w:r w:rsidRPr="005F0E87">
        <w:rPr>
          <w:rFonts w:eastAsiaTheme="minorHAnsi"/>
          <w:i/>
          <w:sz w:val="18"/>
          <w:szCs w:val="18"/>
          <w:lang w:val="fr-FR" w:eastAsia="en-US"/>
        </w:rPr>
        <w:t>Physik</w:t>
      </w:r>
      <w:proofErr w:type="spellEnd"/>
      <w:r w:rsidRPr="005F0E87">
        <w:rPr>
          <w:rFonts w:eastAsiaTheme="minorHAnsi"/>
          <w:i/>
          <w:sz w:val="18"/>
          <w:szCs w:val="18"/>
          <w:lang w:val="fr-FR" w:eastAsia="en-US"/>
        </w:rPr>
        <w:t xml:space="preserve">, </w:t>
      </w:r>
      <w:r w:rsidRPr="005F0E87">
        <w:rPr>
          <w:rFonts w:eastAsiaTheme="minorHAnsi"/>
          <w:i/>
          <w:sz w:val="18"/>
          <w:szCs w:val="18"/>
          <w:u w:val="single"/>
          <w:lang w:val="fr-FR" w:eastAsia="en-US"/>
        </w:rPr>
        <w:t>48</w:t>
      </w:r>
      <w:r w:rsidRPr="005F0E87">
        <w:rPr>
          <w:rFonts w:eastAsiaTheme="minorHAnsi"/>
          <w:i/>
          <w:sz w:val="18"/>
          <w:szCs w:val="18"/>
          <w:lang w:val="fr-FR" w:eastAsia="en-US"/>
        </w:rPr>
        <w:t>, 1928, 571 ;</w:t>
      </w:r>
      <w:r w:rsidRPr="005F0E87">
        <w:rPr>
          <w:rFonts w:eastAsiaTheme="minorHAnsi"/>
          <w:sz w:val="18"/>
          <w:szCs w:val="18"/>
          <w:lang w:val="fr-FR" w:eastAsia="en-US"/>
        </w:rPr>
        <w:t xml:space="preserve"> </w:t>
      </w:r>
      <w:r w:rsidRPr="005F0E87">
        <w:rPr>
          <w:rFonts w:eastAsiaTheme="minorHAnsi"/>
          <w:i/>
          <w:iCs/>
          <w:sz w:val="18"/>
          <w:szCs w:val="18"/>
          <w:lang w:val="fr-FR" w:eastAsia="en-US"/>
        </w:rPr>
        <w:t>D. A. Frank-</w:t>
      </w:r>
      <w:proofErr w:type="spellStart"/>
      <w:r w:rsidRPr="005F0E87">
        <w:rPr>
          <w:rFonts w:eastAsiaTheme="minorHAnsi"/>
          <w:i/>
          <w:iCs/>
          <w:sz w:val="18"/>
          <w:szCs w:val="18"/>
          <w:lang w:val="fr-FR" w:eastAsia="en-US"/>
        </w:rPr>
        <w:t>Kamentskii</w:t>
      </w:r>
      <w:proofErr w:type="spellEnd"/>
      <w:r w:rsidRPr="005F0E87">
        <w:rPr>
          <w:rFonts w:eastAsiaTheme="minorHAnsi"/>
          <w:i/>
          <w:iCs/>
          <w:sz w:val="18"/>
          <w:szCs w:val="18"/>
          <w:lang w:val="fr-FR" w:eastAsia="en-US"/>
        </w:rPr>
        <w:t xml:space="preserve">, </w:t>
      </w:r>
      <w:proofErr w:type="spellStart"/>
      <w:r w:rsidRPr="005F0E87">
        <w:rPr>
          <w:rFonts w:eastAsiaTheme="minorHAnsi"/>
          <w:i/>
          <w:iCs/>
          <w:sz w:val="18"/>
          <w:szCs w:val="18"/>
          <w:lang w:val="fr-FR" w:eastAsia="en-US"/>
        </w:rPr>
        <w:t>Zhur</w:t>
      </w:r>
      <w:proofErr w:type="spellEnd"/>
      <w:r w:rsidRPr="005F0E87">
        <w:rPr>
          <w:rFonts w:eastAsiaTheme="minorHAnsi"/>
          <w:i/>
          <w:iCs/>
          <w:sz w:val="18"/>
          <w:szCs w:val="18"/>
          <w:lang w:val="fr-FR" w:eastAsia="en-US"/>
        </w:rPr>
        <w:t xml:space="preserve">, </w:t>
      </w:r>
      <w:proofErr w:type="spellStart"/>
      <w:r w:rsidRPr="005F0E87">
        <w:rPr>
          <w:rFonts w:eastAsiaTheme="minorHAnsi"/>
          <w:i/>
          <w:iCs/>
          <w:sz w:val="18"/>
          <w:szCs w:val="18"/>
          <w:lang w:val="fr-FR" w:eastAsia="en-US"/>
        </w:rPr>
        <w:t>Fiz</w:t>
      </w:r>
      <w:proofErr w:type="spellEnd"/>
      <w:r w:rsidRPr="005F0E87">
        <w:rPr>
          <w:rFonts w:eastAsiaTheme="minorHAnsi"/>
          <w:i/>
          <w:iCs/>
          <w:sz w:val="18"/>
          <w:szCs w:val="18"/>
          <w:lang w:val="fr-FR" w:eastAsia="en-US"/>
        </w:rPr>
        <w:t>.</w:t>
      </w:r>
      <w:r w:rsidRPr="005F0E87">
        <w:rPr>
          <w:rFonts w:eastAsiaTheme="minorHAnsi"/>
          <w:sz w:val="18"/>
          <w:szCs w:val="18"/>
          <w:lang w:val="fr-FR" w:eastAsia="en-US"/>
        </w:rPr>
        <w:t xml:space="preserve"> </w:t>
      </w:r>
      <w:proofErr w:type="spellStart"/>
      <w:r w:rsidRPr="005F0E87">
        <w:rPr>
          <w:rFonts w:eastAsiaTheme="minorHAnsi"/>
          <w:i/>
          <w:iCs/>
          <w:sz w:val="18"/>
          <w:szCs w:val="18"/>
          <w:lang w:val="fr-FR" w:eastAsia="en-US"/>
        </w:rPr>
        <w:t>Khim</w:t>
      </w:r>
      <w:proofErr w:type="spellEnd"/>
      <w:r w:rsidRPr="005F0E87">
        <w:rPr>
          <w:rFonts w:eastAsiaTheme="minorHAnsi"/>
          <w:i/>
          <w:iCs/>
          <w:sz w:val="18"/>
          <w:szCs w:val="18"/>
          <w:lang w:val="fr-FR" w:eastAsia="en-US"/>
        </w:rPr>
        <w:t xml:space="preserve">, </w:t>
      </w:r>
      <w:r w:rsidRPr="005F0E87">
        <w:rPr>
          <w:rFonts w:eastAsiaTheme="minorHAnsi"/>
          <w:i/>
          <w:iCs/>
          <w:sz w:val="18"/>
          <w:szCs w:val="18"/>
          <w:u w:val="single"/>
          <w:lang w:val="fr-FR" w:eastAsia="en-US"/>
        </w:rPr>
        <w:t>13</w:t>
      </w:r>
      <w:r w:rsidRPr="005F0E87">
        <w:rPr>
          <w:rFonts w:eastAsiaTheme="minorHAnsi"/>
          <w:i/>
          <w:iCs/>
          <w:sz w:val="18"/>
          <w:szCs w:val="18"/>
          <w:lang w:val="fr-FR" w:eastAsia="en-US"/>
        </w:rPr>
        <w:t>, 1939, 738;</w:t>
      </w:r>
      <w:r w:rsidRPr="005F0E87">
        <w:rPr>
          <w:rFonts w:eastAsiaTheme="minorHAnsi"/>
          <w:sz w:val="18"/>
          <w:szCs w:val="18"/>
          <w:lang w:val="fr-FR" w:eastAsia="en-US"/>
        </w:rPr>
        <w:t xml:space="preserve"> </w:t>
      </w:r>
      <w:r w:rsidRPr="005F0E87">
        <w:rPr>
          <w:rFonts w:eastAsiaTheme="minorHAnsi"/>
          <w:i/>
          <w:iCs/>
          <w:sz w:val="18"/>
          <w:szCs w:val="18"/>
          <w:lang w:val="fr-FR" w:eastAsia="en-US"/>
        </w:rPr>
        <w:t>P.H. Thomas, Trans.</w:t>
      </w:r>
      <w:r w:rsidRPr="005F0E87">
        <w:rPr>
          <w:rFonts w:eastAsiaTheme="minorHAnsi"/>
          <w:sz w:val="18"/>
          <w:szCs w:val="18"/>
          <w:lang w:val="fr-FR" w:eastAsia="en-US"/>
        </w:rPr>
        <w:t xml:space="preserve"> </w:t>
      </w:r>
      <w:r w:rsidRPr="005F0E87">
        <w:rPr>
          <w:rFonts w:eastAsiaTheme="minorHAnsi"/>
          <w:i/>
          <w:iCs/>
          <w:sz w:val="18"/>
          <w:szCs w:val="18"/>
          <w:lang w:val="fr-FR" w:eastAsia="en-US"/>
        </w:rPr>
        <w:t xml:space="preserve">Faraday Soc., </w:t>
      </w:r>
      <w:r w:rsidRPr="005F0E87">
        <w:rPr>
          <w:rFonts w:eastAsiaTheme="minorHAnsi"/>
          <w:i/>
          <w:iCs/>
          <w:sz w:val="18"/>
          <w:szCs w:val="18"/>
          <w:u w:val="single"/>
          <w:lang w:val="fr-FR" w:eastAsia="en-US"/>
        </w:rPr>
        <w:t>54</w:t>
      </w:r>
      <w:r w:rsidRPr="005F0E87">
        <w:rPr>
          <w:rFonts w:eastAsiaTheme="minorHAnsi"/>
          <w:i/>
          <w:iCs/>
          <w:sz w:val="18"/>
          <w:szCs w:val="18"/>
          <w:lang w:val="fr-FR" w:eastAsia="en-US"/>
        </w:rPr>
        <w:t>, 1958,60.</w:t>
      </w:r>
      <w:r w:rsidRPr="005F0E87">
        <w:rPr>
          <w:rFonts w:eastAsiaTheme="minorHAnsi"/>
          <w:i/>
          <w:iCs/>
          <w:lang w:val="fr-FR" w:eastAsia="en-US"/>
        </w:rPr>
        <w:t> </w:t>
      </w:r>
      <w:r w:rsidRPr="005F0E87">
        <w:rPr>
          <w:rFonts w:eastAsiaTheme="minorHAnsi"/>
          <w:lang w:val="fr-FR" w:eastAsia="en-US"/>
        </w:rPr>
        <w:t>»</w:t>
      </w:r>
    </w:p>
    <w:p w14:paraId="1DEC522C" w14:textId="77777777" w:rsidR="005F0E87" w:rsidRPr="005F0E87" w:rsidRDefault="005F0E87" w:rsidP="00E87AA3">
      <w:pPr>
        <w:tabs>
          <w:tab w:val="left" w:pos="2268"/>
        </w:tabs>
        <w:spacing w:after="120"/>
        <w:ind w:left="2268" w:right="1134"/>
        <w:jc w:val="both"/>
        <w:rPr>
          <w:rFonts w:eastAsiaTheme="minorHAnsi"/>
          <w:lang w:val="fr-FR" w:eastAsia="en-US"/>
        </w:rPr>
      </w:pPr>
      <w:r w:rsidRPr="005F0E87">
        <w:rPr>
          <w:rFonts w:eastAsiaTheme="minorHAnsi"/>
          <w:lang w:val="fr-FR" w:eastAsia="en-US"/>
        </w:rPr>
        <w:t>La phrase qui commence par : « Ce texte devrait être utilisé » et se termine par « 2.5.3.4 du Règlement type » devient le 28.1.2.</w:t>
      </w:r>
    </w:p>
    <w:p w14:paraId="0E1929EB" w14:textId="77777777" w:rsidR="005F0E87" w:rsidRPr="005F0E87" w:rsidRDefault="005F0E87" w:rsidP="005F0E87">
      <w:pPr>
        <w:keepNext/>
        <w:keepLines/>
        <w:spacing w:after="120"/>
        <w:ind w:left="1134" w:right="1134"/>
        <w:jc w:val="both"/>
        <w:rPr>
          <w:rFonts w:eastAsiaTheme="minorHAnsi"/>
          <w:lang w:eastAsia="en-US"/>
        </w:rPr>
      </w:pPr>
      <w:r w:rsidRPr="005F0E87">
        <w:rPr>
          <w:rFonts w:eastAsiaTheme="minorHAnsi"/>
          <w:lang w:val="fr-FR" w:eastAsia="en-US"/>
        </w:rPr>
        <w:t>Ajouter le nouveau paragraphe 28.1.3 suivant :</w:t>
      </w:r>
    </w:p>
    <w:p w14:paraId="7669DE3B" w14:textId="77777777" w:rsidR="005F0E87" w:rsidRPr="005F0E87" w:rsidRDefault="005F0E87" w:rsidP="00E87AA3">
      <w:pPr>
        <w:spacing w:after="120"/>
        <w:ind w:left="1134" w:right="1134"/>
        <w:jc w:val="both"/>
        <w:rPr>
          <w:rFonts w:eastAsiaTheme="minorHAnsi"/>
          <w:i/>
          <w:iCs/>
          <w:lang w:eastAsia="en-US"/>
        </w:rPr>
      </w:pPr>
      <w:r w:rsidRPr="005F0E87">
        <w:rPr>
          <w:rFonts w:eastAsiaTheme="minorHAnsi"/>
          <w:lang w:val="fr-FR" w:eastAsia="en-US"/>
        </w:rPr>
        <w:t>« 28.1.3</w:t>
      </w:r>
      <w:r w:rsidRPr="005F0E87">
        <w:rPr>
          <w:rFonts w:eastAsiaTheme="minorHAnsi"/>
          <w:lang w:val="fr-FR" w:eastAsia="en-US"/>
        </w:rPr>
        <w:tab/>
        <w:t>La TDAA tout comme la TPAA peuvent être influencées par des facteurs tels que le vieillissement de l’échantillon ou la présence d’agents stabilisants ou d’impuretés dans l’échantillon (provenant notamment des matériaux d’emballage en contact avec la matière). Ces éventuels facteurs devraient être pris en compte dans l’évaluation des résultats de la détermination d’une TDAA ou d’une TPAA.</w:t>
      </w:r>
      <w:r w:rsidRPr="005F0E87">
        <w:rPr>
          <w:rFonts w:eastAsiaTheme="minorHAnsi"/>
          <w:i/>
          <w:iCs/>
          <w:lang w:val="fr-FR" w:eastAsia="en-US"/>
        </w:rPr>
        <w:t> </w:t>
      </w:r>
      <w:r w:rsidRPr="005F0E87">
        <w:rPr>
          <w:rFonts w:eastAsiaTheme="minorHAnsi"/>
          <w:lang w:val="fr-FR" w:eastAsia="en-US"/>
        </w:rPr>
        <w:t>»</w:t>
      </w:r>
    </w:p>
    <w:p w14:paraId="72125E68" w14:textId="30B4EBCD" w:rsidR="005F0E87" w:rsidRPr="005F0E87" w:rsidRDefault="005F0E87" w:rsidP="006812CC">
      <w:pPr>
        <w:spacing w:after="120"/>
        <w:ind w:left="2268" w:right="1134" w:hanging="1134"/>
        <w:jc w:val="both"/>
        <w:rPr>
          <w:rFonts w:eastAsiaTheme="minorHAnsi"/>
          <w:lang w:eastAsia="en-US"/>
        </w:rPr>
      </w:pPr>
      <w:r w:rsidRPr="005F0E87">
        <w:rPr>
          <w:rFonts w:eastAsiaTheme="minorHAnsi"/>
          <w:lang w:val="fr-FR" w:eastAsia="en-US"/>
        </w:rPr>
        <w:t>28.2.2</w:t>
      </w:r>
      <w:r w:rsidRPr="005F0E87">
        <w:rPr>
          <w:rFonts w:eastAsiaTheme="minorHAnsi"/>
          <w:lang w:val="fr-FR" w:eastAsia="en-US"/>
        </w:rPr>
        <w:tab/>
      </w:r>
      <w:r w:rsidRPr="005F0E87">
        <w:rPr>
          <w:rFonts w:eastAsiaTheme="minorHAnsi"/>
          <w:lang w:val="fr-FR" w:eastAsia="en-US"/>
        </w:rPr>
        <w:tab/>
        <w:t xml:space="preserve">Dans le tableau 28.1, </w:t>
      </w:r>
      <w:r w:rsidR="00C10590">
        <w:rPr>
          <w:rFonts w:eastAsiaTheme="minorHAnsi"/>
          <w:lang w:eastAsia="en-US"/>
        </w:rPr>
        <w:t>m</w:t>
      </w:r>
      <w:r w:rsidR="00C10590" w:rsidRPr="005F0E87">
        <w:rPr>
          <w:rFonts w:eastAsiaTheme="minorHAnsi"/>
          <w:lang w:eastAsia="en-US"/>
        </w:rPr>
        <w:t xml:space="preserve">odifier le nom de l’épreuve H.1 </w:t>
      </w:r>
      <w:r w:rsidR="00C10590">
        <w:rPr>
          <w:rFonts w:eastAsiaTheme="minorHAnsi"/>
          <w:lang w:eastAsia="en-US"/>
        </w:rPr>
        <w:t>pour lire</w:t>
      </w:r>
      <w:r w:rsidR="00C10590" w:rsidRPr="005F0E87">
        <w:rPr>
          <w:rFonts w:eastAsiaTheme="minorHAnsi"/>
          <w:lang w:eastAsia="en-US"/>
        </w:rPr>
        <w:t xml:space="preserve"> : « Épreuve TDAA/TPAA des États-Unis »</w:t>
      </w:r>
      <w:r w:rsidR="00C10590">
        <w:rPr>
          <w:rFonts w:eastAsiaTheme="minorHAnsi"/>
          <w:lang w:eastAsia="en-US"/>
        </w:rPr>
        <w:t xml:space="preserve"> et </w:t>
      </w:r>
      <w:r w:rsidRPr="005F0E87">
        <w:rPr>
          <w:rFonts w:eastAsiaTheme="minorHAnsi"/>
          <w:lang w:val="fr-FR" w:eastAsia="en-US"/>
        </w:rPr>
        <w:t>remplacer « (ESI) » par « (ESI)</w:t>
      </w:r>
      <w:r w:rsidRPr="005F0E87">
        <w:rPr>
          <w:rFonts w:eastAsiaTheme="minorHAnsi"/>
          <w:vertAlign w:val="superscript"/>
          <w:lang w:val="fr-FR" w:eastAsia="en-US"/>
        </w:rPr>
        <w:t>b</w:t>
      </w:r>
      <w:r w:rsidRPr="005F0E87">
        <w:rPr>
          <w:rFonts w:eastAsiaTheme="minorHAnsi"/>
          <w:lang w:val="fr-FR" w:eastAsia="en-US"/>
        </w:rPr>
        <w:t> ».</w:t>
      </w:r>
    </w:p>
    <w:p w14:paraId="45BCB983" w14:textId="77777777"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28.2.6</w:t>
      </w:r>
      <w:r w:rsidRPr="005F0E87">
        <w:rPr>
          <w:rFonts w:eastAsiaTheme="minorHAnsi"/>
          <w:lang w:val="fr-FR" w:eastAsia="en-US"/>
        </w:rPr>
        <w:tab/>
      </w:r>
      <w:r w:rsidRPr="005F0E87">
        <w:rPr>
          <w:rFonts w:eastAsiaTheme="minorHAnsi"/>
          <w:lang w:val="fr-FR" w:eastAsia="en-US"/>
        </w:rPr>
        <w:tab/>
        <w:t>Remplacer « les résultats obtenus pour les grands colis du commerce » par « les résultats obtenus pour les colis plus grands ». </w:t>
      </w:r>
    </w:p>
    <w:p w14:paraId="7425A8A2" w14:textId="77777777"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28.3.4</w:t>
      </w:r>
      <w:r w:rsidRPr="005F0E87">
        <w:rPr>
          <w:rFonts w:eastAsiaTheme="minorHAnsi"/>
          <w:lang w:val="fr-FR" w:eastAsia="en-US"/>
        </w:rPr>
        <w:tab/>
      </w:r>
      <w:r w:rsidRPr="005F0E87">
        <w:rPr>
          <w:rFonts w:eastAsiaTheme="minorHAnsi"/>
          <w:lang w:val="fr-FR" w:eastAsia="en-US"/>
        </w:rPr>
        <w:tab/>
        <w:t>Remplacer « doivent être utilisés pour déterminer la TDAA ou la TPAA avec précision » par « doivent être utilisés pour la détermination définitive de la TDAA et de la TPAA ». </w:t>
      </w:r>
    </w:p>
    <w:p w14:paraId="63C34B15" w14:textId="6153FCBA" w:rsidR="005F0E87" w:rsidRPr="005F0E87" w:rsidRDefault="005F0E87" w:rsidP="00705876">
      <w:pPr>
        <w:keepNext/>
        <w:keepLines/>
        <w:spacing w:after="120"/>
        <w:ind w:left="2268" w:right="1134" w:hanging="1134"/>
        <w:jc w:val="both"/>
        <w:rPr>
          <w:rFonts w:eastAsiaTheme="minorHAnsi"/>
          <w:lang w:eastAsia="en-US"/>
        </w:rPr>
      </w:pPr>
      <w:r w:rsidRPr="005F0E87">
        <w:rPr>
          <w:rFonts w:eastAsiaTheme="minorHAnsi"/>
          <w:lang w:val="fr-FR" w:eastAsia="en-US"/>
        </w:rPr>
        <w:t>28.3.5</w:t>
      </w:r>
      <w:r w:rsidRPr="005F0E87">
        <w:rPr>
          <w:rFonts w:eastAsiaTheme="minorHAnsi"/>
          <w:lang w:val="fr-FR" w:eastAsia="en-US"/>
        </w:rPr>
        <w:tab/>
      </w:r>
      <w:r w:rsidRPr="005F0E87">
        <w:rPr>
          <w:rFonts w:eastAsiaTheme="minorHAnsi"/>
          <w:lang w:val="fr-FR" w:eastAsia="en-US"/>
        </w:rPr>
        <w:tab/>
        <w:t>Ajouter les phrases suivantes après la première phrase :</w:t>
      </w:r>
    </w:p>
    <w:p w14:paraId="562444C3" w14:textId="3EC49079" w:rsidR="005F0E87" w:rsidRPr="005F0E87" w:rsidRDefault="005F0E87" w:rsidP="00705876">
      <w:pPr>
        <w:spacing w:after="120"/>
        <w:ind w:left="1134" w:right="1134"/>
        <w:jc w:val="both"/>
        <w:rPr>
          <w:rFonts w:eastAsiaTheme="minorHAnsi"/>
          <w:lang w:eastAsia="en-US"/>
        </w:rPr>
      </w:pPr>
      <w:r w:rsidRPr="005F0E87">
        <w:rPr>
          <w:rFonts w:eastAsiaTheme="minorHAnsi"/>
          <w:lang w:val="fr-FR" w:eastAsia="en-US"/>
        </w:rPr>
        <w:t>« </w:t>
      </w:r>
      <w:r w:rsidRPr="005F0E87">
        <w:rPr>
          <w:lang w:eastAsia="fr-FR"/>
        </w:rPr>
        <w:t>Pour tous les types d’emballages jusqu’à 50 kg pour les matières solides ou 200 kg/225 litres pour les liquides et, pour les GRV, jusqu’à 1250 litres pour les liquides, une perte de chaleur standard par unité de masse est indiquée dans le tableau 28.4. Pour les autres emballages, les GRV ou les citernes, ou lorsqu’il est nécessaire de disposer d’une valeur de perte de chaleur qui s’écarte de celle indiquée dans le tableau 28.4, la valeur réelle de perte de chaleur par unité de masse doit être déterminée.</w:t>
      </w:r>
      <w:r w:rsidRPr="005F0E87">
        <w:rPr>
          <w:rFonts w:eastAsiaTheme="minorHAnsi"/>
          <w:lang w:val="fr-FR" w:eastAsia="en-US"/>
        </w:rPr>
        <w:t> »</w:t>
      </w:r>
    </w:p>
    <w:p w14:paraId="07A284FB" w14:textId="5DC66B67" w:rsidR="005F0E87" w:rsidRPr="005F0E87" w:rsidRDefault="005F0E87" w:rsidP="003106D2">
      <w:pPr>
        <w:spacing w:after="120"/>
        <w:ind w:left="2268" w:right="1134" w:hanging="1134"/>
        <w:jc w:val="both"/>
        <w:rPr>
          <w:rFonts w:eastAsiaTheme="minorHAnsi"/>
          <w:lang w:eastAsia="en-US"/>
        </w:rPr>
      </w:pPr>
      <w:r w:rsidRPr="005F0E87">
        <w:rPr>
          <w:rFonts w:eastAsiaTheme="minorHAnsi"/>
          <w:lang w:val="fr-FR" w:eastAsia="en-US"/>
        </w:rPr>
        <w:tab/>
      </w:r>
      <w:r w:rsidR="00B041C5">
        <w:rPr>
          <w:rFonts w:eastAsiaTheme="minorHAnsi"/>
          <w:lang w:val="fr-FR" w:eastAsia="en-US"/>
        </w:rPr>
        <w:t>Dans</w:t>
      </w:r>
      <w:r w:rsidRPr="005F0E87">
        <w:rPr>
          <w:rFonts w:eastAsiaTheme="minorHAnsi"/>
          <w:lang w:val="fr-FR" w:eastAsia="en-US"/>
        </w:rPr>
        <w:t xml:space="preserve"> la phrase qui commence actuellement par « La perte de chaleur par unité de masse »</w:t>
      </w:r>
      <w:r w:rsidR="000971F1">
        <w:rPr>
          <w:rFonts w:eastAsiaTheme="minorHAnsi"/>
          <w:lang w:val="fr-FR" w:eastAsia="en-US"/>
        </w:rPr>
        <w:t>, modifier le</w:t>
      </w:r>
      <w:r w:rsidRPr="005F0E87">
        <w:rPr>
          <w:rFonts w:eastAsiaTheme="minorHAnsi"/>
          <w:lang w:val="fr-FR" w:eastAsia="en-US"/>
        </w:rPr>
        <w:t xml:space="preserve"> début </w:t>
      </w:r>
      <w:r w:rsidR="000971F1">
        <w:rPr>
          <w:rFonts w:eastAsiaTheme="minorHAnsi"/>
          <w:lang w:val="fr-FR" w:eastAsia="en-US"/>
        </w:rPr>
        <w:t>pour lire</w:t>
      </w:r>
      <w:r w:rsidRPr="005F0E87">
        <w:rPr>
          <w:rFonts w:eastAsiaTheme="minorHAnsi"/>
          <w:lang w:val="fr-FR" w:eastAsia="en-US"/>
        </w:rPr>
        <w:t xml:space="preserve"> « Dans ce cas, la perte de chaleur par unité de masse de colis... »</w:t>
      </w:r>
      <w:r w:rsidR="000971F1">
        <w:rPr>
          <w:rFonts w:eastAsiaTheme="minorHAnsi"/>
          <w:lang w:val="fr-FR" w:eastAsia="en-US"/>
        </w:rPr>
        <w:t xml:space="preserve"> et r</w:t>
      </w:r>
      <w:r w:rsidRPr="005F0E87">
        <w:rPr>
          <w:rFonts w:eastAsiaTheme="minorHAnsi"/>
          <w:lang w:val="fr-FR" w:eastAsia="en-US"/>
        </w:rPr>
        <w:t xml:space="preserve">emplacer « ... du transfert de chaleur dans la matière et du transfert de chaleur à travers l’emballage vers l’environnement) » par « ... du transfert de chaleur dans la matière, du transfert de chaleur à travers </w:t>
      </w:r>
      <w:r w:rsidRPr="005F0E87">
        <w:rPr>
          <w:rFonts w:eastAsiaTheme="minorHAnsi"/>
          <w:lang w:val="fr-FR" w:eastAsia="en-US"/>
        </w:rPr>
        <w:lastRenderedPageBreak/>
        <w:t>l’emballage et du transfert de chaleur de la paroi extérieure de l’emballage vers l’environnement (voir Nota))... »</w:t>
      </w:r>
      <w:r w:rsidR="00060CA0">
        <w:rPr>
          <w:rFonts w:eastAsiaTheme="minorHAnsi"/>
          <w:lang w:val="fr-FR" w:eastAsia="en-US"/>
        </w:rPr>
        <w:t>.</w:t>
      </w:r>
    </w:p>
    <w:p w14:paraId="00D441AB" w14:textId="77777777" w:rsidR="005F0E87" w:rsidRPr="005F0E87" w:rsidRDefault="005F0E87" w:rsidP="005F0E87">
      <w:pPr>
        <w:keepNext/>
        <w:keepLines/>
        <w:spacing w:after="120"/>
        <w:ind w:left="2268" w:right="1134"/>
        <w:jc w:val="both"/>
        <w:rPr>
          <w:rFonts w:eastAsiaTheme="minorHAnsi"/>
          <w:lang w:eastAsia="en-US"/>
        </w:rPr>
      </w:pPr>
      <w:r w:rsidRPr="005F0E87">
        <w:rPr>
          <w:rFonts w:eastAsiaTheme="minorHAnsi"/>
          <w:lang w:val="fr-FR" w:eastAsia="en-US"/>
        </w:rPr>
        <w:t>Ajouter un Nota comme suit :</w:t>
      </w:r>
    </w:p>
    <w:p w14:paraId="69E7DE3D" w14:textId="75B5F0AD" w:rsidR="005F0E87" w:rsidRPr="005F0E87" w:rsidRDefault="005F0E87" w:rsidP="00705876">
      <w:pPr>
        <w:spacing w:after="120"/>
        <w:ind w:left="1134" w:right="1134"/>
        <w:jc w:val="both"/>
        <w:rPr>
          <w:rFonts w:eastAsiaTheme="minorHAnsi"/>
          <w:i/>
          <w:iCs/>
          <w:lang w:eastAsia="en-US"/>
        </w:rPr>
      </w:pPr>
      <w:r w:rsidRPr="005F0E87">
        <w:rPr>
          <w:rFonts w:eastAsiaTheme="minorHAnsi"/>
          <w:lang w:eastAsia="en-US"/>
        </w:rPr>
        <w:t>«</w:t>
      </w:r>
      <w:r w:rsidRPr="005F0E87">
        <w:rPr>
          <w:rFonts w:eastAsiaTheme="minorHAnsi"/>
          <w:i/>
          <w:iCs/>
          <w:lang w:val="fr-FR" w:eastAsia="en-US"/>
        </w:rPr>
        <w:t> </w:t>
      </w:r>
      <w:r w:rsidRPr="005F0E87">
        <w:rPr>
          <w:rFonts w:eastAsiaTheme="minorHAnsi"/>
          <w:b/>
          <w:bCs/>
          <w:i/>
          <w:iCs/>
          <w:lang w:val="fr-FR" w:eastAsia="en-US"/>
        </w:rPr>
        <w:t>NOTA :</w:t>
      </w:r>
      <w:r w:rsidRPr="005F0E87">
        <w:rPr>
          <w:rFonts w:eastAsiaTheme="minorHAnsi"/>
          <w:b/>
          <w:bCs/>
          <w:lang w:val="fr-FR" w:eastAsia="en-US"/>
        </w:rPr>
        <w:tab/>
      </w:r>
      <w:r w:rsidRPr="005F0E87">
        <w:rPr>
          <w:rFonts w:eastAsiaTheme="minorHAnsi"/>
          <w:i/>
          <w:iCs/>
          <w:lang w:val="fr-FR" w:eastAsia="en-US"/>
        </w:rPr>
        <w:t>Pour les calculs, un coefficient de transmission thermique externe (c’est-à-dire la transmission de chaleur de la paroi extérieure de l’emballage vers l’environnement) de 5 W/m</w:t>
      </w:r>
      <w:r w:rsidRPr="005F0E87">
        <w:rPr>
          <w:rFonts w:eastAsiaTheme="minorHAnsi"/>
          <w:i/>
          <w:iCs/>
          <w:vertAlign w:val="superscript"/>
          <w:lang w:val="fr-FR" w:eastAsia="en-US"/>
        </w:rPr>
        <w:t>2</w:t>
      </w:r>
      <w:r w:rsidRPr="005F0E87">
        <w:rPr>
          <w:rFonts w:eastAsiaTheme="minorHAnsi"/>
          <w:i/>
          <w:iCs/>
          <w:lang w:val="fr-FR" w:eastAsia="en-US"/>
        </w:rPr>
        <w:t>.K peut être utilisé.</w:t>
      </w:r>
      <w:r w:rsidR="00BC7143">
        <w:rPr>
          <w:rFonts w:eastAsiaTheme="minorHAnsi"/>
          <w:i/>
          <w:iCs/>
          <w:lang w:val="fr-FR" w:eastAsia="en-US"/>
        </w:rPr>
        <w:t> </w:t>
      </w:r>
      <w:r w:rsidRPr="005F0E87">
        <w:rPr>
          <w:rFonts w:eastAsiaTheme="minorHAnsi"/>
          <w:lang w:eastAsia="en-US"/>
        </w:rPr>
        <w:t>»</w:t>
      </w:r>
    </w:p>
    <w:p w14:paraId="7F45AEF0" w14:textId="61E384E4" w:rsidR="005F0E87" w:rsidRPr="005F0E87" w:rsidRDefault="005F0E87" w:rsidP="005F0E87">
      <w:pPr>
        <w:keepNext/>
        <w:keepLines/>
        <w:spacing w:after="120"/>
        <w:ind w:left="1134" w:right="1134"/>
        <w:jc w:val="both"/>
        <w:rPr>
          <w:rFonts w:eastAsiaTheme="minorHAnsi"/>
          <w:lang w:eastAsia="en-US"/>
        </w:rPr>
      </w:pPr>
      <w:r w:rsidRPr="005F0E87">
        <w:rPr>
          <w:rFonts w:eastAsiaTheme="minorHAnsi"/>
          <w:lang w:val="fr-FR" w:eastAsia="en-US"/>
        </w:rPr>
        <w:t>28.3.6</w:t>
      </w:r>
      <w:r w:rsidRPr="005F0E87">
        <w:rPr>
          <w:rFonts w:eastAsiaTheme="minorHAnsi"/>
          <w:lang w:val="fr-FR" w:eastAsia="en-US"/>
        </w:rPr>
        <w:tab/>
      </w:r>
      <w:r w:rsidRPr="005F0E87">
        <w:rPr>
          <w:rFonts w:eastAsiaTheme="minorHAnsi"/>
          <w:lang w:val="fr-FR" w:eastAsia="en-US"/>
        </w:rPr>
        <w:tab/>
      </w:r>
      <w:r w:rsidR="00BC7143">
        <w:rPr>
          <w:rFonts w:eastAsiaTheme="minorHAnsi"/>
          <w:lang w:val="fr-FR" w:eastAsia="en-US"/>
        </w:rPr>
        <w:t>L’amendement de la première phrase est s</w:t>
      </w:r>
      <w:r w:rsidRPr="005F0E87">
        <w:rPr>
          <w:rFonts w:eastAsiaTheme="minorHAnsi"/>
          <w:lang w:val="fr-FR" w:eastAsia="en-US"/>
        </w:rPr>
        <w:t>ans objet en français</w:t>
      </w:r>
    </w:p>
    <w:p w14:paraId="2F551E41" w14:textId="77777777"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Ajouter une quatrième phrase comme suit : « Pour les matières solides par exemple, l’emballage peut être rempli de carbonate de sodium anhydre (masse volumique apparente supérieure à 1 g/cm3) chauffé à environ 80 °C. »</w:t>
      </w:r>
    </w:p>
    <w:p w14:paraId="6F768132" w14:textId="475C591C" w:rsidR="005F0E87" w:rsidRPr="005F0E87" w:rsidRDefault="005F0E87" w:rsidP="005F0E87">
      <w:pPr>
        <w:spacing w:after="120"/>
        <w:ind w:left="2268" w:right="1134" w:hanging="1134"/>
        <w:jc w:val="both"/>
        <w:rPr>
          <w:rFonts w:eastAsiaTheme="minorHAnsi"/>
          <w:i/>
          <w:iCs/>
          <w:lang w:val="fr-FR" w:eastAsia="en-US"/>
        </w:rPr>
      </w:pPr>
      <w:r w:rsidRPr="005F0E87">
        <w:rPr>
          <w:rFonts w:eastAsiaTheme="minorHAnsi"/>
          <w:lang w:val="fr-FR" w:eastAsia="en-US"/>
        </w:rPr>
        <w:t>28.3.7</w:t>
      </w:r>
      <w:r w:rsidRPr="005F0E87">
        <w:rPr>
          <w:rFonts w:eastAsiaTheme="minorHAnsi"/>
          <w:lang w:val="fr-FR" w:eastAsia="en-US"/>
        </w:rPr>
        <w:tab/>
      </w:r>
      <w:r w:rsidRPr="005F0E87">
        <w:rPr>
          <w:rFonts w:eastAsiaTheme="minorHAnsi"/>
          <w:lang w:val="fr-FR" w:eastAsia="en-US"/>
        </w:rPr>
        <w:tab/>
        <w:t xml:space="preserve">Modifier la première phrase comme suit : « Les caractéristiques standard de perte de chaleur des emballages, GRV et citernes sont indiquées dans le tableau 28.4. » </w:t>
      </w:r>
    </w:p>
    <w:p w14:paraId="30475659" w14:textId="77777777" w:rsidR="005F0E87" w:rsidRPr="005F0E87" w:rsidRDefault="005F0E87" w:rsidP="005F0E87">
      <w:pPr>
        <w:keepNext/>
        <w:keepLines/>
        <w:spacing w:after="120"/>
        <w:ind w:left="2268" w:right="1134" w:hanging="1134"/>
        <w:jc w:val="both"/>
        <w:rPr>
          <w:rFonts w:eastAsiaTheme="minorHAnsi"/>
          <w:lang w:val="fr-FR" w:eastAsia="en-US"/>
        </w:rPr>
      </w:pPr>
      <w:r w:rsidRPr="005F0E87">
        <w:rPr>
          <w:rFonts w:eastAsiaTheme="minorHAnsi"/>
          <w:lang w:val="fr-FR" w:eastAsia="en-US"/>
        </w:rPr>
        <w:tab/>
      </w:r>
      <w:r w:rsidRPr="005F0E87">
        <w:rPr>
          <w:rFonts w:eastAsiaTheme="minorHAnsi"/>
          <w:lang w:val="fr-FR" w:eastAsia="en-US"/>
        </w:rPr>
        <w:tab/>
        <w:t>Remplacer le tableau 28.4 actuel et les notes qui s’y rapportent par le tableau suivant :</w:t>
      </w:r>
    </w:p>
    <w:p w14:paraId="3BC85F7C" w14:textId="77777777" w:rsidR="005F0E87" w:rsidRPr="005F0E87" w:rsidRDefault="005F0E87" w:rsidP="005F0E87">
      <w:pPr>
        <w:keepNext/>
        <w:keepLines/>
        <w:spacing w:after="120"/>
        <w:ind w:left="1134" w:right="1134"/>
        <w:jc w:val="both"/>
        <w:rPr>
          <w:rFonts w:eastAsiaTheme="minorHAnsi"/>
          <w:lang w:eastAsia="en-US"/>
        </w:rPr>
      </w:pPr>
      <w:r w:rsidRPr="005F0E87">
        <w:rPr>
          <w:rFonts w:eastAsiaTheme="minorHAnsi"/>
          <w:lang w:eastAsia="en-US"/>
        </w:rPr>
        <w:t>«</w:t>
      </w:r>
      <w:r w:rsidRPr="005F0E87">
        <w:rPr>
          <w:rFonts w:eastAsiaTheme="minorHAnsi"/>
          <w:b/>
          <w:bCs/>
          <w:lang w:val="fr-FR" w:eastAsia="en-US"/>
        </w:rPr>
        <w:t> Tableau 28.4 : Pertes de chaleur par unité de masse des colis, GRV et citernes</w:t>
      </w:r>
    </w:p>
    <w:tbl>
      <w:tblPr>
        <w:tblW w:w="7370" w:type="dxa"/>
        <w:tblInd w:w="1134" w:type="dxa"/>
        <w:tblLayout w:type="fixed"/>
        <w:tblCellMar>
          <w:left w:w="0" w:type="dxa"/>
          <w:right w:w="0" w:type="dxa"/>
        </w:tblCellMar>
        <w:tblLook w:val="0000" w:firstRow="0" w:lastRow="0" w:firstColumn="0" w:lastColumn="0" w:noHBand="0" w:noVBand="0"/>
      </w:tblPr>
      <w:tblGrid>
        <w:gridCol w:w="1894"/>
        <w:gridCol w:w="2475"/>
        <w:gridCol w:w="856"/>
        <w:gridCol w:w="2145"/>
      </w:tblGrid>
      <w:tr w:rsidR="005F0E87" w:rsidRPr="005F0E87" w14:paraId="066F0A28" w14:textId="77777777" w:rsidTr="00BD3338">
        <w:trPr>
          <w:cantSplit/>
          <w:tblHeader/>
        </w:trPr>
        <w:tc>
          <w:tcPr>
            <w:tcW w:w="1285" w:type="pct"/>
            <w:tcBorders>
              <w:top w:val="single" w:sz="4" w:space="0" w:color="auto"/>
              <w:bottom w:val="single" w:sz="12" w:space="0" w:color="auto"/>
            </w:tcBorders>
            <w:shd w:val="clear" w:color="auto" w:fill="auto"/>
            <w:vAlign w:val="bottom"/>
          </w:tcPr>
          <w:p w14:paraId="1103F902" w14:textId="77777777" w:rsidR="005F0E87" w:rsidRPr="005F0E87" w:rsidRDefault="005F0E87" w:rsidP="005F0E87">
            <w:pPr>
              <w:keepNext/>
              <w:keepLines/>
              <w:suppressAutoHyphens w:val="0"/>
              <w:spacing w:before="80" w:after="80" w:line="200" w:lineRule="exact"/>
              <w:rPr>
                <w:rFonts w:eastAsiaTheme="minorHAnsi"/>
                <w:b/>
                <w:i/>
                <w:sz w:val="16"/>
                <w:lang w:eastAsia="en-US"/>
              </w:rPr>
            </w:pPr>
            <w:r w:rsidRPr="005F0E87">
              <w:rPr>
                <w:rFonts w:eastAsiaTheme="minorHAnsi"/>
                <w:b/>
                <w:i/>
                <w:sz w:val="16"/>
                <w:lang w:val="fr-FR" w:eastAsia="en-US"/>
              </w:rPr>
              <w:t>Type de récipient</w:t>
            </w:r>
          </w:p>
        </w:tc>
        <w:tc>
          <w:tcPr>
            <w:tcW w:w="1679" w:type="pct"/>
            <w:tcBorders>
              <w:top w:val="single" w:sz="4" w:space="0" w:color="auto"/>
              <w:bottom w:val="single" w:sz="12" w:space="0" w:color="auto"/>
            </w:tcBorders>
            <w:shd w:val="clear" w:color="auto" w:fill="auto"/>
            <w:vAlign w:val="bottom"/>
          </w:tcPr>
          <w:p w14:paraId="607476D9" w14:textId="28418603" w:rsidR="005F0E87" w:rsidRPr="005F0E87" w:rsidRDefault="005F0E87" w:rsidP="005F0E87">
            <w:pPr>
              <w:keepNext/>
              <w:keepLines/>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Capacité nominale</w:t>
            </w:r>
          </w:p>
        </w:tc>
        <w:tc>
          <w:tcPr>
            <w:tcW w:w="581" w:type="pct"/>
            <w:tcBorders>
              <w:top w:val="single" w:sz="4" w:space="0" w:color="auto"/>
              <w:bottom w:val="single" w:sz="12" w:space="0" w:color="auto"/>
            </w:tcBorders>
            <w:shd w:val="clear" w:color="auto" w:fill="auto"/>
            <w:vAlign w:val="bottom"/>
          </w:tcPr>
          <w:p w14:paraId="6F005AB7" w14:textId="77777777" w:rsidR="005F0E87" w:rsidRPr="005F0E87" w:rsidRDefault="005F0E87" w:rsidP="005F0E87">
            <w:pPr>
              <w:keepNext/>
              <w:keepLines/>
              <w:suppressAutoHyphens w:val="0"/>
              <w:spacing w:before="80" w:after="80" w:line="200" w:lineRule="exact"/>
              <w:jc w:val="right"/>
              <w:rPr>
                <w:rFonts w:eastAsiaTheme="minorHAnsi"/>
                <w:b/>
                <w:i/>
                <w:sz w:val="16"/>
                <w:lang w:val="en-GB" w:eastAsia="en-US"/>
              </w:rPr>
            </w:pPr>
          </w:p>
        </w:tc>
        <w:tc>
          <w:tcPr>
            <w:tcW w:w="1455" w:type="pct"/>
            <w:tcBorders>
              <w:top w:val="single" w:sz="4" w:space="0" w:color="auto"/>
              <w:bottom w:val="single" w:sz="12" w:space="0" w:color="auto"/>
            </w:tcBorders>
            <w:shd w:val="clear" w:color="auto" w:fill="auto"/>
            <w:vAlign w:val="bottom"/>
          </w:tcPr>
          <w:p w14:paraId="7BA5104B" w14:textId="0774EE51" w:rsidR="005F0E87" w:rsidRPr="005F0E87" w:rsidRDefault="005F0E87" w:rsidP="005F0E87">
            <w:pPr>
              <w:keepNext/>
              <w:keepLines/>
              <w:suppressAutoHyphens w:val="0"/>
              <w:spacing w:before="80" w:after="80" w:line="200" w:lineRule="exact"/>
              <w:jc w:val="right"/>
              <w:rPr>
                <w:rFonts w:eastAsiaTheme="minorHAnsi"/>
                <w:b/>
                <w:i/>
                <w:sz w:val="16"/>
                <w:lang w:eastAsia="en-US"/>
              </w:rPr>
            </w:pPr>
            <w:r w:rsidRPr="005F0E87">
              <w:rPr>
                <w:rFonts w:eastAsiaTheme="minorHAnsi"/>
                <w:b/>
                <w:i/>
                <w:sz w:val="16"/>
                <w:lang w:val="fr-FR" w:eastAsia="en-US"/>
              </w:rPr>
              <w:t xml:space="preserve">Perte de chaleur </w:t>
            </w:r>
            <w:r w:rsidRPr="005F0E87">
              <w:rPr>
                <w:rFonts w:eastAsiaTheme="minorHAnsi"/>
                <w:b/>
                <w:i/>
                <w:sz w:val="16"/>
                <w:lang w:val="fr-FR" w:eastAsia="en-US"/>
              </w:rPr>
              <w:br/>
              <w:t xml:space="preserve">par unité </w:t>
            </w:r>
            <w:r w:rsidRPr="005F0E87">
              <w:rPr>
                <w:rFonts w:eastAsiaTheme="minorHAnsi"/>
                <w:b/>
                <w:i/>
                <w:sz w:val="16"/>
                <w:lang w:val="fr-FR" w:eastAsia="en-US"/>
              </w:rPr>
              <w:br/>
              <w:t>de masse (L)</w:t>
            </w:r>
            <w:r w:rsidRPr="005F0E87">
              <w:rPr>
                <w:rFonts w:eastAsiaTheme="minorHAnsi"/>
                <w:b/>
                <w:i/>
                <w:sz w:val="16"/>
                <w:lang w:val="fr-FR" w:eastAsia="en-US"/>
              </w:rPr>
              <w:br/>
              <w:t xml:space="preserve"> (mW/K.kg)</w:t>
            </w:r>
            <w:r w:rsidR="00391075" w:rsidRPr="00CD30F0">
              <w:rPr>
                <w:rFonts w:eastAsiaTheme="minorHAnsi"/>
                <w:b/>
                <w:i/>
                <w:sz w:val="16"/>
                <w:vertAlign w:val="superscript"/>
                <w:lang w:val="fr-FR" w:eastAsia="en-US"/>
              </w:rPr>
              <w:t>a</w:t>
            </w:r>
          </w:p>
        </w:tc>
      </w:tr>
      <w:tr w:rsidR="005F0E87" w:rsidRPr="005F0E87" w14:paraId="28D007BD" w14:textId="77777777" w:rsidTr="00BD3338">
        <w:trPr>
          <w:cantSplit/>
        </w:trPr>
        <w:tc>
          <w:tcPr>
            <w:tcW w:w="1285" w:type="pct"/>
            <w:tcBorders>
              <w:top w:val="single" w:sz="12" w:space="0" w:color="auto"/>
            </w:tcBorders>
            <w:shd w:val="clear" w:color="auto" w:fill="auto"/>
          </w:tcPr>
          <w:p w14:paraId="6CE54C36"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b/>
                <w:sz w:val="18"/>
                <w:lang w:val="fr-FR" w:eastAsia="en-US"/>
              </w:rPr>
              <w:t>Pour les liquides</w:t>
            </w:r>
          </w:p>
        </w:tc>
        <w:tc>
          <w:tcPr>
            <w:tcW w:w="1679" w:type="pct"/>
            <w:tcBorders>
              <w:top w:val="single" w:sz="12" w:space="0" w:color="auto"/>
            </w:tcBorders>
            <w:shd w:val="clear" w:color="auto" w:fill="auto"/>
            <w:vAlign w:val="bottom"/>
          </w:tcPr>
          <w:p w14:paraId="33A9AFD9"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581" w:type="pct"/>
            <w:tcBorders>
              <w:top w:val="single" w:sz="12" w:space="0" w:color="auto"/>
            </w:tcBorders>
            <w:shd w:val="clear" w:color="auto" w:fill="auto"/>
            <w:vAlign w:val="bottom"/>
          </w:tcPr>
          <w:p w14:paraId="0FCBF7F8"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tcBorders>
              <w:top w:val="single" w:sz="12" w:space="0" w:color="auto"/>
            </w:tcBorders>
            <w:shd w:val="clear" w:color="auto" w:fill="auto"/>
            <w:vAlign w:val="bottom"/>
          </w:tcPr>
          <w:p w14:paraId="1EF49A4C"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r>
      <w:tr w:rsidR="005F0E87" w:rsidRPr="005F0E87" w14:paraId="186991E0" w14:textId="77777777" w:rsidTr="00BD3338">
        <w:trPr>
          <w:cantSplit/>
        </w:trPr>
        <w:tc>
          <w:tcPr>
            <w:tcW w:w="1285" w:type="pct"/>
            <w:shd w:val="clear" w:color="auto" w:fill="auto"/>
          </w:tcPr>
          <w:p w14:paraId="4FC5A4FE"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Emballages</w:t>
            </w:r>
          </w:p>
        </w:tc>
        <w:tc>
          <w:tcPr>
            <w:tcW w:w="1679" w:type="pct"/>
            <w:shd w:val="clear" w:color="auto" w:fill="auto"/>
            <w:vAlign w:val="bottom"/>
          </w:tcPr>
          <w:p w14:paraId="6C577B1D" w14:textId="77777777" w:rsidR="005F0E87" w:rsidRPr="005F0E87" w:rsidRDefault="005F0E87" w:rsidP="005F0E87">
            <w:pPr>
              <w:keepNext/>
              <w:keepLines/>
              <w:suppressAutoHyphens w:val="0"/>
              <w:spacing w:before="40" w:after="40" w:line="220" w:lineRule="exact"/>
              <w:ind w:right="117"/>
              <w:jc w:val="right"/>
              <w:rPr>
                <w:rFonts w:eastAsiaTheme="minorHAnsi"/>
                <w:sz w:val="18"/>
                <w:lang w:eastAsia="en-US"/>
              </w:rPr>
            </w:pPr>
            <w:r w:rsidRPr="005F0E87">
              <w:rPr>
                <w:rFonts w:eastAsiaTheme="minorHAnsi"/>
                <w:sz w:val="18"/>
                <w:lang w:val="fr-FR" w:eastAsia="en-US"/>
              </w:rPr>
              <w:t>Jusqu’à 200 kg/225 l</w:t>
            </w:r>
          </w:p>
        </w:tc>
        <w:tc>
          <w:tcPr>
            <w:tcW w:w="581" w:type="pct"/>
            <w:shd w:val="clear" w:color="auto" w:fill="auto"/>
            <w:vAlign w:val="bottom"/>
          </w:tcPr>
          <w:p w14:paraId="731AF561"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1455" w:type="pct"/>
            <w:shd w:val="clear" w:color="auto" w:fill="auto"/>
            <w:vAlign w:val="bottom"/>
          </w:tcPr>
          <w:p w14:paraId="6C446F2A"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40</w:t>
            </w:r>
            <w:r w:rsidRPr="005F0E87">
              <w:rPr>
                <w:rFonts w:eastAsiaTheme="minorHAnsi"/>
                <w:i/>
                <w:sz w:val="18"/>
                <w:vertAlign w:val="superscript"/>
                <w:lang w:val="fr-FR" w:eastAsia="en-US"/>
              </w:rPr>
              <w:t>b</w:t>
            </w:r>
          </w:p>
        </w:tc>
      </w:tr>
      <w:tr w:rsidR="005F0E87" w:rsidRPr="005F0E87" w14:paraId="353B3F56" w14:textId="77777777" w:rsidTr="00BD3338">
        <w:trPr>
          <w:cantSplit/>
        </w:trPr>
        <w:tc>
          <w:tcPr>
            <w:tcW w:w="1285" w:type="pct"/>
            <w:shd w:val="clear" w:color="auto" w:fill="auto"/>
          </w:tcPr>
          <w:p w14:paraId="250DFC58"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Emballages</w:t>
            </w:r>
          </w:p>
        </w:tc>
        <w:tc>
          <w:tcPr>
            <w:tcW w:w="1679" w:type="pct"/>
            <w:shd w:val="clear" w:color="auto" w:fill="auto"/>
            <w:vAlign w:val="bottom"/>
          </w:tcPr>
          <w:p w14:paraId="249677C3" w14:textId="77777777" w:rsidR="005F0E87" w:rsidRPr="005F0E87" w:rsidRDefault="005F0E87" w:rsidP="005F0E87">
            <w:pPr>
              <w:keepNext/>
              <w:keepLines/>
              <w:suppressAutoHyphens w:val="0"/>
              <w:spacing w:before="40" w:after="40" w:line="220" w:lineRule="exact"/>
              <w:ind w:right="117"/>
              <w:jc w:val="right"/>
              <w:rPr>
                <w:rFonts w:eastAsiaTheme="minorHAnsi"/>
                <w:sz w:val="18"/>
                <w:lang w:eastAsia="en-US"/>
              </w:rPr>
            </w:pPr>
            <w:r w:rsidRPr="005F0E87">
              <w:rPr>
                <w:rFonts w:eastAsiaTheme="minorHAnsi"/>
                <w:sz w:val="18"/>
                <w:lang w:val="fr-FR" w:eastAsia="en-US"/>
              </w:rPr>
              <w:t>200 kg/225 l et plus</w:t>
            </w:r>
          </w:p>
        </w:tc>
        <w:tc>
          <w:tcPr>
            <w:tcW w:w="581" w:type="pct"/>
            <w:shd w:val="clear" w:color="auto" w:fill="auto"/>
            <w:vAlign w:val="bottom"/>
          </w:tcPr>
          <w:p w14:paraId="3B7D4BBB"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1455" w:type="pct"/>
            <w:shd w:val="clear" w:color="auto" w:fill="auto"/>
            <w:vAlign w:val="bottom"/>
          </w:tcPr>
          <w:p w14:paraId="50CF213F" w14:textId="77777777" w:rsidR="005F0E87" w:rsidRPr="005F0E87" w:rsidRDefault="005F0E87" w:rsidP="005F0E87">
            <w:pPr>
              <w:keepNext/>
              <w:keepLines/>
              <w:suppressAutoHyphens w:val="0"/>
              <w:spacing w:before="40" w:after="40" w:line="220" w:lineRule="exact"/>
              <w:ind w:right="143"/>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5F0E87" w:rsidRPr="005F0E87" w14:paraId="7B98AEAD" w14:textId="77777777" w:rsidTr="00BD3338">
        <w:trPr>
          <w:cantSplit/>
        </w:trPr>
        <w:tc>
          <w:tcPr>
            <w:tcW w:w="1285" w:type="pct"/>
            <w:shd w:val="clear" w:color="auto" w:fill="auto"/>
          </w:tcPr>
          <w:p w14:paraId="3CF98ABA"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GRV</w:t>
            </w:r>
          </w:p>
        </w:tc>
        <w:tc>
          <w:tcPr>
            <w:tcW w:w="1679" w:type="pct"/>
            <w:shd w:val="clear" w:color="auto" w:fill="auto"/>
            <w:vAlign w:val="bottom"/>
          </w:tcPr>
          <w:p w14:paraId="4C4BDC28" w14:textId="77777777" w:rsidR="005F0E87" w:rsidRPr="005F0E87" w:rsidRDefault="005F0E87" w:rsidP="005F0E87">
            <w:pPr>
              <w:keepNext/>
              <w:keepLines/>
              <w:suppressAutoHyphens w:val="0"/>
              <w:spacing w:before="40" w:after="40" w:line="220" w:lineRule="exact"/>
              <w:ind w:right="117"/>
              <w:jc w:val="right"/>
              <w:rPr>
                <w:rFonts w:eastAsiaTheme="minorHAnsi"/>
                <w:sz w:val="18"/>
                <w:lang w:eastAsia="en-US"/>
              </w:rPr>
            </w:pPr>
            <w:r w:rsidRPr="005F0E87">
              <w:rPr>
                <w:rFonts w:eastAsiaTheme="minorHAnsi"/>
                <w:sz w:val="18"/>
                <w:lang w:val="fr-FR" w:eastAsia="en-US"/>
              </w:rPr>
              <w:tab/>
              <w:t>Jusqu’à 1250 l</w:t>
            </w:r>
          </w:p>
        </w:tc>
        <w:tc>
          <w:tcPr>
            <w:tcW w:w="581" w:type="pct"/>
            <w:shd w:val="clear" w:color="auto" w:fill="auto"/>
            <w:vAlign w:val="bottom"/>
          </w:tcPr>
          <w:p w14:paraId="1549DB87"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1455" w:type="pct"/>
            <w:shd w:val="clear" w:color="auto" w:fill="auto"/>
            <w:vAlign w:val="bottom"/>
          </w:tcPr>
          <w:p w14:paraId="4D777A39"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30</w:t>
            </w:r>
          </w:p>
        </w:tc>
      </w:tr>
      <w:tr w:rsidR="005F0E87" w:rsidRPr="005F0E87" w14:paraId="604EA3A4" w14:textId="77777777" w:rsidTr="00BD3338">
        <w:trPr>
          <w:cantSplit/>
        </w:trPr>
        <w:tc>
          <w:tcPr>
            <w:tcW w:w="1285" w:type="pct"/>
            <w:shd w:val="clear" w:color="auto" w:fill="auto"/>
          </w:tcPr>
          <w:p w14:paraId="2B72181D"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GRV</w:t>
            </w:r>
          </w:p>
        </w:tc>
        <w:tc>
          <w:tcPr>
            <w:tcW w:w="1679" w:type="pct"/>
            <w:shd w:val="clear" w:color="auto" w:fill="auto"/>
            <w:vAlign w:val="bottom"/>
          </w:tcPr>
          <w:p w14:paraId="5313CE5A" w14:textId="77777777" w:rsidR="005F0E87" w:rsidRPr="005F0E87" w:rsidRDefault="005F0E87" w:rsidP="005F0E87">
            <w:pPr>
              <w:keepNext/>
              <w:keepLines/>
              <w:suppressAutoHyphens w:val="0"/>
              <w:spacing w:before="40" w:after="40" w:line="220" w:lineRule="exact"/>
              <w:ind w:right="117"/>
              <w:jc w:val="right"/>
              <w:rPr>
                <w:rFonts w:eastAsiaTheme="minorHAnsi"/>
                <w:sz w:val="18"/>
                <w:lang w:val="en-GB" w:eastAsia="en-US"/>
              </w:rPr>
            </w:pPr>
            <w:r w:rsidRPr="005F0E87">
              <w:rPr>
                <w:rFonts w:eastAsiaTheme="minorHAnsi"/>
                <w:sz w:val="18"/>
                <w:lang w:val="fr-FR" w:eastAsia="en-US"/>
              </w:rPr>
              <w:t>1250 l et plus</w:t>
            </w:r>
          </w:p>
        </w:tc>
        <w:tc>
          <w:tcPr>
            <w:tcW w:w="581" w:type="pct"/>
            <w:shd w:val="clear" w:color="auto" w:fill="auto"/>
            <w:vAlign w:val="bottom"/>
          </w:tcPr>
          <w:p w14:paraId="39E026EA"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shd w:val="clear" w:color="auto" w:fill="auto"/>
            <w:vAlign w:val="bottom"/>
          </w:tcPr>
          <w:p w14:paraId="6741BF24"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5F0E87" w:rsidRPr="005F0E87" w14:paraId="7EFA7268" w14:textId="77777777" w:rsidTr="00BD3338">
        <w:trPr>
          <w:cantSplit/>
        </w:trPr>
        <w:tc>
          <w:tcPr>
            <w:tcW w:w="1285" w:type="pct"/>
            <w:shd w:val="clear" w:color="auto" w:fill="auto"/>
          </w:tcPr>
          <w:p w14:paraId="43E8A312"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Citernes</w:t>
            </w:r>
          </w:p>
        </w:tc>
        <w:tc>
          <w:tcPr>
            <w:tcW w:w="1679" w:type="pct"/>
            <w:shd w:val="clear" w:color="auto" w:fill="auto"/>
            <w:vAlign w:val="bottom"/>
          </w:tcPr>
          <w:p w14:paraId="4EC4B0DF"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581" w:type="pct"/>
            <w:shd w:val="clear" w:color="auto" w:fill="auto"/>
            <w:vAlign w:val="bottom"/>
          </w:tcPr>
          <w:p w14:paraId="6AC231DA"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shd w:val="clear" w:color="auto" w:fill="auto"/>
            <w:vAlign w:val="bottom"/>
          </w:tcPr>
          <w:p w14:paraId="36FF660B"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5F0E87" w:rsidRPr="005F0E87" w14:paraId="26BAC45E" w14:textId="77777777" w:rsidTr="00BD3338">
        <w:trPr>
          <w:cantSplit/>
        </w:trPr>
        <w:tc>
          <w:tcPr>
            <w:tcW w:w="1285" w:type="pct"/>
            <w:shd w:val="clear" w:color="auto" w:fill="auto"/>
          </w:tcPr>
          <w:p w14:paraId="69040BBF" w14:textId="77777777" w:rsidR="005F0E87" w:rsidRPr="005F0E87" w:rsidRDefault="005F0E87" w:rsidP="005F0E87">
            <w:pPr>
              <w:keepNext/>
              <w:keepLines/>
              <w:suppressAutoHyphens w:val="0"/>
              <w:spacing w:before="40" w:after="40" w:line="220" w:lineRule="exact"/>
              <w:rPr>
                <w:rFonts w:eastAsiaTheme="minorHAnsi"/>
                <w:sz w:val="18"/>
                <w:lang w:eastAsia="en-US"/>
              </w:rPr>
            </w:pPr>
          </w:p>
        </w:tc>
        <w:tc>
          <w:tcPr>
            <w:tcW w:w="1679" w:type="pct"/>
            <w:shd w:val="clear" w:color="auto" w:fill="auto"/>
            <w:vAlign w:val="bottom"/>
          </w:tcPr>
          <w:p w14:paraId="5B4383EA"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581" w:type="pct"/>
            <w:shd w:val="clear" w:color="auto" w:fill="auto"/>
            <w:vAlign w:val="bottom"/>
          </w:tcPr>
          <w:p w14:paraId="48288691"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1455" w:type="pct"/>
            <w:shd w:val="clear" w:color="auto" w:fill="auto"/>
            <w:vAlign w:val="bottom"/>
          </w:tcPr>
          <w:p w14:paraId="55BF4B5B"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r>
      <w:tr w:rsidR="005F0E87" w:rsidRPr="005F0E87" w14:paraId="6BB3393B" w14:textId="77777777" w:rsidTr="00BD3338">
        <w:trPr>
          <w:cantSplit/>
        </w:trPr>
        <w:tc>
          <w:tcPr>
            <w:tcW w:w="1285" w:type="pct"/>
            <w:shd w:val="clear" w:color="auto" w:fill="auto"/>
          </w:tcPr>
          <w:p w14:paraId="660C099C" w14:textId="77777777" w:rsidR="005F0E87" w:rsidRPr="005F0E87" w:rsidRDefault="005F0E87" w:rsidP="005F0E87">
            <w:pPr>
              <w:keepNext/>
              <w:keepLines/>
              <w:suppressAutoHyphens w:val="0"/>
              <w:spacing w:before="40" w:after="40" w:line="220" w:lineRule="exact"/>
              <w:rPr>
                <w:rFonts w:eastAsiaTheme="minorHAnsi"/>
                <w:b/>
                <w:sz w:val="18"/>
                <w:lang w:val="en-GB" w:eastAsia="en-US"/>
              </w:rPr>
            </w:pPr>
            <w:r w:rsidRPr="005F0E87">
              <w:rPr>
                <w:rFonts w:eastAsiaTheme="minorHAnsi"/>
                <w:b/>
                <w:sz w:val="18"/>
                <w:lang w:val="fr-FR" w:eastAsia="en-US"/>
              </w:rPr>
              <w:t>Pour les matières solides</w:t>
            </w:r>
          </w:p>
        </w:tc>
        <w:tc>
          <w:tcPr>
            <w:tcW w:w="1679" w:type="pct"/>
            <w:shd w:val="clear" w:color="auto" w:fill="auto"/>
            <w:vAlign w:val="bottom"/>
          </w:tcPr>
          <w:p w14:paraId="76D9A01A" w14:textId="77777777" w:rsidR="005F0E87" w:rsidRPr="005F0E87" w:rsidRDefault="005F0E87" w:rsidP="005F0E87">
            <w:pPr>
              <w:keepNext/>
              <w:keepLines/>
              <w:suppressAutoHyphens w:val="0"/>
              <w:spacing w:before="40" w:after="40" w:line="220" w:lineRule="exact"/>
              <w:jc w:val="right"/>
              <w:rPr>
                <w:rFonts w:eastAsiaTheme="minorHAnsi"/>
                <w:b/>
                <w:sz w:val="18"/>
                <w:lang w:val="en-GB" w:eastAsia="en-US"/>
              </w:rPr>
            </w:pPr>
          </w:p>
        </w:tc>
        <w:tc>
          <w:tcPr>
            <w:tcW w:w="581" w:type="pct"/>
            <w:shd w:val="clear" w:color="auto" w:fill="auto"/>
            <w:vAlign w:val="bottom"/>
          </w:tcPr>
          <w:p w14:paraId="15DFFE02" w14:textId="77777777" w:rsidR="005F0E87" w:rsidRPr="005F0E87" w:rsidRDefault="005F0E87" w:rsidP="005F0E87">
            <w:pPr>
              <w:keepNext/>
              <w:keepLines/>
              <w:suppressAutoHyphens w:val="0"/>
              <w:spacing w:before="40" w:after="40" w:line="220" w:lineRule="exact"/>
              <w:jc w:val="right"/>
              <w:rPr>
                <w:rFonts w:eastAsiaTheme="minorHAnsi"/>
                <w:b/>
                <w:sz w:val="18"/>
                <w:lang w:val="en-GB" w:eastAsia="en-US"/>
              </w:rPr>
            </w:pPr>
          </w:p>
        </w:tc>
        <w:tc>
          <w:tcPr>
            <w:tcW w:w="1455" w:type="pct"/>
            <w:shd w:val="clear" w:color="auto" w:fill="auto"/>
            <w:vAlign w:val="bottom"/>
          </w:tcPr>
          <w:p w14:paraId="4D20503E" w14:textId="77777777" w:rsidR="005F0E87" w:rsidRPr="005F0E87" w:rsidRDefault="005F0E87" w:rsidP="005F0E87">
            <w:pPr>
              <w:keepNext/>
              <w:keepLines/>
              <w:suppressAutoHyphens w:val="0"/>
              <w:spacing w:before="40" w:after="40" w:line="220" w:lineRule="exact"/>
              <w:jc w:val="right"/>
              <w:rPr>
                <w:rFonts w:eastAsiaTheme="minorHAnsi"/>
                <w:b/>
                <w:sz w:val="18"/>
                <w:lang w:val="en-GB" w:eastAsia="en-US"/>
              </w:rPr>
            </w:pPr>
          </w:p>
        </w:tc>
      </w:tr>
      <w:tr w:rsidR="005F0E87" w:rsidRPr="005F0E87" w14:paraId="46310839" w14:textId="77777777" w:rsidTr="00BD3338">
        <w:trPr>
          <w:cantSplit/>
        </w:trPr>
        <w:tc>
          <w:tcPr>
            <w:tcW w:w="1285" w:type="pct"/>
            <w:shd w:val="clear" w:color="auto" w:fill="auto"/>
          </w:tcPr>
          <w:p w14:paraId="55A77D0D"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Emballages</w:t>
            </w:r>
          </w:p>
        </w:tc>
        <w:tc>
          <w:tcPr>
            <w:tcW w:w="1679" w:type="pct"/>
            <w:shd w:val="clear" w:color="auto" w:fill="auto"/>
            <w:vAlign w:val="bottom"/>
          </w:tcPr>
          <w:p w14:paraId="157535DD"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ab/>
              <w:t>Jusqu’à 50 kg</w:t>
            </w:r>
          </w:p>
        </w:tc>
        <w:tc>
          <w:tcPr>
            <w:tcW w:w="581" w:type="pct"/>
            <w:shd w:val="clear" w:color="auto" w:fill="auto"/>
            <w:vAlign w:val="bottom"/>
          </w:tcPr>
          <w:p w14:paraId="4CA02677"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p>
        </w:tc>
        <w:tc>
          <w:tcPr>
            <w:tcW w:w="1455" w:type="pct"/>
            <w:shd w:val="clear" w:color="auto" w:fill="auto"/>
            <w:vAlign w:val="bottom"/>
          </w:tcPr>
          <w:p w14:paraId="36F09280"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30</w:t>
            </w:r>
            <w:r w:rsidRPr="005F0E87">
              <w:rPr>
                <w:rFonts w:eastAsiaTheme="minorHAnsi"/>
                <w:i/>
                <w:sz w:val="18"/>
                <w:vertAlign w:val="superscript"/>
                <w:lang w:val="fr-FR" w:eastAsia="en-US"/>
              </w:rPr>
              <w:t>b</w:t>
            </w:r>
          </w:p>
        </w:tc>
      </w:tr>
      <w:tr w:rsidR="005F0E87" w:rsidRPr="005F0E87" w14:paraId="42768B2E" w14:textId="77777777" w:rsidTr="00BD3338">
        <w:trPr>
          <w:cantSplit/>
        </w:trPr>
        <w:tc>
          <w:tcPr>
            <w:tcW w:w="1285" w:type="pct"/>
            <w:shd w:val="clear" w:color="auto" w:fill="auto"/>
          </w:tcPr>
          <w:p w14:paraId="621556BC"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Emballages</w:t>
            </w:r>
          </w:p>
        </w:tc>
        <w:tc>
          <w:tcPr>
            <w:tcW w:w="1679" w:type="pct"/>
            <w:shd w:val="clear" w:color="auto" w:fill="auto"/>
            <w:vAlign w:val="bottom"/>
          </w:tcPr>
          <w:p w14:paraId="67AD56F1"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50 kg et plus</w:t>
            </w:r>
          </w:p>
        </w:tc>
        <w:tc>
          <w:tcPr>
            <w:tcW w:w="581" w:type="pct"/>
            <w:shd w:val="clear" w:color="auto" w:fill="auto"/>
            <w:vAlign w:val="bottom"/>
          </w:tcPr>
          <w:p w14:paraId="7FED43EC"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shd w:val="clear" w:color="auto" w:fill="auto"/>
            <w:vAlign w:val="bottom"/>
          </w:tcPr>
          <w:p w14:paraId="4C53B5E9"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5F0E87" w:rsidRPr="005F0E87" w14:paraId="23C075B1" w14:textId="77777777" w:rsidTr="00CD30F0">
        <w:trPr>
          <w:cantSplit/>
        </w:trPr>
        <w:tc>
          <w:tcPr>
            <w:tcW w:w="1285" w:type="pct"/>
            <w:shd w:val="clear" w:color="auto" w:fill="auto"/>
          </w:tcPr>
          <w:p w14:paraId="58C62DE4"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GRV</w:t>
            </w:r>
          </w:p>
        </w:tc>
        <w:tc>
          <w:tcPr>
            <w:tcW w:w="1679" w:type="pct"/>
            <w:shd w:val="clear" w:color="auto" w:fill="auto"/>
            <w:vAlign w:val="bottom"/>
          </w:tcPr>
          <w:p w14:paraId="45DB56EC"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581" w:type="pct"/>
            <w:shd w:val="clear" w:color="auto" w:fill="auto"/>
            <w:vAlign w:val="bottom"/>
          </w:tcPr>
          <w:p w14:paraId="0AA28670"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shd w:val="clear" w:color="auto" w:fill="auto"/>
            <w:vAlign w:val="bottom"/>
          </w:tcPr>
          <w:p w14:paraId="180C1CFB"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5F0E87" w:rsidRPr="005F0E87" w14:paraId="28D32B2A" w14:textId="77777777" w:rsidTr="00CD30F0">
        <w:trPr>
          <w:cantSplit/>
        </w:trPr>
        <w:tc>
          <w:tcPr>
            <w:tcW w:w="1285" w:type="pct"/>
            <w:tcBorders>
              <w:bottom w:val="single" w:sz="4" w:space="0" w:color="auto"/>
            </w:tcBorders>
            <w:shd w:val="clear" w:color="auto" w:fill="auto"/>
          </w:tcPr>
          <w:p w14:paraId="296FDD18" w14:textId="77777777" w:rsidR="005F0E87" w:rsidRPr="005F0E87" w:rsidRDefault="005F0E87" w:rsidP="005F0E87">
            <w:pPr>
              <w:keepNext/>
              <w:keepLines/>
              <w:suppressAutoHyphens w:val="0"/>
              <w:spacing w:before="40" w:after="40" w:line="220" w:lineRule="exact"/>
              <w:rPr>
                <w:rFonts w:eastAsiaTheme="minorHAnsi"/>
                <w:sz w:val="18"/>
                <w:lang w:val="en-GB" w:eastAsia="en-US"/>
              </w:rPr>
            </w:pPr>
            <w:r w:rsidRPr="005F0E87">
              <w:rPr>
                <w:rFonts w:eastAsiaTheme="minorHAnsi"/>
                <w:sz w:val="18"/>
                <w:lang w:val="fr-FR" w:eastAsia="en-US"/>
              </w:rPr>
              <w:t>Citernes</w:t>
            </w:r>
          </w:p>
        </w:tc>
        <w:tc>
          <w:tcPr>
            <w:tcW w:w="1679" w:type="pct"/>
            <w:tcBorders>
              <w:bottom w:val="single" w:sz="4" w:space="0" w:color="auto"/>
            </w:tcBorders>
            <w:shd w:val="clear" w:color="auto" w:fill="auto"/>
            <w:vAlign w:val="bottom"/>
          </w:tcPr>
          <w:p w14:paraId="4381BABC"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581" w:type="pct"/>
            <w:tcBorders>
              <w:bottom w:val="single" w:sz="4" w:space="0" w:color="auto"/>
            </w:tcBorders>
            <w:shd w:val="clear" w:color="auto" w:fill="auto"/>
            <w:vAlign w:val="bottom"/>
          </w:tcPr>
          <w:p w14:paraId="62E5900B" w14:textId="77777777" w:rsidR="005F0E87" w:rsidRPr="005F0E87" w:rsidRDefault="005F0E87" w:rsidP="005F0E87">
            <w:pPr>
              <w:keepNext/>
              <w:keepLines/>
              <w:suppressAutoHyphens w:val="0"/>
              <w:spacing w:before="40" w:after="40" w:line="220" w:lineRule="exact"/>
              <w:jc w:val="right"/>
              <w:rPr>
                <w:rFonts w:eastAsiaTheme="minorHAnsi"/>
                <w:sz w:val="18"/>
                <w:lang w:val="en-GB" w:eastAsia="en-US"/>
              </w:rPr>
            </w:pPr>
          </w:p>
        </w:tc>
        <w:tc>
          <w:tcPr>
            <w:tcW w:w="1455" w:type="pct"/>
            <w:tcBorders>
              <w:bottom w:val="single" w:sz="4" w:space="0" w:color="auto"/>
            </w:tcBorders>
            <w:shd w:val="clear" w:color="auto" w:fill="auto"/>
            <w:vAlign w:val="bottom"/>
          </w:tcPr>
          <w:p w14:paraId="1BD3D65B" w14:textId="77777777" w:rsidR="005F0E87" w:rsidRPr="005F0E87" w:rsidRDefault="005F0E87" w:rsidP="005F0E87">
            <w:pPr>
              <w:keepNext/>
              <w:keepLines/>
              <w:suppressAutoHyphens w:val="0"/>
              <w:spacing w:before="40" w:after="40" w:line="220" w:lineRule="exact"/>
              <w:jc w:val="right"/>
              <w:rPr>
                <w:rFonts w:eastAsiaTheme="minorHAnsi"/>
                <w:sz w:val="18"/>
                <w:lang w:eastAsia="en-US"/>
              </w:rPr>
            </w:pPr>
            <w:r w:rsidRPr="005F0E87">
              <w:rPr>
                <w:rFonts w:eastAsiaTheme="minorHAnsi"/>
                <w:sz w:val="18"/>
                <w:lang w:val="fr-FR" w:eastAsia="en-US"/>
              </w:rPr>
              <w:t xml:space="preserve">pas de valeur </w:t>
            </w:r>
            <w:proofErr w:type="spellStart"/>
            <w:r w:rsidRPr="005F0E87">
              <w:rPr>
                <w:rFonts w:eastAsiaTheme="minorHAnsi"/>
                <w:sz w:val="18"/>
                <w:lang w:val="fr-FR" w:eastAsia="en-US"/>
              </w:rPr>
              <w:t>standard</w:t>
            </w:r>
            <w:r w:rsidRPr="005F0E87">
              <w:rPr>
                <w:rFonts w:eastAsiaTheme="minorHAnsi"/>
                <w:i/>
                <w:sz w:val="18"/>
                <w:vertAlign w:val="superscript"/>
                <w:lang w:val="fr-FR" w:eastAsia="en-US"/>
              </w:rPr>
              <w:t>c</w:t>
            </w:r>
            <w:proofErr w:type="spellEnd"/>
          </w:p>
        </w:tc>
      </w:tr>
      <w:tr w:rsidR="00D52D11" w:rsidRPr="005F0E87" w14:paraId="2E6A66D0" w14:textId="77777777" w:rsidTr="00D52D11">
        <w:trPr>
          <w:cantSplit/>
        </w:trPr>
        <w:tc>
          <w:tcPr>
            <w:tcW w:w="5000" w:type="pct"/>
            <w:gridSpan w:val="4"/>
            <w:tcBorders>
              <w:top w:val="single" w:sz="4" w:space="0" w:color="auto"/>
              <w:bottom w:val="single" w:sz="12" w:space="0" w:color="auto"/>
            </w:tcBorders>
            <w:shd w:val="clear" w:color="auto" w:fill="auto"/>
          </w:tcPr>
          <w:p w14:paraId="4375CEBA" w14:textId="77777777" w:rsidR="00D52D11" w:rsidRPr="005F0E87" w:rsidRDefault="00D52D11" w:rsidP="00654C31">
            <w:pPr>
              <w:spacing w:before="120"/>
              <w:ind w:left="562" w:right="138" w:hanging="567"/>
              <w:rPr>
                <w:rFonts w:eastAsiaTheme="minorHAnsi"/>
                <w:i/>
                <w:iCs/>
                <w:sz w:val="18"/>
                <w:szCs w:val="18"/>
                <w:lang w:eastAsia="en-US"/>
              </w:rPr>
            </w:pPr>
            <w:r w:rsidRPr="005F0E87">
              <w:rPr>
                <w:rFonts w:eastAsiaTheme="minorHAnsi"/>
                <w:i/>
                <w:vertAlign w:val="superscript"/>
                <w:lang w:val="fr-FR" w:eastAsia="en-US"/>
              </w:rPr>
              <w:t>a</w:t>
            </w:r>
            <w:r w:rsidRPr="005F0E87">
              <w:rPr>
                <w:rFonts w:eastAsiaTheme="minorHAnsi"/>
                <w:i/>
                <w:lang w:val="fr-FR" w:eastAsia="en-US"/>
              </w:rPr>
              <w:t xml:space="preserve"> </w:t>
            </w:r>
            <w:r>
              <w:rPr>
                <w:rFonts w:eastAsiaTheme="minorHAnsi"/>
                <w:i/>
                <w:lang w:val="fr-FR" w:eastAsia="en-US"/>
              </w:rPr>
              <w:tab/>
            </w:r>
            <w:r w:rsidRPr="005F0E87">
              <w:rPr>
                <w:rFonts w:eastAsiaTheme="minorHAnsi"/>
                <w:i/>
                <w:iCs/>
                <w:sz w:val="18"/>
                <w:szCs w:val="18"/>
                <w:lang w:val="fr-FR" w:eastAsia="en-US"/>
              </w:rPr>
              <w:t>Pour la série d’épreuves H.4, la perte de chaleur du vase de Dewar à utiliser doit être aussi proche que possible de la valeur indiquée dans le tableau.</w:t>
            </w:r>
          </w:p>
          <w:p w14:paraId="19887B42" w14:textId="74CBC1EE" w:rsidR="00D52D11" w:rsidRDefault="00D52D11" w:rsidP="00654C31">
            <w:pPr>
              <w:ind w:left="562" w:right="138" w:hanging="567"/>
              <w:rPr>
                <w:rFonts w:eastAsiaTheme="minorHAnsi"/>
                <w:i/>
                <w:iCs/>
                <w:sz w:val="18"/>
                <w:szCs w:val="18"/>
                <w:lang w:val="fr-FR" w:eastAsia="en-US"/>
              </w:rPr>
            </w:pPr>
            <w:r w:rsidRPr="005F0E87">
              <w:rPr>
                <w:rFonts w:eastAsiaTheme="minorHAnsi"/>
                <w:i/>
                <w:sz w:val="18"/>
                <w:szCs w:val="18"/>
                <w:vertAlign w:val="superscript"/>
                <w:lang w:val="fr-FR" w:eastAsia="en-US"/>
              </w:rPr>
              <w:t>b</w:t>
            </w:r>
            <w:r w:rsidRPr="005F0E87">
              <w:rPr>
                <w:rFonts w:eastAsiaTheme="minorHAnsi"/>
                <w:sz w:val="18"/>
                <w:szCs w:val="18"/>
                <w:lang w:val="fr-FR" w:eastAsia="en-US"/>
              </w:rPr>
              <w:t xml:space="preserve"> </w:t>
            </w:r>
            <w:r>
              <w:rPr>
                <w:rFonts w:eastAsiaTheme="minorHAnsi"/>
                <w:sz w:val="18"/>
                <w:szCs w:val="18"/>
                <w:lang w:val="fr-FR" w:eastAsia="en-US"/>
              </w:rPr>
              <w:tab/>
            </w:r>
            <w:r w:rsidRPr="005F0E87">
              <w:rPr>
                <w:rFonts w:eastAsiaTheme="minorHAnsi"/>
                <w:i/>
                <w:iCs/>
                <w:sz w:val="18"/>
                <w:szCs w:val="18"/>
                <w:lang w:val="fr-FR" w:eastAsia="en-US"/>
              </w:rPr>
              <w:t>Pour déterminer la TDAA à des fins d’exemption ou de classification, lorsque la définition de la TDAA correspond à un colis de 50 kg, la valeur à utiliser pour les liquides est de 60 mW/K.kg et de 30 mW/K.kg pour les matières solides.</w:t>
            </w:r>
            <w:r w:rsidRPr="005F0E87">
              <w:rPr>
                <w:rFonts w:eastAsiaTheme="minorHAnsi"/>
                <w:sz w:val="18"/>
                <w:szCs w:val="18"/>
                <w:lang w:val="fr-FR" w:eastAsia="en-US"/>
              </w:rPr>
              <w:t xml:space="preserve"> </w:t>
            </w:r>
            <w:r w:rsidRPr="005F0E87">
              <w:rPr>
                <w:rFonts w:eastAsiaTheme="minorHAnsi"/>
                <w:i/>
                <w:iCs/>
                <w:sz w:val="18"/>
                <w:szCs w:val="18"/>
                <w:lang w:val="fr-FR" w:eastAsia="en-US"/>
              </w:rPr>
              <w:t xml:space="preserve">C’est le cas lorsque la TDAA est utilisée soit pour exclure une nouvelle matière de la division 4.1 en tant que matière </w:t>
            </w:r>
            <w:proofErr w:type="spellStart"/>
            <w:r w:rsidRPr="005F0E87">
              <w:rPr>
                <w:rFonts w:eastAsiaTheme="minorHAnsi"/>
                <w:i/>
                <w:iCs/>
                <w:sz w:val="18"/>
                <w:szCs w:val="18"/>
                <w:lang w:val="fr-FR" w:eastAsia="en-US"/>
              </w:rPr>
              <w:t>autoréactive</w:t>
            </w:r>
            <w:proofErr w:type="spellEnd"/>
            <w:r w:rsidRPr="005F0E87">
              <w:rPr>
                <w:rFonts w:eastAsiaTheme="minorHAnsi"/>
                <w:i/>
                <w:iCs/>
                <w:sz w:val="18"/>
                <w:szCs w:val="18"/>
                <w:lang w:val="fr-FR" w:eastAsia="en-US"/>
              </w:rPr>
              <w:t xml:space="preserve"> (voir 20.2.1 e)), soit comme matière </w:t>
            </w:r>
            <w:proofErr w:type="spellStart"/>
            <w:r w:rsidRPr="005F0E87">
              <w:rPr>
                <w:rFonts w:eastAsiaTheme="minorHAnsi"/>
                <w:i/>
                <w:iCs/>
                <w:sz w:val="18"/>
                <w:szCs w:val="18"/>
                <w:lang w:val="fr-FR" w:eastAsia="en-US"/>
              </w:rPr>
              <w:t>autoréactive</w:t>
            </w:r>
            <w:proofErr w:type="spellEnd"/>
            <w:r w:rsidRPr="005F0E87">
              <w:rPr>
                <w:rFonts w:eastAsiaTheme="minorHAnsi"/>
                <w:i/>
                <w:iCs/>
                <w:sz w:val="18"/>
                <w:szCs w:val="18"/>
                <w:lang w:val="fr-FR" w:eastAsia="en-US"/>
              </w:rPr>
              <w:t xml:space="preserve"> de Type G (voir 20.4.2 g)), ou comme peroxyde organique (voir 20.4.3 g)).</w:t>
            </w:r>
          </w:p>
          <w:p w14:paraId="4BA25A2E" w14:textId="1BF46DE7" w:rsidR="00D52D11" w:rsidRPr="005F0E87" w:rsidRDefault="00D52D11" w:rsidP="00654C31">
            <w:pPr>
              <w:ind w:left="562" w:right="138" w:hanging="567"/>
              <w:jc w:val="both"/>
              <w:rPr>
                <w:rFonts w:eastAsiaTheme="minorHAnsi"/>
                <w:sz w:val="18"/>
                <w:lang w:val="fr-FR" w:eastAsia="en-US"/>
              </w:rPr>
            </w:pPr>
            <w:r w:rsidRPr="005F0E87">
              <w:rPr>
                <w:rFonts w:eastAsiaTheme="minorHAnsi"/>
                <w:i/>
                <w:sz w:val="18"/>
                <w:szCs w:val="18"/>
                <w:vertAlign w:val="superscript"/>
                <w:lang w:val="fr-FR" w:eastAsia="en-US"/>
              </w:rPr>
              <w:t>c</w:t>
            </w:r>
            <w:r w:rsidRPr="005F0E87">
              <w:rPr>
                <w:rFonts w:eastAsiaTheme="minorHAnsi"/>
                <w:lang w:eastAsia="en-US"/>
              </w:rPr>
              <w:t xml:space="preserve"> </w:t>
            </w:r>
            <w:r>
              <w:rPr>
                <w:rFonts w:eastAsiaTheme="minorHAnsi"/>
                <w:lang w:eastAsia="en-US"/>
              </w:rPr>
              <w:tab/>
            </w:r>
            <w:r w:rsidRPr="005F0E87">
              <w:rPr>
                <w:rFonts w:eastAsiaTheme="minorHAnsi"/>
                <w:i/>
                <w:iCs/>
                <w:sz w:val="18"/>
                <w:szCs w:val="18"/>
                <w:lang w:val="fr-FR" w:eastAsia="en-US"/>
              </w:rPr>
              <w:t>La valeur doit être déterminée pour la configuration réelle</w:t>
            </w:r>
            <w:r>
              <w:rPr>
                <w:rFonts w:eastAsiaTheme="minorHAnsi"/>
                <w:i/>
                <w:iCs/>
                <w:sz w:val="18"/>
                <w:szCs w:val="18"/>
                <w:lang w:val="fr-FR" w:eastAsia="en-US"/>
              </w:rPr>
              <w:t>.</w:t>
            </w:r>
          </w:p>
        </w:tc>
      </w:tr>
    </w:tbl>
    <w:p w14:paraId="6DA0FAFA" w14:textId="0573FA38" w:rsidR="00654C31" w:rsidRDefault="00654C31" w:rsidP="00654C31">
      <w:pPr>
        <w:tabs>
          <w:tab w:val="left" w:pos="2410"/>
        </w:tabs>
        <w:spacing w:before="120" w:after="120"/>
        <w:ind w:left="2410" w:right="1134" w:hanging="1276"/>
        <w:jc w:val="right"/>
        <w:rPr>
          <w:rFonts w:eastAsiaTheme="minorHAnsi"/>
          <w:lang w:val="fr-FR" w:eastAsia="en-US"/>
        </w:rPr>
      </w:pPr>
      <w:r>
        <w:rPr>
          <w:rFonts w:eastAsiaTheme="minorHAnsi"/>
          <w:lang w:val="fr-FR" w:eastAsia="en-US"/>
        </w:rPr>
        <w:t> »</w:t>
      </w:r>
    </w:p>
    <w:p w14:paraId="614942FB" w14:textId="1D3DF9B3" w:rsidR="005F0E87" w:rsidRPr="005F0E87" w:rsidRDefault="005F0E87" w:rsidP="00654C31">
      <w:pPr>
        <w:tabs>
          <w:tab w:val="left" w:pos="2410"/>
        </w:tabs>
        <w:spacing w:before="120" w:after="120"/>
        <w:ind w:left="2410" w:right="1134" w:hanging="1276"/>
        <w:jc w:val="both"/>
        <w:rPr>
          <w:rFonts w:eastAsiaTheme="minorHAnsi"/>
          <w:lang w:val="fr-FR" w:eastAsia="en-US"/>
        </w:rPr>
      </w:pPr>
      <w:r w:rsidRPr="005F0E87">
        <w:rPr>
          <w:rFonts w:eastAsiaTheme="minorHAnsi"/>
          <w:lang w:val="fr-FR" w:eastAsia="en-US"/>
        </w:rPr>
        <w:t>28.4.1</w:t>
      </w:r>
      <w:r w:rsidRPr="005F0E87">
        <w:rPr>
          <w:rFonts w:eastAsiaTheme="minorHAnsi"/>
          <w:lang w:val="fr-FR" w:eastAsia="en-US"/>
        </w:rPr>
        <w:tab/>
        <w:t xml:space="preserve">Modifier le nom de l’épreuve </w:t>
      </w:r>
      <w:r w:rsidR="006A107C">
        <w:rPr>
          <w:rFonts w:eastAsiaTheme="minorHAnsi"/>
          <w:lang w:val="fr-FR" w:eastAsia="en-US"/>
        </w:rPr>
        <w:t>pour lire </w:t>
      </w:r>
      <w:r w:rsidRPr="005F0E87">
        <w:rPr>
          <w:rFonts w:eastAsiaTheme="minorHAnsi"/>
          <w:lang w:val="fr-FR" w:eastAsia="en-US"/>
        </w:rPr>
        <w:t>: «</w:t>
      </w:r>
      <w:r w:rsidR="00654C31">
        <w:rPr>
          <w:rFonts w:eastAsiaTheme="minorHAnsi"/>
          <w:lang w:val="fr-FR" w:eastAsia="en-US"/>
        </w:rPr>
        <w:t> </w:t>
      </w:r>
      <w:r w:rsidRPr="005F0E87">
        <w:rPr>
          <w:rFonts w:eastAsiaTheme="minorHAnsi"/>
          <w:lang w:val="fr-FR" w:eastAsia="en-US"/>
        </w:rPr>
        <w:t>Épreuve TDAA/TPAA des États-Unis</w:t>
      </w:r>
      <w:r w:rsidR="00654C31">
        <w:rPr>
          <w:rFonts w:eastAsiaTheme="minorHAnsi"/>
          <w:lang w:val="fr-FR" w:eastAsia="en-US"/>
        </w:rPr>
        <w:t> </w:t>
      </w:r>
      <w:r w:rsidRPr="005F0E87">
        <w:rPr>
          <w:rFonts w:eastAsiaTheme="minorHAnsi"/>
          <w:lang w:val="fr-FR" w:eastAsia="en-US"/>
        </w:rPr>
        <w:t>».</w:t>
      </w:r>
    </w:p>
    <w:p w14:paraId="529B8195" w14:textId="77777777" w:rsidR="005F0E87" w:rsidRPr="005F0E87" w:rsidRDefault="005F0E87" w:rsidP="005F0E87">
      <w:pPr>
        <w:tabs>
          <w:tab w:val="left" w:pos="2410"/>
        </w:tabs>
        <w:spacing w:after="120"/>
        <w:ind w:left="2410" w:right="1134" w:hanging="1276"/>
        <w:jc w:val="both"/>
        <w:rPr>
          <w:rFonts w:eastAsiaTheme="minorHAnsi"/>
          <w:lang w:eastAsia="en-US"/>
        </w:rPr>
      </w:pPr>
      <w:r w:rsidRPr="005F0E87">
        <w:rPr>
          <w:rFonts w:eastAsiaTheme="minorHAnsi"/>
          <w:lang w:val="fr-FR" w:eastAsia="en-US"/>
        </w:rPr>
        <w:t>28.4.1.1</w:t>
      </w:r>
      <w:r w:rsidRPr="005F0E87">
        <w:rPr>
          <w:rFonts w:eastAsiaTheme="minorHAnsi"/>
          <w:lang w:val="fr-FR" w:eastAsia="en-US"/>
        </w:rPr>
        <w:tab/>
        <w:t>Dans la première phrase, remplacer « la décomposition auto-accélérée » par « la décomposition ou la polymérisation auto-accélérée » et, dans la dernière phrase, supprimer « ou</w:t>
      </w:r>
      <w:bookmarkStart w:id="5" w:name="_Hlk31615795"/>
      <w:r w:rsidRPr="005F0E87">
        <w:rPr>
          <w:rFonts w:eastAsiaTheme="minorHAnsi"/>
          <w:lang w:val="fr-FR" w:eastAsia="en-US"/>
        </w:rPr>
        <w:t xml:space="preserve"> de la polymérisation ».</w:t>
      </w:r>
    </w:p>
    <w:p w14:paraId="32C70846" w14:textId="77777777" w:rsidR="005F0E87" w:rsidRPr="005F0E87" w:rsidRDefault="005F0E87" w:rsidP="005F0E87">
      <w:pPr>
        <w:tabs>
          <w:tab w:val="left" w:pos="2410"/>
        </w:tabs>
        <w:spacing w:after="120"/>
        <w:ind w:left="2410" w:right="1134" w:hanging="1276"/>
        <w:jc w:val="both"/>
        <w:rPr>
          <w:rFonts w:eastAsiaTheme="minorHAnsi"/>
          <w:lang w:eastAsia="en-US"/>
        </w:rPr>
      </w:pPr>
      <w:r w:rsidRPr="005F0E87">
        <w:rPr>
          <w:rFonts w:eastAsiaTheme="minorHAnsi"/>
          <w:lang w:val="fr-FR" w:eastAsia="en-US"/>
        </w:rPr>
        <w:t>28.4.1.2.3</w:t>
      </w:r>
      <w:r w:rsidRPr="005F0E87">
        <w:rPr>
          <w:rFonts w:eastAsiaTheme="minorHAnsi"/>
          <w:lang w:val="fr-FR" w:eastAsia="en-US"/>
        </w:rPr>
        <w:tab/>
        <w:t>Dans l’alinéa c), ajouter « tous » après « distance minimale entre ».</w:t>
      </w:r>
    </w:p>
    <w:p w14:paraId="1895226D" w14:textId="77777777" w:rsidR="005F0E87" w:rsidRPr="005F0E87" w:rsidRDefault="005F0E87" w:rsidP="005F0E87">
      <w:pPr>
        <w:tabs>
          <w:tab w:val="left" w:pos="2410"/>
        </w:tabs>
        <w:spacing w:after="120"/>
        <w:ind w:left="2410" w:right="1134" w:hanging="1276"/>
        <w:jc w:val="both"/>
        <w:rPr>
          <w:rFonts w:eastAsiaTheme="minorHAnsi"/>
          <w:lang w:eastAsia="en-US"/>
        </w:rPr>
      </w:pPr>
      <w:r w:rsidRPr="005F0E87">
        <w:rPr>
          <w:rFonts w:eastAsiaTheme="minorHAnsi"/>
          <w:lang w:val="fr-FR" w:eastAsia="en-US"/>
        </w:rPr>
        <w:lastRenderedPageBreak/>
        <w:tab/>
        <w:t>Dans le paragraphe suivant l’alinéa c), modifier la dernière phrase comme suit : « Des exemples d’étuve convenant aux petits colis tout comme aux grands colis sont donnés ci-après. »</w:t>
      </w:r>
    </w:p>
    <w:p w14:paraId="2C565D88" w14:textId="77777777" w:rsidR="005F0E87" w:rsidRPr="005F0E87" w:rsidRDefault="005F0E87" w:rsidP="005F0E87">
      <w:pPr>
        <w:keepNext/>
        <w:keepLines/>
        <w:spacing w:after="120"/>
        <w:ind w:left="2268" w:right="1134" w:hanging="1134"/>
        <w:jc w:val="both"/>
        <w:rPr>
          <w:rFonts w:eastAsiaTheme="minorHAnsi"/>
          <w:lang w:val="fr-FR" w:eastAsia="en-US"/>
        </w:rPr>
      </w:pPr>
      <w:r w:rsidRPr="005F0E87">
        <w:rPr>
          <w:rFonts w:eastAsiaTheme="minorHAnsi"/>
          <w:lang w:val="fr-FR" w:eastAsia="en-US"/>
        </w:rPr>
        <w:t xml:space="preserve">28.4.1.2.4 et 28.4.1.2.5 </w:t>
      </w:r>
    </w:p>
    <w:p w14:paraId="084EEB26" w14:textId="77777777" w:rsidR="005F0E87" w:rsidRPr="005F0E87" w:rsidRDefault="005F0E87" w:rsidP="005F0E87">
      <w:pPr>
        <w:keepNext/>
        <w:keepLines/>
        <w:tabs>
          <w:tab w:val="left" w:pos="2410"/>
        </w:tabs>
        <w:spacing w:after="120"/>
        <w:ind w:left="2410" w:right="1134" w:hanging="1276"/>
        <w:jc w:val="both"/>
        <w:rPr>
          <w:rFonts w:eastAsiaTheme="minorHAnsi"/>
          <w:lang w:eastAsia="en-US"/>
        </w:rPr>
      </w:pPr>
      <w:r w:rsidRPr="005F0E87">
        <w:rPr>
          <w:rFonts w:eastAsiaTheme="minorHAnsi"/>
          <w:lang w:val="fr-FR" w:eastAsia="en-US"/>
        </w:rPr>
        <w:tab/>
        <w:t>Modifier les paragraphes 28.4.1.2.4 et 28.4.1.2.5 actuels comme suit :</w:t>
      </w:r>
    </w:p>
    <w:p w14:paraId="569FC1E2" w14:textId="77777777" w:rsidR="005F0E87" w:rsidRPr="005F0E87" w:rsidRDefault="005F0E87" w:rsidP="005F0E87">
      <w:pPr>
        <w:numPr>
          <w:ilvl w:val="0"/>
          <w:numId w:val="1"/>
        </w:numPr>
        <w:spacing w:after="120"/>
        <w:ind w:left="2835" w:right="1134"/>
        <w:jc w:val="both"/>
        <w:rPr>
          <w:rFonts w:eastAsiaTheme="minorHAnsi"/>
          <w:i/>
          <w:iCs/>
          <w:lang w:eastAsia="en-US"/>
        </w:rPr>
      </w:pPr>
      <w:r w:rsidRPr="005F0E87">
        <w:rPr>
          <w:rFonts w:eastAsiaTheme="minorHAnsi"/>
          <w:lang w:val="fr-FR" w:eastAsia="en-US"/>
        </w:rPr>
        <w:t xml:space="preserve">Le paragraphe 28.4.1.2.4 actuel devient le 28.4.1.2.3.1 et porte le titre suivant : « 28.4.1.2.3.1 Exemple 1 ». </w:t>
      </w:r>
      <w:r w:rsidRPr="005F0E87">
        <w:rPr>
          <w:rFonts w:eastAsiaTheme="minorHAnsi"/>
          <w:i/>
          <w:iCs/>
          <w:lang w:val="fr-FR" w:eastAsia="en-US"/>
        </w:rPr>
        <w:t>(Le texte du paragraphe 28.4.1.2.4 actuel reste inchangé.)</w:t>
      </w:r>
    </w:p>
    <w:p w14:paraId="49DDD3F7" w14:textId="77777777" w:rsidR="005F0E87" w:rsidRPr="005F0E87" w:rsidRDefault="005F0E87" w:rsidP="005F0E87">
      <w:pPr>
        <w:numPr>
          <w:ilvl w:val="0"/>
          <w:numId w:val="1"/>
        </w:numPr>
        <w:spacing w:after="120"/>
        <w:ind w:left="2835" w:right="1134"/>
        <w:jc w:val="both"/>
        <w:rPr>
          <w:rFonts w:eastAsiaTheme="minorHAnsi"/>
          <w:i/>
          <w:iCs/>
          <w:lang w:eastAsia="en-US"/>
        </w:rPr>
      </w:pPr>
      <w:r w:rsidRPr="005F0E87">
        <w:rPr>
          <w:rFonts w:eastAsiaTheme="minorHAnsi"/>
          <w:lang w:val="fr-FR" w:eastAsia="en-US"/>
        </w:rPr>
        <w:t xml:space="preserve">Le paragraphe 28.4.1.2.5 actuel devient le 28.4.1.2.3.2 et porte le titre suivant : « 28.4.1.2.3.2 Exemple 2 ». </w:t>
      </w:r>
      <w:r w:rsidRPr="005F0E87">
        <w:rPr>
          <w:rFonts w:eastAsiaTheme="minorHAnsi"/>
          <w:i/>
          <w:iCs/>
          <w:lang w:val="fr-FR" w:eastAsia="en-US"/>
        </w:rPr>
        <w:t>(Le texte du paragraphe 28.4.1.2.5 actuel reste inchangé.)</w:t>
      </w:r>
    </w:p>
    <w:p w14:paraId="16724A85" w14:textId="6AEF0709" w:rsidR="005F0E87" w:rsidRPr="005F0E87" w:rsidRDefault="005F0E87" w:rsidP="005F0E87">
      <w:pPr>
        <w:keepNext/>
        <w:tabs>
          <w:tab w:val="left" w:pos="2410"/>
        </w:tabs>
        <w:spacing w:after="120"/>
        <w:ind w:left="2410" w:right="1134" w:hanging="1276"/>
        <w:jc w:val="both"/>
        <w:rPr>
          <w:rFonts w:eastAsiaTheme="minorHAnsi"/>
          <w:lang w:eastAsia="en-US"/>
        </w:rPr>
      </w:pPr>
      <w:r w:rsidRPr="005F0E87">
        <w:rPr>
          <w:rFonts w:eastAsiaTheme="minorHAnsi"/>
          <w:lang w:val="fr-FR" w:eastAsia="en-US"/>
        </w:rPr>
        <w:t>Ajouter un nouveau paragraphe 28.4.1.2.3.3 comme suit :</w:t>
      </w:r>
    </w:p>
    <w:p w14:paraId="39A199AC" w14:textId="77777777" w:rsidR="005F0E87" w:rsidRPr="005F0E87" w:rsidRDefault="005F0E87" w:rsidP="005F0E87">
      <w:pPr>
        <w:keepNext/>
        <w:tabs>
          <w:tab w:val="left" w:pos="2410"/>
        </w:tabs>
        <w:spacing w:after="120"/>
        <w:ind w:left="1134" w:right="1134"/>
        <w:jc w:val="both"/>
        <w:rPr>
          <w:rFonts w:eastAsiaTheme="minorHAnsi"/>
          <w:lang w:eastAsia="en-US"/>
        </w:rPr>
      </w:pPr>
      <w:r w:rsidRPr="005F0E87">
        <w:rPr>
          <w:rFonts w:eastAsiaTheme="minorHAnsi"/>
          <w:lang w:val="fr-FR" w:eastAsia="en-US"/>
        </w:rPr>
        <w:t xml:space="preserve">« 28.4.1.2.3.3 </w:t>
      </w:r>
      <w:r w:rsidRPr="005F0E87">
        <w:rPr>
          <w:rFonts w:eastAsiaTheme="minorHAnsi"/>
          <w:lang w:val="fr-FR" w:eastAsia="en-US"/>
        </w:rPr>
        <w:tab/>
        <w:t>Exemple 3</w:t>
      </w:r>
    </w:p>
    <w:p w14:paraId="07912EA9" w14:textId="1972AC78" w:rsidR="005F0E87" w:rsidRPr="005F0E87" w:rsidRDefault="00560FC5" w:rsidP="00560FC5">
      <w:pPr>
        <w:tabs>
          <w:tab w:val="left" w:pos="2268"/>
        </w:tabs>
        <w:spacing w:after="120"/>
        <w:ind w:left="1134" w:right="1134"/>
        <w:jc w:val="both"/>
        <w:rPr>
          <w:rFonts w:eastAsiaTheme="minorHAnsi"/>
          <w:lang w:eastAsia="en-US"/>
        </w:rPr>
      </w:pPr>
      <w:r>
        <w:rPr>
          <w:rFonts w:eastAsiaTheme="minorHAnsi"/>
          <w:lang w:val="fr-FR" w:eastAsia="en-US"/>
        </w:rPr>
        <w:tab/>
      </w:r>
      <w:r w:rsidR="005F0E87" w:rsidRPr="005F0E87">
        <w:rPr>
          <w:rFonts w:eastAsiaTheme="minorHAnsi"/>
          <w:lang w:val="fr-FR" w:eastAsia="en-US"/>
        </w:rPr>
        <w:tab/>
        <w:t>Pour les épreuves exécutées jusqu’à des températures de 75 °C, on peut utiliser une enceinte métallique à doubles parois (la distance minimale entre les côtés de l’emballage et la paroi étant de 100 mm), la température voulue étant obtenue par circulation de fluide, provenant d’un bain thermostaté entre les parois. L’enceinte d’épreuve est fermée au moyen d’un couvercle isolant non hermétique (fabriqué par exemple en polychlorure de vinyle de 10 mm d’épaisseur). La température de l’air dans l’étuve doit être réglée de manière telle que la température voulue d’un échantillon liquide inerte puisse être maintenue à ±2 K pendant 10 jours au maximum. »</w:t>
      </w:r>
    </w:p>
    <w:p w14:paraId="67B7AE55" w14:textId="77777777" w:rsidR="005F0E87" w:rsidRPr="005F0E87" w:rsidRDefault="005F0E87" w:rsidP="00931461">
      <w:pPr>
        <w:tabs>
          <w:tab w:val="left" w:pos="2268"/>
        </w:tabs>
        <w:spacing w:after="120"/>
        <w:ind w:left="2268" w:right="1134"/>
        <w:jc w:val="both"/>
        <w:rPr>
          <w:rFonts w:eastAsiaTheme="minorHAnsi"/>
          <w:lang w:eastAsia="en-US"/>
        </w:rPr>
      </w:pPr>
      <w:r w:rsidRPr="005F0E87">
        <w:rPr>
          <w:rFonts w:eastAsiaTheme="minorHAnsi"/>
          <w:lang w:val="fr-FR" w:eastAsia="en-US"/>
        </w:rPr>
        <w:t>Les paragraphes 28.4.1.2.6 à 28.4.1.2.8 actuels deviennent les 28.4.1.2.4 à 28.4.1.2.6.</w:t>
      </w:r>
    </w:p>
    <w:p w14:paraId="0CA7E1C7" w14:textId="77777777" w:rsidR="005F0E87" w:rsidRPr="005F0E87" w:rsidRDefault="005F0E87" w:rsidP="00560FC5">
      <w:pPr>
        <w:spacing w:after="120"/>
        <w:ind w:left="2268" w:right="1134" w:hanging="1134"/>
        <w:jc w:val="both"/>
        <w:rPr>
          <w:rFonts w:eastAsiaTheme="minorHAnsi"/>
          <w:lang w:eastAsia="en-US"/>
        </w:rPr>
      </w:pPr>
      <w:r w:rsidRPr="005F0E87">
        <w:rPr>
          <w:rFonts w:eastAsiaTheme="minorHAnsi"/>
          <w:lang w:val="fr-FR" w:eastAsia="en-US"/>
        </w:rPr>
        <w:t xml:space="preserve">28.4.1.2.4 </w:t>
      </w:r>
      <w:r w:rsidRPr="005F0E87">
        <w:rPr>
          <w:rFonts w:eastAsiaTheme="minorHAnsi"/>
          <w:lang w:val="fr-FR" w:eastAsia="en-US"/>
        </w:rPr>
        <w:tab/>
        <w:t xml:space="preserve">(nouveau paragraphe, anciennement le 28.4.1.2.6) : Dans la première phrase, insérer « ou le capteur de température à résistance (RTD) » après « thermocouple ». </w:t>
      </w:r>
    </w:p>
    <w:p w14:paraId="1F8D3C2D" w14:textId="77777777" w:rsidR="005F0E87" w:rsidRPr="005F0E87" w:rsidRDefault="005F0E87" w:rsidP="00F76B4A">
      <w:pPr>
        <w:spacing w:after="120"/>
        <w:ind w:left="2268" w:right="1134" w:hanging="1134"/>
        <w:jc w:val="both"/>
        <w:rPr>
          <w:rFonts w:eastAsiaTheme="minorHAnsi"/>
          <w:lang w:eastAsia="en-US"/>
        </w:rPr>
      </w:pPr>
      <w:r w:rsidRPr="005F0E87">
        <w:rPr>
          <w:rFonts w:eastAsiaTheme="minorHAnsi"/>
          <w:lang w:val="fr-FR" w:eastAsia="en-US"/>
        </w:rPr>
        <w:t>28.4.1.3.1</w:t>
      </w:r>
      <w:r w:rsidRPr="005F0E87">
        <w:rPr>
          <w:rFonts w:eastAsiaTheme="minorHAnsi"/>
          <w:lang w:val="fr-FR" w:eastAsia="en-US"/>
        </w:rPr>
        <w:tab/>
        <w:t>Au début de la deuxième phrase, insérer « ou un capteur RTD » après « thermocouple ».</w:t>
      </w:r>
    </w:p>
    <w:p w14:paraId="084A5C9F" w14:textId="77777777" w:rsidR="005F0E87" w:rsidRPr="005F0E87" w:rsidRDefault="005F0E87" w:rsidP="00F76B4A">
      <w:pPr>
        <w:spacing w:after="120"/>
        <w:ind w:left="2268" w:right="1134" w:hanging="1134"/>
        <w:jc w:val="both"/>
        <w:rPr>
          <w:rFonts w:eastAsiaTheme="minorHAnsi"/>
          <w:lang w:eastAsia="en-US"/>
        </w:rPr>
      </w:pPr>
      <w:r w:rsidRPr="005F0E87">
        <w:rPr>
          <w:rFonts w:eastAsiaTheme="minorHAnsi"/>
          <w:lang w:val="fr-FR" w:eastAsia="en-US"/>
        </w:rPr>
        <w:t>28.4.1.3.2</w:t>
      </w:r>
      <w:r w:rsidRPr="005F0E87">
        <w:rPr>
          <w:rFonts w:eastAsiaTheme="minorHAnsi"/>
          <w:lang w:val="fr-FR" w:eastAsia="en-US"/>
        </w:rPr>
        <w:tab/>
        <w:t>Supprimer la dernière phrase (« Noter le temps ... température maximale »).</w:t>
      </w:r>
    </w:p>
    <w:p w14:paraId="27D0042C" w14:textId="77777777" w:rsidR="005F0E87" w:rsidRPr="005F0E87" w:rsidRDefault="005F0E87" w:rsidP="00F76B4A">
      <w:pPr>
        <w:spacing w:after="120"/>
        <w:ind w:left="2268" w:right="1134" w:hanging="1134"/>
        <w:jc w:val="both"/>
        <w:rPr>
          <w:rFonts w:eastAsiaTheme="minorHAnsi"/>
          <w:lang w:eastAsia="en-US"/>
        </w:rPr>
      </w:pPr>
      <w:r w:rsidRPr="005F0E87">
        <w:rPr>
          <w:rFonts w:eastAsiaTheme="minorHAnsi"/>
          <w:lang w:val="fr-FR" w:eastAsia="en-US"/>
        </w:rPr>
        <w:t>28.4.1.3.4</w:t>
      </w:r>
      <w:r w:rsidRPr="005F0E87">
        <w:rPr>
          <w:rFonts w:eastAsiaTheme="minorHAnsi"/>
          <w:lang w:val="fr-FR" w:eastAsia="en-US"/>
        </w:rPr>
        <w:tab/>
        <w:t>Modifier la fin de la troisième phrase comme suit : « ... pour constater si la TDAA ou la TPAA est plus élevée que la température applicable indiquée dans le tableau 28.2. »</w:t>
      </w:r>
    </w:p>
    <w:p w14:paraId="723CDF9A" w14:textId="77777777" w:rsidR="005F0E87" w:rsidRPr="005F0E87" w:rsidRDefault="005F0E87" w:rsidP="00F76B4A">
      <w:pPr>
        <w:keepNext/>
        <w:keepLines/>
        <w:spacing w:after="120"/>
        <w:ind w:left="2268" w:right="1134" w:hanging="1134"/>
        <w:jc w:val="both"/>
        <w:rPr>
          <w:rFonts w:eastAsiaTheme="minorHAnsi"/>
          <w:lang w:eastAsia="en-US"/>
        </w:rPr>
      </w:pPr>
      <w:r w:rsidRPr="005F0E87">
        <w:rPr>
          <w:rFonts w:eastAsiaTheme="minorHAnsi"/>
          <w:lang w:val="fr-FR" w:eastAsia="en-US"/>
        </w:rPr>
        <w:t>28.4.1.5</w:t>
      </w:r>
      <w:r w:rsidRPr="005F0E87">
        <w:rPr>
          <w:rFonts w:eastAsiaTheme="minorHAnsi"/>
          <w:lang w:val="fr-FR" w:eastAsia="en-US"/>
        </w:rPr>
        <w:tab/>
        <w:t>Ajouter les lignes suivantes en bas du tableau :</w:t>
      </w:r>
    </w:p>
    <w:tbl>
      <w:tblPr>
        <w:tblW w:w="7370" w:type="dxa"/>
        <w:tblInd w:w="1134" w:type="dxa"/>
        <w:tblLayout w:type="fixed"/>
        <w:tblCellMar>
          <w:left w:w="0" w:type="dxa"/>
          <w:right w:w="0" w:type="dxa"/>
        </w:tblCellMar>
        <w:tblLook w:val="0000" w:firstRow="0" w:lastRow="0" w:firstColumn="0" w:lastColumn="0" w:noHBand="0" w:noVBand="0"/>
      </w:tblPr>
      <w:tblGrid>
        <w:gridCol w:w="3365"/>
        <w:gridCol w:w="1459"/>
        <w:gridCol w:w="1343"/>
        <w:gridCol w:w="1203"/>
      </w:tblGrid>
      <w:tr w:rsidR="005F0E87" w:rsidRPr="005F0E87" w14:paraId="2B124C50" w14:textId="77777777" w:rsidTr="00BD3338">
        <w:trPr>
          <w:cantSplit/>
          <w:tblHeader/>
        </w:trPr>
        <w:tc>
          <w:tcPr>
            <w:tcW w:w="2283" w:type="pct"/>
            <w:tcBorders>
              <w:top w:val="single" w:sz="4" w:space="0" w:color="auto"/>
              <w:bottom w:val="single" w:sz="12" w:space="0" w:color="auto"/>
            </w:tcBorders>
            <w:shd w:val="clear" w:color="auto" w:fill="auto"/>
            <w:vAlign w:val="bottom"/>
          </w:tcPr>
          <w:p w14:paraId="245B0C0F" w14:textId="77777777" w:rsidR="005F0E87" w:rsidRPr="005F0E87" w:rsidRDefault="005F0E87" w:rsidP="005F0E87">
            <w:pPr>
              <w:suppressAutoHyphens w:val="0"/>
              <w:spacing w:before="80" w:after="80" w:line="200" w:lineRule="exact"/>
              <w:rPr>
                <w:rFonts w:eastAsiaTheme="minorHAnsi"/>
                <w:b/>
                <w:i/>
                <w:sz w:val="16"/>
                <w:lang w:val="en-GB" w:eastAsia="en-US"/>
              </w:rPr>
            </w:pPr>
            <w:r w:rsidRPr="005F0E87">
              <w:rPr>
                <w:rFonts w:eastAsiaTheme="minorHAnsi"/>
                <w:b/>
                <w:i/>
                <w:sz w:val="16"/>
                <w:lang w:val="fr-FR" w:eastAsia="en-US"/>
              </w:rPr>
              <w:t>Matière</w:t>
            </w:r>
          </w:p>
        </w:tc>
        <w:tc>
          <w:tcPr>
            <w:tcW w:w="990" w:type="pct"/>
            <w:tcBorders>
              <w:top w:val="single" w:sz="4" w:space="0" w:color="auto"/>
              <w:bottom w:val="single" w:sz="12" w:space="0" w:color="auto"/>
            </w:tcBorders>
            <w:shd w:val="clear" w:color="auto" w:fill="auto"/>
            <w:vAlign w:val="bottom"/>
          </w:tcPr>
          <w:p w14:paraId="53EA71B1"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 xml:space="preserve">Masse </w:t>
            </w:r>
            <w:r w:rsidRPr="005F0E87">
              <w:rPr>
                <w:rFonts w:eastAsiaTheme="minorHAnsi"/>
                <w:b/>
                <w:i/>
                <w:sz w:val="16"/>
                <w:lang w:val="fr-FR" w:eastAsia="en-US"/>
              </w:rPr>
              <w:br/>
              <w:t>de l’échantillon</w:t>
            </w:r>
            <w:r w:rsidRPr="005F0E87">
              <w:rPr>
                <w:rFonts w:eastAsiaTheme="minorHAnsi"/>
                <w:b/>
                <w:i/>
                <w:sz w:val="16"/>
                <w:lang w:val="fr-FR" w:eastAsia="en-US"/>
              </w:rPr>
              <w:br/>
              <w:t xml:space="preserve"> (kg)</w:t>
            </w:r>
          </w:p>
        </w:tc>
        <w:tc>
          <w:tcPr>
            <w:tcW w:w="911" w:type="pct"/>
            <w:tcBorders>
              <w:top w:val="single" w:sz="4" w:space="0" w:color="auto"/>
              <w:bottom w:val="single" w:sz="12" w:space="0" w:color="auto"/>
            </w:tcBorders>
            <w:shd w:val="clear" w:color="auto" w:fill="auto"/>
            <w:vAlign w:val="bottom"/>
          </w:tcPr>
          <w:p w14:paraId="64186FC3"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Emballage</w:t>
            </w:r>
          </w:p>
        </w:tc>
        <w:tc>
          <w:tcPr>
            <w:tcW w:w="816" w:type="pct"/>
            <w:tcBorders>
              <w:top w:val="single" w:sz="4" w:space="0" w:color="auto"/>
              <w:bottom w:val="single" w:sz="12" w:space="0" w:color="auto"/>
            </w:tcBorders>
            <w:shd w:val="clear" w:color="auto" w:fill="auto"/>
            <w:vAlign w:val="bottom"/>
          </w:tcPr>
          <w:p w14:paraId="18846B3A"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 xml:space="preserve">TDAA/TPAA </w:t>
            </w:r>
            <w:r w:rsidRPr="005F0E87">
              <w:rPr>
                <w:rFonts w:eastAsiaTheme="minorHAnsi"/>
                <w:b/>
                <w:i/>
                <w:sz w:val="16"/>
                <w:lang w:val="fr-FR" w:eastAsia="en-US"/>
              </w:rPr>
              <w:br/>
              <w:t>(°C)</w:t>
            </w:r>
          </w:p>
        </w:tc>
      </w:tr>
      <w:tr w:rsidR="005F0E87" w:rsidRPr="005F0E87" w14:paraId="0F50B574" w14:textId="77777777" w:rsidTr="00BD3338">
        <w:trPr>
          <w:cantSplit/>
        </w:trPr>
        <w:tc>
          <w:tcPr>
            <w:tcW w:w="2283" w:type="pct"/>
            <w:tcBorders>
              <w:top w:val="single" w:sz="12" w:space="0" w:color="auto"/>
            </w:tcBorders>
            <w:shd w:val="clear" w:color="auto" w:fill="auto"/>
          </w:tcPr>
          <w:p w14:paraId="78067466" w14:textId="77777777" w:rsidR="005F0E87" w:rsidRPr="005F0E87" w:rsidRDefault="005F0E87" w:rsidP="005F0E87">
            <w:pPr>
              <w:suppressAutoHyphens w:val="0"/>
              <w:spacing w:before="40" w:after="40" w:line="220" w:lineRule="exact"/>
              <w:rPr>
                <w:rFonts w:eastAsiaTheme="minorHAnsi"/>
                <w:sz w:val="18"/>
                <w:lang w:eastAsia="en-US"/>
              </w:rPr>
            </w:pPr>
            <w:r w:rsidRPr="005F0E87">
              <w:rPr>
                <w:rFonts w:eastAsiaTheme="minorHAnsi"/>
                <w:sz w:val="18"/>
                <w:lang w:val="fr-FR" w:eastAsia="en-US"/>
              </w:rPr>
              <w:t xml:space="preserve">Peroxyde de </w:t>
            </w:r>
            <w:proofErr w:type="spellStart"/>
            <w:r w:rsidRPr="005F0E87">
              <w:rPr>
                <w:rFonts w:eastAsiaTheme="minorHAnsi"/>
                <w:sz w:val="18"/>
                <w:lang w:val="fr-FR" w:eastAsia="en-US"/>
              </w:rPr>
              <w:t>didecanoyle</w:t>
            </w:r>
            <w:proofErr w:type="spellEnd"/>
            <w:r w:rsidRPr="005F0E87">
              <w:rPr>
                <w:rFonts w:eastAsiaTheme="minorHAnsi"/>
                <w:sz w:val="18"/>
                <w:lang w:val="fr-FR" w:eastAsia="en-US"/>
              </w:rPr>
              <w:t>, techniquement pur</w:t>
            </w:r>
          </w:p>
        </w:tc>
        <w:tc>
          <w:tcPr>
            <w:tcW w:w="990" w:type="pct"/>
            <w:tcBorders>
              <w:top w:val="single" w:sz="12" w:space="0" w:color="auto"/>
            </w:tcBorders>
            <w:shd w:val="clear" w:color="auto" w:fill="auto"/>
            <w:vAlign w:val="bottom"/>
          </w:tcPr>
          <w:p w14:paraId="2AAC5701"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20</w:t>
            </w:r>
          </w:p>
        </w:tc>
        <w:tc>
          <w:tcPr>
            <w:tcW w:w="911" w:type="pct"/>
            <w:tcBorders>
              <w:top w:val="single" w:sz="12" w:space="0" w:color="auto"/>
            </w:tcBorders>
            <w:shd w:val="clear" w:color="auto" w:fill="auto"/>
            <w:vAlign w:val="bottom"/>
          </w:tcPr>
          <w:p w14:paraId="30929536"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1G</w:t>
            </w:r>
          </w:p>
        </w:tc>
        <w:tc>
          <w:tcPr>
            <w:tcW w:w="816" w:type="pct"/>
            <w:tcBorders>
              <w:top w:val="single" w:sz="12" w:space="0" w:color="auto"/>
            </w:tcBorders>
            <w:shd w:val="clear" w:color="auto" w:fill="auto"/>
            <w:vAlign w:val="bottom"/>
          </w:tcPr>
          <w:p w14:paraId="0272F5EA"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40</w:t>
            </w:r>
          </w:p>
        </w:tc>
      </w:tr>
      <w:tr w:rsidR="005F0E87" w:rsidRPr="005F0E87" w14:paraId="017A1914" w14:textId="77777777" w:rsidTr="00BD3338">
        <w:trPr>
          <w:cantSplit/>
        </w:trPr>
        <w:tc>
          <w:tcPr>
            <w:tcW w:w="2283" w:type="pct"/>
            <w:tcBorders>
              <w:bottom w:val="single" w:sz="12" w:space="0" w:color="auto"/>
            </w:tcBorders>
            <w:shd w:val="clear" w:color="auto" w:fill="auto"/>
          </w:tcPr>
          <w:p w14:paraId="264DD366" w14:textId="77777777" w:rsidR="005F0E87" w:rsidRPr="005F0E87" w:rsidRDefault="005F0E87" w:rsidP="005F0E87">
            <w:pPr>
              <w:suppressAutoHyphens w:val="0"/>
              <w:spacing w:before="40" w:after="40" w:line="220" w:lineRule="exact"/>
              <w:rPr>
                <w:rFonts w:eastAsiaTheme="minorHAnsi"/>
                <w:sz w:val="18"/>
                <w:lang w:val="en-GB" w:eastAsia="en-US"/>
              </w:rPr>
            </w:pPr>
            <w:r w:rsidRPr="005F0E87">
              <w:rPr>
                <w:rFonts w:eastAsiaTheme="minorHAnsi"/>
                <w:sz w:val="18"/>
                <w:lang w:val="fr-FR" w:eastAsia="en-US"/>
              </w:rPr>
              <w:t xml:space="preserve">Azo-2,2’ </w:t>
            </w:r>
            <w:r w:rsidRPr="005F0E87">
              <w:rPr>
                <w:rFonts w:eastAsiaTheme="minorHAnsi"/>
                <w:i/>
                <w:sz w:val="18"/>
                <w:lang w:val="fr-FR" w:eastAsia="en-US"/>
              </w:rPr>
              <w:t>bis</w:t>
            </w:r>
            <w:r w:rsidRPr="005F0E87">
              <w:rPr>
                <w:rFonts w:eastAsiaTheme="minorHAnsi"/>
                <w:sz w:val="18"/>
                <w:lang w:val="fr-FR" w:eastAsia="en-US"/>
              </w:rPr>
              <w:t xml:space="preserve"> (</w:t>
            </w:r>
            <w:proofErr w:type="spellStart"/>
            <w:r w:rsidRPr="005F0E87">
              <w:rPr>
                <w:rFonts w:eastAsiaTheme="minorHAnsi"/>
                <w:sz w:val="18"/>
                <w:lang w:val="fr-FR" w:eastAsia="en-US"/>
              </w:rPr>
              <w:t>isobutyronitrile</w:t>
            </w:r>
            <w:proofErr w:type="spellEnd"/>
            <w:r w:rsidRPr="005F0E87">
              <w:rPr>
                <w:rFonts w:eastAsiaTheme="minorHAnsi"/>
                <w:sz w:val="18"/>
                <w:lang w:val="fr-FR" w:eastAsia="en-US"/>
              </w:rPr>
              <w:t>)</w:t>
            </w:r>
          </w:p>
        </w:tc>
        <w:tc>
          <w:tcPr>
            <w:tcW w:w="990" w:type="pct"/>
            <w:tcBorders>
              <w:bottom w:val="single" w:sz="12" w:space="0" w:color="auto"/>
            </w:tcBorders>
            <w:shd w:val="clear" w:color="auto" w:fill="auto"/>
            <w:vAlign w:val="bottom"/>
          </w:tcPr>
          <w:p w14:paraId="12B3B9A3"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50</w:t>
            </w:r>
          </w:p>
        </w:tc>
        <w:tc>
          <w:tcPr>
            <w:tcW w:w="911" w:type="pct"/>
            <w:tcBorders>
              <w:bottom w:val="single" w:sz="12" w:space="0" w:color="auto"/>
            </w:tcBorders>
            <w:shd w:val="clear" w:color="auto" w:fill="auto"/>
            <w:vAlign w:val="bottom"/>
          </w:tcPr>
          <w:p w14:paraId="13E563EE"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1G</w:t>
            </w:r>
          </w:p>
        </w:tc>
        <w:tc>
          <w:tcPr>
            <w:tcW w:w="816" w:type="pct"/>
            <w:tcBorders>
              <w:bottom w:val="single" w:sz="12" w:space="0" w:color="auto"/>
            </w:tcBorders>
            <w:shd w:val="clear" w:color="auto" w:fill="auto"/>
            <w:vAlign w:val="bottom"/>
          </w:tcPr>
          <w:p w14:paraId="62376066"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50</w:t>
            </w:r>
          </w:p>
        </w:tc>
      </w:tr>
    </w:tbl>
    <w:p w14:paraId="4420B695" w14:textId="77777777" w:rsidR="005F0E87" w:rsidRPr="00F873A4" w:rsidRDefault="005F0E87" w:rsidP="00560FC5">
      <w:pPr>
        <w:spacing w:before="240" w:after="120"/>
        <w:ind w:left="2268" w:right="1134" w:hanging="1134"/>
        <w:jc w:val="both"/>
        <w:rPr>
          <w:rFonts w:eastAsiaTheme="minorHAnsi"/>
          <w:lang w:eastAsia="en-US"/>
        </w:rPr>
      </w:pPr>
      <w:r w:rsidRPr="00F873A4">
        <w:rPr>
          <w:rFonts w:eastAsiaTheme="minorHAnsi"/>
          <w:lang w:val="fr-FR" w:eastAsia="en-US"/>
        </w:rPr>
        <w:t>Figure 28.4.1.1</w:t>
      </w:r>
      <w:r w:rsidRPr="00F873A4">
        <w:rPr>
          <w:rFonts w:eastAsiaTheme="minorHAnsi"/>
          <w:lang w:val="fr-FR" w:eastAsia="en-US"/>
        </w:rPr>
        <w:tab/>
        <w:t>Modifier le titre comme suit : « Étuve pour petit colis (Exemple 1). »</w:t>
      </w:r>
    </w:p>
    <w:p w14:paraId="36095350" w14:textId="77777777" w:rsidR="005F0E87" w:rsidRPr="00F873A4" w:rsidRDefault="005F0E87" w:rsidP="00560FC5">
      <w:pPr>
        <w:spacing w:after="120"/>
        <w:ind w:left="2268" w:right="1134" w:hanging="1134"/>
        <w:jc w:val="both"/>
        <w:rPr>
          <w:rFonts w:eastAsiaTheme="minorHAnsi"/>
          <w:lang w:eastAsia="en-US"/>
        </w:rPr>
      </w:pPr>
      <w:r w:rsidRPr="00F873A4">
        <w:rPr>
          <w:rFonts w:eastAsiaTheme="minorHAnsi"/>
          <w:lang w:val="fr-FR" w:eastAsia="en-US"/>
        </w:rPr>
        <w:t>Figure 28.4.1.2</w:t>
      </w:r>
      <w:r w:rsidRPr="00F873A4">
        <w:rPr>
          <w:rFonts w:eastAsiaTheme="minorHAnsi"/>
          <w:lang w:val="fr-FR" w:eastAsia="en-US"/>
        </w:rPr>
        <w:tab/>
        <w:t>Modifier le titre comme suit : « Étuve pour grand colis (vue en plan et en élévation) (Exemple 2). »</w:t>
      </w:r>
    </w:p>
    <w:p w14:paraId="1ECDF98F" w14:textId="77777777" w:rsidR="005F0E87" w:rsidRPr="005F0E87" w:rsidRDefault="005F0E87" w:rsidP="00560FC5">
      <w:pPr>
        <w:spacing w:after="120"/>
        <w:ind w:left="2268" w:right="1134" w:hanging="1134"/>
        <w:jc w:val="both"/>
        <w:rPr>
          <w:rFonts w:eastAsiaTheme="minorHAnsi"/>
          <w:lang w:eastAsia="en-US"/>
        </w:rPr>
      </w:pPr>
      <w:r w:rsidRPr="005F0E87">
        <w:rPr>
          <w:rFonts w:eastAsiaTheme="minorHAnsi"/>
          <w:lang w:val="fr-FR" w:eastAsia="en-US"/>
        </w:rPr>
        <w:t>28.4.2.1.1</w:t>
      </w:r>
      <w:r w:rsidRPr="005F0E87">
        <w:rPr>
          <w:rFonts w:eastAsiaTheme="minorHAnsi"/>
          <w:lang w:val="fr-FR" w:eastAsia="en-US"/>
        </w:rPr>
        <w:tab/>
        <w:t>Dans la deuxième phrase, remplacer « données sur le transfert de chaleur concernant le colis » par « données sur le transfert de chaleur du colis ». Ajouter une dernière phrase et les alinéas a) et b) qui s’y rapportent comme suit :</w:t>
      </w:r>
    </w:p>
    <w:p w14:paraId="5EEBA017" w14:textId="181661B3" w:rsidR="005F0E87" w:rsidRPr="005F0E87" w:rsidRDefault="005F0E87" w:rsidP="00560FC5">
      <w:pPr>
        <w:keepNext/>
        <w:keepLines/>
        <w:spacing w:after="120"/>
        <w:ind w:left="2268" w:right="1134" w:hanging="1134"/>
        <w:jc w:val="both"/>
        <w:rPr>
          <w:rFonts w:eastAsiaTheme="minorHAnsi"/>
          <w:lang w:val="fr-FR" w:eastAsia="en-US"/>
        </w:rPr>
      </w:pPr>
      <w:r w:rsidRPr="005F0E87">
        <w:rPr>
          <w:rFonts w:eastAsiaTheme="minorHAnsi"/>
          <w:lang w:val="fr-FR" w:eastAsia="en-US"/>
        </w:rPr>
        <w:t>« Il existe deux types d’épreuve de stockage adiabatique :</w:t>
      </w:r>
    </w:p>
    <w:p w14:paraId="10697497" w14:textId="2DAEC680" w:rsidR="005F0E87" w:rsidRPr="005F0E87" w:rsidRDefault="005F0E87" w:rsidP="00784CBB">
      <w:pPr>
        <w:tabs>
          <w:tab w:val="left" w:pos="2268"/>
        </w:tabs>
        <w:spacing w:after="120"/>
        <w:ind w:left="2268" w:right="1134" w:hanging="567"/>
        <w:jc w:val="both"/>
        <w:rPr>
          <w:rFonts w:eastAsiaTheme="minorHAnsi"/>
          <w:lang w:eastAsia="en-US"/>
        </w:rPr>
      </w:pPr>
      <w:r w:rsidRPr="005F0E87">
        <w:rPr>
          <w:rFonts w:eastAsiaTheme="minorHAnsi"/>
          <w:lang w:val="fr-FR" w:eastAsia="en-US"/>
        </w:rPr>
        <w:t>a)</w:t>
      </w:r>
      <w:r w:rsidRPr="005F0E87">
        <w:rPr>
          <w:rFonts w:eastAsiaTheme="minorHAnsi"/>
          <w:lang w:val="fr-FR" w:eastAsia="en-US"/>
        </w:rPr>
        <w:tab/>
        <w:t xml:space="preserve">En circuit ouvert : un vase de Dewar est placé dans une étuve. Ce dispositif utilise un capillaire pour éviter une montée en pression et un système de </w:t>
      </w:r>
      <w:r w:rsidRPr="005F0E87">
        <w:rPr>
          <w:rFonts w:eastAsiaTheme="minorHAnsi"/>
          <w:lang w:val="fr-FR" w:eastAsia="en-US"/>
        </w:rPr>
        <w:lastRenderedPageBreak/>
        <w:t>refroidissement pour limiter l’augmentation de température due à une réaction d’emballement thermique ;</w:t>
      </w:r>
    </w:p>
    <w:p w14:paraId="38AA7D5A" w14:textId="2501F85D" w:rsidR="005F0E87" w:rsidRPr="005F0E87" w:rsidRDefault="005F0E87" w:rsidP="00784CBB">
      <w:pPr>
        <w:tabs>
          <w:tab w:val="left" w:pos="2268"/>
        </w:tabs>
        <w:spacing w:after="120"/>
        <w:ind w:left="2268" w:right="1134" w:hanging="567"/>
        <w:jc w:val="both"/>
        <w:rPr>
          <w:rFonts w:eastAsiaTheme="minorHAnsi"/>
          <w:lang w:eastAsia="en-US"/>
        </w:rPr>
      </w:pPr>
      <w:r w:rsidRPr="005F0E87">
        <w:rPr>
          <w:rFonts w:eastAsiaTheme="minorHAnsi"/>
          <w:lang w:val="fr-FR" w:eastAsia="en-US"/>
        </w:rPr>
        <w:t>b)</w:t>
      </w:r>
      <w:r w:rsidRPr="005F0E87">
        <w:rPr>
          <w:rFonts w:eastAsiaTheme="minorHAnsi"/>
          <w:lang w:val="fr-FR" w:eastAsia="en-US"/>
        </w:rPr>
        <w:tab/>
        <w:t>En circuit fermé : un récipient d’épreuve (un vase de Dewar ou un récipient à paroi mince par exemple) est placé à l’intérieur d’un autoclave dans une étuve. Ici, l’autoclave prévient la libération de la pression dans l’environnement pendant l’épreuve. »</w:t>
      </w:r>
    </w:p>
    <w:p w14:paraId="7F97BDE2" w14:textId="77777777" w:rsidR="005F0E87" w:rsidRPr="005F0E87" w:rsidRDefault="005F0E87" w:rsidP="00560FC5">
      <w:pPr>
        <w:keepNext/>
        <w:keepLines/>
        <w:spacing w:after="120"/>
        <w:ind w:left="2268" w:right="1134" w:hanging="1134"/>
        <w:jc w:val="both"/>
        <w:rPr>
          <w:rFonts w:eastAsiaTheme="minorHAnsi"/>
          <w:lang w:eastAsia="en-US"/>
        </w:rPr>
      </w:pPr>
      <w:r w:rsidRPr="005F0E87">
        <w:rPr>
          <w:rFonts w:eastAsiaTheme="minorHAnsi"/>
          <w:lang w:val="fr-FR" w:eastAsia="en-US"/>
        </w:rPr>
        <w:t xml:space="preserve">28.4.2.1.2 </w:t>
      </w:r>
      <w:r w:rsidRPr="005F0E87">
        <w:rPr>
          <w:rFonts w:eastAsiaTheme="minorHAnsi"/>
          <w:lang w:val="fr-FR" w:eastAsia="en-US"/>
        </w:rPr>
        <w:tab/>
        <w:t>Modifier comme suit :</w:t>
      </w:r>
    </w:p>
    <w:p w14:paraId="7B5C7F49" w14:textId="36C33B0B" w:rsidR="005F0E87" w:rsidRPr="005F0E87" w:rsidRDefault="005F0E87" w:rsidP="00560FC5">
      <w:pPr>
        <w:tabs>
          <w:tab w:val="left" w:pos="2268"/>
        </w:tabs>
        <w:spacing w:after="120"/>
        <w:ind w:left="1134" w:right="1134"/>
        <w:jc w:val="both"/>
        <w:rPr>
          <w:rFonts w:eastAsiaTheme="minorHAnsi"/>
          <w:lang w:eastAsia="en-US"/>
        </w:rPr>
      </w:pPr>
      <w:r w:rsidRPr="005F0E87">
        <w:rPr>
          <w:rFonts w:eastAsiaTheme="minorHAnsi"/>
          <w:lang w:val="fr-FR" w:eastAsia="en-US"/>
        </w:rPr>
        <w:t xml:space="preserve">« 28.4.2.1.2 </w:t>
      </w:r>
      <w:r w:rsidRPr="005F0E87">
        <w:rPr>
          <w:rFonts w:eastAsiaTheme="minorHAnsi"/>
          <w:lang w:val="fr-FR" w:eastAsia="en-US"/>
        </w:rPr>
        <w:tab/>
        <w:t>La plus faible augmentation de température détectable avec cette méthode dépend des propriétés de l’échantillon, mais correspond généralement à une production de chaleur de 15 mW/kg. La limite supérieure de l’épreuve en circuit ouvert est déterminée par la capacité du serpentin refroidisseur de refroidir la matière en toute sécurité (jusqu’à 500 W/kg si l’on utilise l’eau comme agent de refroidissement). Cette limite n’est pas imposée à l’épreuve en circuit fermé si celle-ci est réalisée dans un autoclave haute pression. L’erreur maximale autorisée pour la production de chaleur est d’au moins 30 % à 15 mW/kg et de 10 % de 100 mW/kg à 10 W/kg. La limite de détection de l’épreuve adiabatique doit permettre d’évaluer la perte de chaleur du colis considéré (par exemple 100 à 500 mW/kg lorsque L = 60  mW/K.kg). Lorsqu’une extrapolation importante du taux de production de chaleur doit être effectuée sur la base des données d’épreuves adiabatiques, une validation par des épreuves isothermes additionnelles est recommandée. »</w:t>
      </w:r>
    </w:p>
    <w:p w14:paraId="268BFAD9" w14:textId="06F0E4FD" w:rsidR="005F0E87" w:rsidRPr="005F0E87" w:rsidRDefault="005F0E87" w:rsidP="00560FC5">
      <w:pPr>
        <w:keepNext/>
        <w:keepLines/>
        <w:spacing w:after="120"/>
        <w:ind w:left="2268" w:right="1134" w:hanging="1134"/>
        <w:jc w:val="both"/>
        <w:rPr>
          <w:rFonts w:eastAsiaTheme="minorHAnsi"/>
          <w:lang w:eastAsia="en-US"/>
        </w:rPr>
      </w:pPr>
      <w:r w:rsidRPr="005F0E87">
        <w:rPr>
          <w:rFonts w:eastAsiaTheme="minorHAnsi"/>
          <w:lang w:val="fr-FR" w:eastAsia="en-US"/>
        </w:rPr>
        <w:t xml:space="preserve">28.4.2.1.3 </w:t>
      </w:r>
      <w:r w:rsidRPr="005F0E87">
        <w:rPr>
          <w:rFonts w:eastAsiaTheme="minorHAnsi"/>
          <w:lang w:val="fr-FR" w:eastAsia="en-US"/>
        </w:rPr>
        <w:tab/>
        <w:t>Remplacer la première phrase par la phrase suivante :</w:t>
      </w:r>
    </w:p>
    <w:p w14:paraId="63231CE3" w14:textId="604DBFB9" w:rsidR="005F0E87" w:rsidRPr="005F0E87" w:rsidRDefault="005F0E87" w:rsidP="00560FC5">
      <w:pPr>
        <w:spacing w:after="120"/>
        <w:ind w:left="1134" w:right="1134"/>
        <w:jc w:val="both"/>
        <w:rPr>
          <w:rFonts w:eastAsiaTheme="minorHAnsi"/>
          <w:lang w:eastAsia="en-US"/>
        </w:rPr>
      </w:pPr>
      <w:r w:rsidRPr="005F0E87">
        <w:rPr>
          <w:rFonts w:eastAsiaTheme="minorHAnsi"/>
          <w:lang w:val="fr-FR" w:eastAsia="en-US"/>
        </w:rPr>
        <w:t>« Une explosion peut se produire pendant l’épreuve en circuit ouvert si le dispositif refroidisseur n’est mis en action qu’au stade où la production de chaleur dépasse sa capacité de refroidissement. S’agissant de l’épreuve en circuit fermé, une explosion pourrait entraîner une rupture de l’autoclave ou de ses pièces. »</w:t>
      </w:r>
    </w:p>
    <w:p w14:paraId="55182A4C" w14:textId="77777777" w:rsidR="005F0E87" w:rsidRPr="005F0E87" w:rsidRDefault="005F0E87" w:rsidP="00560FC5">
      <w:pPr>
        <w:keepNext/>
        <w:keepLines/>
        <w:spacing w:after="120"/>
        <w:ind w:left="2268" w:right="1134" w:hanging="1134"/>
        <w:jc w:val="both"/>
        <w:rPr>
          <w:rFonts w:eastAsiaTheme="minorHAnsi"/>
          <w:lang w:eastAsia="en-US"/>
        </w:rPr>
      </w:pPr>
      <w:r w:rsidRPr="005F0E87">
        <w:rPr>
          <w:rFonts w:eastAsiaTheme="minorHAnsi"/>
          <w:lang w:val="fr-FR" w:eastAsia="en-US"/>
        </w:rPr>
        <w:t xml:space="preserve">28.4.2.2.1 </w:t>
      </w:r>
      <w:r w:rsidRPr="005F0E87">
        <w:rPr>
          <w:rFonts w:eastAsiaTheme="minorHAnsi"/>
          <w:lang w:val="fr-FR" w:eastAsia="en-US"/>
        </w:rPr>
        <w:tab/>
        <w:t>Ajouter le titre suivant : « Épreuve en circuit ouvert » et modifier le paragraphe existant comme suit :</w:t>
      </w:r>
    </w:p>
    <w:p w14:paraId="1B1B8CCA" w14:textId="628D7C06" w:rsidR="005F0E87" w:rsidRPr="005F0E87" w:rsidRDefault="005F0E87" w:rsidP="00560FC5">
      <w:pPr>
        <w:numPr>
          <w:ilvl w:val="0"/>
          <w:numId w:val="1"/>
        </w:numPr>
        <w:spacing w:after="120"/>
        <w:ind w:left="2552" w:right="1134" w:hanging="284"/>
        <w:jc w:val="both"/>
        <w:rPr>
          <w:rFonts w:eastAsiaTheme="minorHAnsi"/>
          <w:lang w:eastAsia="en-US"/>
        </w:rPr>
      </w:pPr>
      <w:r w:rsidRPr="005F0E87">
        <w:rPr>
          <w:rFonts w:eastAsiaTheme="minorHAnsi"/>
          <w:lang w:val="fr-FR" w:eastAsia="en-US"/>
        </w:rPr>
        <w:t>Dans la première phrase, remplacer « (1 ou 1,5 litre) » par « (3 litres au maximum) » et insérer une virgule après « près de celle de l'échantillon » ;</w:t>
      </w:r>
    </w:p>
    <w:p w14:paraId="0AF4D96F" w14:textId="77777777" w:rsidR="005F0E87" w:rsidRPr="005F0E87" w:rsidRDefault="005F0E87" w:rsidP="00560FC5">
      <w:pPr>
        <w:numPr>
          <w:ilvl w:val="0"/>
          <w:numId w:val="1"/>
        </w:numPr>
        <w:spacing w:after="120"/>
        <w:ind w:left="2552" w:right="1134" w:hanging="284"/>
        <w:jc w:val="both"/>
        <w:rPr>
          <w:rFonts w:eastAsiaTheme="minorHAnsi"/>
          <w:lang w:eastAsia="en-US"/>
        </w:rPr>
      </w:pPr>
      <w:r w:rsidRPr="005F0E87">
        <w:rPr>
          <w:rFonts w:eastAsiaTheme="minorHAnsi"/>
          <w:lang w:val="fr-FR" w:eastAsia="en-US"/>
        </w:rPr>
        <w:t>Modifier la quatrième phrase comme suit : « Pour prévenir l’accroissement de pression dans le vase de Dewar, on munit celui-ci d’un tube capillaire suffisamment long fait d’une matière inerte (par exemple un tube en PTFE de 2 m de long), qui traverse le couvercle isolé. »</w:t>
      </w:r>
    </w:p>
    <w:p w14:paraId="6E4625B4" w14:textId="77777777" w:rsidR="005F0E87" w:rsidRPr="005F0E87" w:rsidRDefault="005F0E87" w:rsidP="00560FC5">
      <w:pPr>
        <w:numPr>
          <w:ilvl w:val="0"/>
          <w:numId w:val="1"/>
        </w:numPr>
        <w:spacing w:after="120"/>
        <w:ind w:left="2552" w:right="1134" w:hanging="284"/>
        <w:jc w:val="both"/>
        <w:rPr>
          <w:rFonts w:eastAsiaTheme="minorHAnsi"/>
          <w:lang w:eastAsia="en-US"/>
        </w:rPr>
      </w:pPr>
      <w:r w:rsidRPr="005F0E87">
        <w:rPr>
          <w:rFonts w:eastAsiaTheme="minorHAnsi"/>
          <w:lang w:val="fr-FR" w:eastAsia="en-US"/>
        </w:rPr>
        <w:t>Dans la septième phrase, remplacer « on prévoit un dispositif de sécurité secondaire, qui coupe l’alimentation » par « un dispositif de sécurité secondaire est utilisé pour couper l’alimentation électrique ».</w:t>
      </w:r>
    </w:p>
    <w:p w14:paraId="142154F1" w14:textId="77777777" w:rsidR="005F0E87" w:rsidRPr="005F0E87" w:rsidRDefault="005F0E87" w:rsidP="00560FC5">
      <w:pPr>
        <w:numPr>
          <w:ilvl w:val="0"/>
          <w:numId w:val="1"/>
        </w:numPr>
        <w:spacing w:after="120"/>
        <w:ind w:left="2552" w:right="1134" w:hanging="284"/>
        <w:jc w:val="both"/>
        <w:rPr>
          <w:rFonts w:eastAsiaTheme="minorHAnsi"/>
          <w:lang w:eastAsia="en-US"/>
        </w:rPr>
      </w:pPr>
      <w:r w:rsidRPr="005F0E87">
        <w:rPr>
          <w:rFonts w:eastAsiaTheme="minorHAnsi"/>
          <w:lang w:val="fr-FR" w:eastAsia="en-US"/>
        </w:rPr>
        <w:t>Modifier la dernière phrase comme suit : « La figure 28.4.2.1 présente le schéma de l’appareillage pour l’épreuve de stockage adiabatique en circuit ouvert. »</w:t>
      </w:r>
    </w:p>
    <w:p w14:paraId="5DC4606A" w14:textId="77777777" w:rsidR="005F0E87" w:rsidRPr="005F0E87" w:rsidRDefault="005F0E87" w:rsidP="00560FC5">
      <w:pPr>
        <w:spacing w:after="120"/>
        <w:ind w:left="2268" w:right="1134" w:hanging="1134"/>
        <w:jc w:val="both"/>
        <w:rPr>
          <w:rFonts w:eastAsiaTheme="minorHAnsi"/>
          <w:lang w:eastAsia="en-US"/>
        </w:rPr>
      </w:pPr>
      <w:r w:rsidRPr="005F0E87">
        <w:rPr>
          <w:rFonts w:eastAsiaTheme="minorHAnsi"/>
          <w:lang w:val="fr-FR" w:eastAsia="en-US"/>
        </w:rPr>
        <w:t>28.4.2.2.2</w:t>
      </w:r>
      <w:r w:rsidRPr="005F0E87">
        <w:rPr>
          <w:rFonts w:eastAsiaTheme="minorHAnsi"/>
          <w:lang w:val="fr-FR" w:eastAsia="en-US"/>
        </w:rPr>
        <w:tab/>
        <w:t>Ajouter les nouveaux paragraphes suivants (le 28.4.2.2.2 devient le 28.4.2.2.3) :</w:t>
      </w:r>
    </w:p>
    <w:p w14:paraId="51B3AB8E" w14:textId="77777777" w:rsidR="005F0E87" w:rsidRPr="005F0E87" w:rsidRDefault="005F0E87" w:rsidP="00560FC5">
      <w:pPr>
        <w:tabs>
          <w:tab w:val="left" w:pos="2268"/>
        </w:tabs>
        <w:spacing w:after="120"/>
        <w:ind w:left="1134" w:right="1134"/>
        <w:jc w:val="both"/>
        <w:rPr>
          <w:rFonts w:eastAsiaTheme="minorHAnsi"/>
          <w:lang w:eastAsia="en-US"/>
        </w:rPr>
      </w:pPr>
      <w:r w:rsidRPr="005F0E87">
        <w:rPr>
          <w:rFonts w:eastAsiaTheme="minorHAnsi"/>
          <w:lang w:val="fr-FR" w:eastAsia="en-US"/>
        </w:rPr>
        <w:t xml:space="preserve">« 28.4.2.2.2 </w:t>
      </w:r>
      <w:r w:rsidRPr="005F0E87">
        <w:rPr>
          <w:rFonts w:eastAsiaTheme="minorHAnsi"/>
          <w:lang w:val="fr-FR" w:eastAsia="en-US"/>
        </w:rPr>
        <w:tab/>
        <w:t>Circuit fermé</w:t>
      </w:r>
    </w:p>
    <w:p w14:paraId="74C959BF" w14:textId="77777777" w:rsidR="005F0E87" w:rsidRPr="005F0E87" w:rsidRDefault="005F0E87" w:rsidP="00560FC5">
      <w:pPr>
        <w:tabs>
          <w:tab w:val="left" w:pos="2268"/>
        </w:tabs>
        <w:spacing w:after="120"/>
        <w:ind w:left="1134" w:right="1134"/>
        <w:jc w:val="both"/>
        <w:rPr>
          <w:rFonts w:eastAsiaTheme="minorHAnsi"/>
          <w:lang w:eastAsia="en-US"/>
        </w:rPr>
      </w:pPr>
      <w:r w:rsidRPr="005F0E87">
        <w:rPr>
          <w:rFonts w:eastAsiaTheme="minorHAnsi"/>
          <w:lang w:val="fr-FR" w:eastAsia="en-US"/>
        </w:rPr>
        <w:t xml:space="preserve">28.4.2.2.2.1 </w:t>
      </w:r>
      <w:r w:rsidRPr="005F0E87">
        <w:rPr>
          <w:rFonts w:eastAsiaTheme="minorHAnsi"/>
          <w:lang w:val="fr-FR" w:eastAsia="en-US"/>
        </w:rPr>
        <w:tab/>
        <w:t>L’appareillage consiste en un récipient inerte approprié (comme un vase de Dewar ou une chambre d’épreuve à paroi mince) pour contenir l’échantillon, d’un autoclave haute pression et d’une étuve isolée avec système de réglage différentiel de la température. Les chambres d’épreuve à paroi mince doivent disposer d’un système de régulation de pression pour équilibrer la pression interne et externe de la chambre.</w:t>
      </w:r>
    </w:p>
    <w:p w14:paraId="6B84FB8E" w14:textId="77777777" w:rsidR="005F0E87" w:rsidRPr="005F0E87" w:rsidRDefault="005F0E87" w:rsidP="00560FC5">
      <w:pPr>
        <w:tabs>
          <w:tab w:val="left" w:pos="2268"/>
        </w:tabs>
        <w:spacing w:after="120"/>
        <w:ind w:left="1134" w:right="1134"/>
        <w:jc w:val="both"/>
        <w:rPr>
          <w:rFonts w:eastAsiaTheme="minorHAnsi"/>
          <w:lang w:eastAsia="en-US"/>
        </w:rPr>
      </w:pPr>
      <w:r w:rsidRPr="005F0E87">
        <w:rPr>
          <w:rFonts w:eastAsiaTheme="minorHAnsi"/>
          <w:lang w:val="fr-FR" w:eastAsia="en-US"/>
        </w:rPr>
        <w:t xml:space="preserve">28.4.2.2.2.2 </w:t>
      </w:r>
      <w:r w:rsidRPr="005F0E87">
        <w:rPr>
          <w:rFonts w:eastAsiaTheme="minorHAnsi"/>
          <w:lang w:val="fr-FR" w:eastAsia="en-US"/>
        </w:rPr>
        <w:tab/>
        <w:t xml:space="preserve">Le facteur phi (capacité thermique de l’installation et de l’échantillon divisée par la capacité thermique de l’échantillon) du système doit être connu et pris en compte dans l’évaluation des résultats des épreuves. Il convient donc de sélectionner la combinaison de facteur phi, d’isolation et de quantité de matière qui convient. Les pertes de chaleur de l’appareillage et la limite de détection du système doivent également être prises en considération. Un serpentin chauffant inerte peut être inséré à l’intérieur de l’échantillon. </w:t>
      </w:r>
      <w:r w:rsidRPr="005F0E87">
        <w:rPr>
          <w:rFonts w:eastAsiaTheme="minorHAnsi"/>
          <w:lang w:val="fr-FR" w:eastAsia="en-US"/>
        </w:rPr>
        <w:lastRenderedPageBreak/>
        <w:t>Outre l’autoclave haute pression, un dispositif de sécurité secondaire est utilisé pour couper l’alimentation de l’étuve à une température préréglée.</w:t>
      </w:r>
    </w:p>
    <w:p w14:paraId="67B36A7F" w14:textId="77777777" w:rsidR="005F0E87" w:rsidRPr="005F0E87" w:rsidRDefault="005F0E87" w:rsidP="00560FC5">
      <w:pPr>
        <w:tabs>
          <w:tab w:val="left" w:pos="2268"/>
        </w:tabs>
        <w:spacing w:after="120"/>
        <w:ind w:left="1134" w:right="1134"/>
        <w:jc w:val="both"/>
        <w:rPr>
          <w:rFonts w:eastAsiaTheme="minorHAnsi"/>
          <w:lang w:eastAsia="en-US"/>
        </w:rPr>
      </w:pPr>
      <w:bookmarkStart w:id="6" w:name="_Hlk35357983"/>
      <w:r w:rsidRPr="005F0E87">
        <w:rPr>
          <w:rFonts w:eastAsiaTheme="minorHAnsi"/>
          <w:lang w:val="fr-FR" w:eastAsia="en-US"/>
        </w:rPr>
        <w:t xml:space="preserve">28.4.2.2.2.3 </w:t>
      </w:r>
      <w:r w:rsidRPr="005F0E87">
        <w:rPr>
          <w:rFonts w:eastAsiaTheme="minorHAnsi"/>
          <w:lang w:val="fr-FR" w:eastAsia="en-US"/>
        </w:rPr>
        <w:tab/>
        <w:t>L’épreuve en circuit fermé est préférée pour les matières ayant une pression de vapeur élevée à la température d’épreuve afin d’éviter la perte de masse due à l’évaporation ou pour les matières dont la décomposition s’accompagne de fortes augmentations de pression (ce qui, dans le cas d’une épreuve en circuit ouvert, provoquerait l’arrachage du couvercle thermique isolé ou l’expulsion de l’échantillon de la chambre d’épreuves). Le poids de l’échantillon doit être déterminé après la mesure pour détecter la perte de masse pendant l’épreuve. Toute fuite du système et le refroidissement par évaporation qui en résulte peut entraîner une perte importante de sensibilité pendant l’épreuve et introduire une marge d’erreur élevée dans les résultats. On peut déterminer l’intérêt qu’il y a à effectuer une épreuve en circuit ouvert en déterminant la perte de masse de l’échantillon après l’épreuve. »</w:t>
      </w:r>
      <w:bookmarkEnd w:id="6"/>
    </w:p>
    <w:p w14:paraId="69098A56" w14:textId="77777777" w:rsidR="005F0E87" w:rsidRPr="005F0E87" w:rsidRDefault="005F0E87" w:rsidP="005F0E87">
      <w:pPr>
        <w:keepNext/>
        <w:keepLines/>
        <w:tabs>
          <w:tab w:val="left" w:pos="2410"/>
        </w:tabs>
        <w:spacing w:after="120"/>
        <w:ind w:left="2410" w:right="1134" w:hanging="1276"/>
        <w:jc w:val="both"/>
        <w:rPr>
          <w:rFonts w:eastAsiaTheme="minorHAnsi"/>
          <w:lang w:val="fr-FR" w:eastAsia="en-US"/>
        </w:rPr>
      </w:pPr>
      <w:r w:rsidRPr="005F0E87">
        <w:rPr>
          <w:rFonts w:eastAsiaTheme="minorHAnsi"/>
          <w:lang w:val="fr-FR" w:eastAsia="en-US"/>
        </w:rPr>
        <w:t xml:space="preserve">28.4.2.2.3 (nouveau paragraphe, anciennement le 28.4.2.2.2) </w:t>
      </w:r>
    </w:p>
    <w:p w14:paraId="2E0CFD47" w14:textId="77777777" w:rsidR="005F0E87" w:rsidRPr="005F0E87" w:rsidRDefault="005F0E87" w:rsidP="005A0616">
      <w:pPr>
        <w:keepNext/>
        <w:keepLines/>
        <w:spacing w:after="120"/>
        <w:ind w:left="2268" w:right="1134" w:hanging="1134"/>
        <w:jc w:val="both"/>
        <w:rPr>
          <w:rFonts w:eastAsiaTheme="minorHAnsi"/>
          <w:lang w:val="fr-FR" w:eastAsia="en-US"/>
        </w:rPr>
      </w:pPr>
      <w:r w:rsidRPr="005F0E87">
        <w:rPr>
          <w:rFonts w:eastAsiaTheme="minorHAnsi"/>
          <w:lang w:val="fr-FR" w:eastAsia="en-US"/>
        </w:rPr>
        <w:tab/>
        <w:t>Modifier comme suit :</w:t>
      </w:r>
    </w:p>
    <w:p w14:paraId="435D662F" w14:textId="47A1E66F" w:rsidR="005F0E87" w:rsidRPr="005F0E87" w:rsidRDefault="005F0E87" w:rsidP="005A0616">
      <w:pPr>
        <w:numPr>
          <w:ilvl w:val="0"/>
          <w:numId w:val="1"/>
        </w:numPr>
        <w:spacing w:after="120"/>
        <w:ind w:left="2552" w:right="1134" w:hanging="284"/>
        <w:jc w:val="both"/>
        <w:rPr>
          <w:rFonts w:eastAsiaTheme="minorHAnsi"/>
          <w:lang w:eastAsia="en-US"/>
        </w:rPr>
      </w:pPr>
      <w:r w:rsidRPr="005F0E87">
        <w:rPr>
          <w:rFonts w:eastAsiaTheme="minorHAnsi"/>
          <w:lang w:val="fr-FR" w:eastAsia="en-US"/>
        </w:rPr>
        <w:t>Dans la première phrase, après « capteurs », ajouter « RTD ».</w:t>
      </w:r>
    </w:p>
    <w:p w14:paraId="7125E74C" w14:textId="6C757541" w:rsidR="005F0E87" w:rsidRPr="00D45815" w:rsidRDefault="000843A1" w:rsidP="005A0616">
      <w:pPr>
        <w:numPr>
          <w:ilvl w:val="0"/>
          <w:numId w:val="1"/>
        </w:numPr>
        <w:spacing w:after="120"/>
        <w:ind w:left="2552" w:right="1134" w:hanging="284"/>
        <w:jc w:val="both"/>
        <w:rPr>
          <w:rFonts w:eastAsiaTheme="minorHAnsi"/>
          <w:lang w:eastAsia="en-US"/>
        </w:rPr>
      </w:pPr>
      <w:r>
        <w:rPr>
          <w:rFonts w:eastAsiaTheme="minorHAnsi"/>
          <w:lang w:val="fr-FR" w:eastAsia="en-US"/>
        </w:rPr>
        <w:t>L’amendement à la deuxième phrase est s</w:t>
      </w:r>
      <w:r w:rsidR="005F0E87" w:rsidRPr="005F0E87">
        <w:rPr>
          <w:rFonts w:eastAsiaTheme="minorHAnsi"/>
          <w:lang w:val="fr-FR" w:eastAsia="en-US"/>
        </w:rPr>
        <w:t>ans objet en français.</w:t>
      </w:r>
    </w:p>
    <w:p w14:paraId="562740B9" w14:textId="77777777" w:rsidR="005F0E87" w:rsidRPr="005F0E87" w:rsidRDefault="005F0E87" w:rsidP="005A0616">
      <w:pPr>
        <w:numPr>
          <w:ilvl w:val="0"/>
          <w:numId w:val="1"/>
        </w:numPr>
        <w:spacing w:after="120"/>
        <w:ind w:left="2552" w:right="1134" w:hanging="284"/>
        <w:jc w:val="both"/>
        <w:rPr>
          <w:rFonts w:eastAsiaTheme="minorHAnsi"/>
          <w:lang w:eastAsia="en-US"/>
        </w:rPr>
      </w:pPr>
      <w:r w:rsidRPr="005F0E87">
        <w:rPr>
          <w:rFonts w:eastAsiaTheme="minorHAnsi"/>
          <w:lang w:val="fr-FR" w:eastAsia="en-US"/>
        </w:rPr>
        <w:t>Modifier la fin de la troisième phrase comme suit : « ... pour l’observation des températures de la matière ainsi que (de l’air) dans l’étuve. »</w:t>
      </w:r>
    </w:p>
    <w:p w14:paraId="3AEAEBA0" w14:textId="77777777" w:rsidR="005F0E87" w:rsidRPr="005F0E87" w:rsidRDefault="005F0E87" w:rsidP="005A0616">
      <w:pPr>
        <w:numPr>
          <w:ilvl w:val="0"/>
          <w:numId w:val="1"/>
        </w:numPr>
        <w:spacing w:after="120"/>
        <w:ind w:left="2552" w:right="1134" w:hanging="284"/>
        <w:jc w:val="both"/>
        <w:rPr>
          <w:rFonts w:eastAsiaTheme="minorHAnsi"/>
          <w:lang w:eastAsia="en-US"/>
        </w:rPr>
      </w:pPr>
      <w:r w:rsidRPr="005F0E87">
        <w:rPr>
          <w:rFonts w:eastAsiaTheme="minorHAnsi"/>
          <w:lang w:val="fr-FR" w:eastAsia="en-US"/>
        </w:rPr>
        <w:t>Modifier la dernière phrase comme suit : « Pour les matières dont la TDAA ou la TPAA est inférieure à la température ambiante, l’épreuve doit être exécutée dans des conditions à même de garantir un refroidissement suffisant. »</w:t>
      </w:r>
    </w:p>
    <w:p w14:paraId="615E1A9C" w14:textId="77777777" w:rsidR="005F0E87" w:rsidRPr="005F0E87" w:rsidRDefault="005F0E87" w:rsidP="005A0616">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28.4.2.3.1</w:t>
      </w:r>
      <w:r w:rsidRPr="005F0E87">
        <w:rPr>
          <w:rFonts w:eastAsiaTheme="minorHAnsi"/>
          <w:lang w:val="fr-FR" w:eastAsia="en-US"/>
        </w:rPr>
        <w:tab/>
        <w:t>Modifier comme suit :</w:t>
      </w:r>
    </w:p>
    <w:p w14:paraId="722FC96E" w14:textId="77777777" w:rsidR="005F0E87" w:rsidRPr="005F0E87" w:rsidRDefault="005F0E87" w:rsidP="005A0616">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 xml:space="preserve">« 28.4.2.3.1 </w:t>
      </w:r>
      <w:r w:rsidRPr="005F0E87">
        <w:rPr>
          <w:rFonts w:eastAsiaTheme="minorHAnsi"/>
          <w:lang w:val="fr-FR" w:eastAsia="en-US"/>
        </w:rPr>
        <w:tab/>
        <w:t>Validation</w:t>
      </w:r>
      <w:bookmarkStart w:id="7" w:name="_Hlk35358385"/>
      <w:bookmarkEnd w:id="7"/>
    </w:p>
    <w:p w14:paraId="2E4F7D58" w14:textId="77777777" w:rsidR="005F0E87" w:rsidRPr="005F0E87" w:rsidRDefault="005F0E87" w:rsidP="000843A1">
      <w:pPr>
        <w:keepNext/>
        <w:keepLines/>
        <w:tabs>
          <w:tab w:val="left" w:pos="2268"/>
        </w:tabs>
        <w:spacing w:after="120"/>
        <w:ind w:left="1701" w:right="1134"/>
        <w:jc w:val="both"/>
        <w:rPr>
          <w:rFonts w:eastAsiaTheme="minorHAnsi"/>
          <w:lang w:eastAsia="en-US"/>
        </w:rPr>
      </w:pPr>
      <w:r w:rsidRPr="005F0E87">
        <w:rPr>
          <w:rFonts w:eastAsiaTheme="minorHAnsi"/>
          <w:lang w:val="fr-FR" w:eastAsia="en-US"/>
        </w:rPr>
        <w:t>a)</w:t>
      </w:r>
      <w:r w:rsidRPr="005F0E87">
        <w:rPr>
          <w:rFonts w:eastAsiaTheme="minorHAnsi"/>
          <w:lang w:val="fr-FR" w:eastAsia="en-US"/>
        </w:rPr>
        <w:tab/>
        <w:t>La procédure de validation A est la suivante :</w:t>
      </w:r>
    </w:p>
    <w:p w14:paraId="3A886087" w14:textId="77777777" w:rsidR="005F0E87" w:rsidRPr="005F0E87" w:rsidRDefault="005F0E87" w:rsidP="000843A1">
      <w:pPr>
        <w:tabs>
          <w:tab w:val="left" w:pos="2835"/>
        </w:tabs>
        <w:spacing w:after="120"/>
        <w:ind w:left="2835" w:right="1134" w:hanging="567"/>
        <w:jc w:val="both"/>
        <w:rPr>
          <w:rFonts w:eastAsiaTheme="minorHAnsi"/>
          <w:lang w:eastAsia="en-US"/>
        </w:rPr>
      </w:pPr>
      <w:r w:rsidRPr="005F0E87">
        <w:rPr>
          <w:rFonts w:eastAsiaTheme="minorHAnsi"/>
          <w:lang w:val="fr-FR" w:eastAsia="en-US"/>
        </w:rPr>
        <w:t>i)</w:t>
      </w:r>
      <w:r w:rsidRPr="005F0E87">
        <w:rPr>
          <w:rFonts w:eastAsiaTheme="minorHAnsi"/>
          <w:lang w:val="fr-FR" w:eastAsia="en-US"/>
        </w:rPr>
        <w:tab/>
        <w:t>Remplir le vase de Dewar d’un sel inorganique approprié, présentant de préférence des propriétés physiques similaires à celles de la matière soumise à l’épreuve (par exemple, du chlorure de sodium ou du carbonate de sodium anhydre dense). On peut aussi utiliser une huile dont la capacité thermique spécifique est connue à la température visée (par exemple, de l’huile silicone, de densité apparente de 0,96 ± 0,02 à 20 °C et de capacité thermique de 1,46 ± 0,02 J/g à 25 °C) ;</w:t>
      </w:r>
    </w:p>
    <w:p w14:paraId="1CEBE06E" w14:textId="7A93324B" w:rsidR="005F0E87" w:rsidRPr="005F0E87" w:rsidRDefault="005F0E87" w:rsidP="000843A1">
      <w:pPr>
        <w:tabs>
          <w:tab w:val="left" w:pos="2835"/>
        </w:tabs>
        <w:spacing w:after="120"/>
        <w:ind w:left="2835" w:right="1134" w:hanging="567"/>
        <w:jc w:val="both"/>
        <w:rPr>
          <w:rFonts w:eastAsiaTheme="minorHAnsi"/>
          <w:lang w:eastAsia="en-US"/>
        </w:rPr>
      </w:pPr>
      <w:r w:rsidRPr="005F0E87">
        <w:rPr>
          <w:rFonts w:eastAsiaTheme="minorHAnsi"/>
          <w:lang w:val="fr-FR" w:eastAsia="en-US"/>
        </w:rPr>
        <w:t>ii)</w:t>
      </w:r>
      <w:r w:rsidRPr="005F0E87">
        <w:rPr>
          <w:rFonts w:eastAsiaTheme="minorHAnsi"/>
          <w:lang w:val="fr-FR" w:eastAsia="en-US"/>
        </w:rPr>
        <w:tab/>
        <w:t>Placer le vase de Dewar dans le porte-vase de l’étuve et chauffer la matière utilisée pour la validation par paliers de 20 °C au moyen du chauffage interne à puissance connue et constante (par exemple 0,333 W ou 1,000 W) et déterminer les pertes de chaleur à 40 °C, 60 °C, 80 °C et 100 °C ;</w:t>
      </w:r>
    </w:p>
    <w:p w14:paraId="200D9715" w14:textId="77777777" w:rsidR="005F0E87" w:rsidRPr="005F0E87" w:rsidRDefault="005F0E87" w:rsidP="000843A1">
      <w:pPr>
        <w:tabs>
          <w:tab w:val="left" w:pos="2835"/>
        </w:tabs>
        <w:spacing w:after="120"/>
        <w:ind w:left="2835" w:right="1134" w:hanging="567"/>
        <w:jc w:val="both"/>
        <w:rPr>
          <w:rFonts w:eastAsiaTheme="minorHAnsi"/>
          <w:lang w:eastAsia="en-US"/>
        </w:rPr>
      </w:pPr>
      <w:r w:rsidRPr="005F0E87">
        <w:rPr>
          <w:rFonts w:eastAsiaTheme="minorHAnsi"/>
          <w:lang w:val="fr-FR" w:eastAsia="en-US"/>
        </w:rPr>
        <w:t>iii)</w:t>
      </w:r>
      <w:r w:rsidRPr="005F0E87">
        <w:rPr>
          <w:rFonts w:eastAsiaTheme="minorHAnsi"/>
          <w:lang w:val="fr-FR" w:eastAsia="en-US"/>
        </w:rPr>
        <w:tab/>
        <w:t>Utiliser les données obtenues pour déterminer la capacité calorifique du vase de Dewar et du dispositif d’épreuve en suivant la méthode décrite au paragraphe 28.4.2.4.</w:t>
      </w:r>
    </w:p>
    <w:p w14:paraId="4469C02B" w14:textId="77777777" w:rsidR="005F0E87" w:rsidRPr="005F0E87" w:rsidRDefault="005F0E87" w:rsidP="000843A1">
      <w:pPr>
        <w:tabs>
          <w:tab w:val="left" w:pos="2268"/>
        </w:tabs>
        <w:spacing w:after="120"/>
        <w:ind w:left="1701" w:right="1134"/>
        <w:jc w:val="both"/>
        <w:rPr>
          <w:rFonts w:eastAsiaTheme="minorHAnsi"/>
          <w:lang w:val="fr-FR" w:eastAsia="en-US"/>
        </w:rPr>
      </w:pPr>
      <w:r w:rsidRPr="005F0E87">
        <w:rPr>
          <w:rFonts w:eastAsiaTheme="minorHAnsi"/>
          <w:lang w:val="fr-FR" w:eastAsia="en-US"/>
        </w:rPr>
        <w:t>b)</w:t>
      </w:r>
      <w:r w:rsidRPr="005F0E87">
        <w:rPr>
          <w:rFonts w:eastAsiaTheme="minorHAnsi"/>
          <w:lang w:val="fr-FR" w:eastAsia="en-US"/>
        </w:rPr>
        <w:tab/>
        <w:t>La procédure de validation B est la suivante :</w:t>
      </w:r>
    </w:p>
    <w:p w14:paraId="27FE0CA9" w14:textId="77777777" w:rsidR="005F0E87" w:rsidRPr="005F0E87" w:rsidRDefault="005F0E87" w:rsidP="000843A1">
      <w:pPr>
        <w:tabs>
          <w:tab w:val="left" w:pos="2835"/>
        </w:tabs>
        <w:spacing w:after="120"/>
        <w:ind w:left="2835" w:right="1134" w:hanging="567"/>
        <w:jc w:val="both"/>
        <w:rPr>
          <w:rFonts w:eastAsiaTheme="minorHAnsi"/>
          <w:lang w:eastAsia="en-US"/>
        </w:rPr>
      </w:pPr>
      <w:r w:rsidRPr="005F0E87">
        <w:rPr>
          <w:rFonts w:eastAsiaTheme="minorHAnsi"/>
          <w:lang w:val="fr-FR" w:eastAsia="en-US"/>
        </w:rPr>
        <w:t>i)</w:t>
      </w:r>
      <w:r w:rsidRPr="005F0E87">
        <w:rPr>
          <w:rFonts w:eastAsiaTheme="minorHAnsi"/>
          <w:lang w:val="fr-FR" w:eastAsia="en-US"/>
        </w:rPr>
        <w:tab/>
        <w:t>Pour mener à bien la procédure de validation B, le dispositif d’épreuve doit être bien caractérisé (par exemple en s’appuyant sur les résultats de la procédure de validation A) ;</w:t>
      </w:r>
    </w:p>
    <w:p w14:paraId="58387D78" w14:textId="4F0D39F8" w:rsidR="005F0E87" w:rsidRPr="005F0E87" w:rsidRDefault="005F0E87" w:rsidP="000843A1">
      <w:pPr>
        <w:tabs>
          <w:tab w:val="left" w:pos="2835"/>
        </w:tabs>
        <w:spacing w:after="120"/>
        <w:ind w:left="2835" w:right="1134" w:hanging="567"/>
        <w:jc w:val="both"/>
        <w:rPr>
          <w:rFonts w:eastAsiaTheme="minorHAnsi"/>
          <w:lang w:eastAsia="en-US"/>
        </w:rPr>
      </w:pPr>
      <w:bookmarkStart w:id="8" w:name="_Hlk20254433"/>
      <w:r w:rsidRPr="005F0E87">
        <w:rPr>
          <w:rFonts w:eastAsiaTheme="minorHAnsi"/>
          <w:lang w:val="fr-FR" w:eastAsia="en-US"/>
        </w:rPr>
        <w:t>ii)</w:t>
      </w:r>
      <w:r w:rsidRPr="005F0E87">
        <w:rPr>
          <w:rFonts w:eastAsiaTheme="minorHAnsi"/>
          <w:lang w:val="fr-FR" w:eastAsia="en-US"/>
        </w:rPr>
        <w:tab/>
        <w:t xml:space="preserve">Le dispositif d’épreuve doit être validé au moyen de la méthode décrite au 28.4.2.4 avec au moins deux matières ou mélanges standard, pour lesquels il convient d’utiliser du peroxyde de </w:t>
      </w:r>
      <w:proofErr w:type="spellStart"/>
      <w:r w:rsidRPr="005F0E87">
        <w:rPr>
          <w:rFonts w:eastAsiaTheme="minorHAnsi"/>
          <w:lang w:val="fr-FR" w:eastAsia="en-US"/>
        </w:rPr>
        <w:t>dicumyle</w:t>
      </w:r>
      <w:proofErr w:type="spellEnd"/>
      <w:r w:rsidRPr="005F0E87">
        <w:rPr>
          <w:rFonts w:eastAsiaTheme="minorHAnsi"/>
          <w:lang w:val="fr-FR" w:eastAsia="en-US"/>
        </w:rPr>
        <w:t xml:space="preserve"> dans de l’éthylbenzène</w:t>
      </w:r>
      <w:r w:rsidRPr="005F0E87">
        <w:rPr>
          <w:rFonts w:eastAsiaTheme="minorHAnsi"/>
          <w:vertAlign w:val="superscript"/>
          <w:lang w:val="fr-FR" w:eastAsia="en-US"/>
        </w:rPr>
        <w:t>2</w:t>
      </w:r>
      <w:r w:rsidRPr="005F0E87">
        <w:rPr>
          <w:rFonts w:eastAsiaTheme="minorHAnsi"/>
          <w:lang w:val="fr-FR" w:eastAsia="en-US"/>
        </w:rPr>
        <w:t xml:space="preserve"> (40:60 % p/p, la TDAA pour une perte de chaleur de 60 mW/K.kg devrait être de 90 °C), ou l’une quelconque des matières figurant dans les tableaux d’exemples de résultats du chapitre 28. »</w:t>
      </w:r>
    </w:p>
    <w:p w14:paraId="0A3248C7" w14:textId="77777777" w:rsidR="005F0E87" w:rsidRPr="005F0E87" w:rsidRDefault="005F0E87" w:rsidP="005F0E87">
      <w:pPr>
        <w:keepNext/>
        <w:keepLines/>
        <w:spacing w:after="120"/>
        <w:ind w:left="2835" w:right="1134" w:hanging="567"/>
        <w:jc w:val="both"/>
        <w:rPr>
          <w:rFonts w:eastAsiaTheme="minorHAnsi"/>
          <w:lang w:eastAsia="en-US"/>
        </w:rPr>
      </w:pPr>
      <w:r w:rsidRPr="005F0E87">
        <w:rPr>
          <w:rFonts w:eastAsiaTheme="minorHAnsi"/>
          <w:lang w:val="fr-FR" w:eastAsia="en-US"/>
        </w:rPr>
        <w:lastRenderedPageBreak/>
        <w:t>Ajouter la note de bas de page 2 suivante :</w:t>
      </w:r>
    </w:p>
    <w:p w14:paraId="461EA826" w14:textId="7C17D22D" w:rsidR="005F0E87" w:rsidRPr="005F0E87" w:rsidRDefault="005F0E87" w:rsidP="005A0616">
      <w:pPr>
        <w:spacing w:after="240"/>
        <w:ind w:left="1134" w:right="1134"/>
        <w:jc w:val="both"/>
        <w:rPr>
          <w:rFonts w:eastAsiaTheme="minorHAnsi"/>
          <w:lang w:val="en-US" w:eastAsia="en-US"/>
        </w:rPr>
      </w:pPr>
      <w:r w:rsidRPr="005F0E87">
        <w:rPr>
          <w:rFonts w:eastAsiaTheme="minorHAnsi"/>
          <w:lang w:val="en-US" w:eastAsia="en-US"/>
        </w:rPr>
        <w:t>« </w:t>
      </w:r>
      <w:r w:rsidRPr="005F0E87">
        <w:rPr>
          <w:rFonts w:eastAsiaTheme="minorHAnsi"/>
          <w:b/>
          <w:bCs/>
          <w:vertAlign w:val="superscript"/>
          <w:lang w:val="en-US" w:eastAsia="en-US"/>
        </w:rPr>
        <w:t>2</w:t>
      </w:r>
      <w:r w:rsidRPr="005F0E87">
        <w:rPr>
          <w:rFonts w:eastAsiaTheme="minorHAnsi"/>
          <w:vertAlign w:val="superscript"/>
          <w:lang w:val="en-US" w:eastAsia="en-US"/>
        </w:rPr>
        <w:t>.</w:t>
      </w:r>
      <w:r w:rsidRPr="005F0E87">
        <w:rPr>
          <w:rFonts w:eastAsiaTheme="minorHAnsi"/>
          <w:lang w:val="en-US" w:eastAsia="en-US"/>
        </w:rPr>
        <w:t xml:space="preserve"> </w:t>
      </w:r>
      <w:r w:rsidR="005A0616">
        <w:rPr>
          <w:rFonts w:eastAsiaTheme="minorHAnsi"/>
          <w:lang w:val="en-US" w:eastAsia="en-US"/>
        </w:rPr>
        <w:tab/>
      </w:r>
      <w:proofErr w:type="spellStart"/>
      <w:r w:rsidRPr="005F0E87">
        <w:rPr>
          <w:rFonts w:eastAsiaTheme="minorHAnsi"/>
          <w:b/>
          <w:bCs/>
          <w:i/>
          <w:iCs/>
          <w:sz w:val="18"/>
          <w:szCs w:val="18"/>
          <w:lang w:val="en-US" w:eastAsia="en-US"/>
        </w:rPr>
        <w:t>Référence</w:t>
      </w:r>
      <w:proofErr w:type="spellEnd"/>
      <w:r w:rsidRPr="005F0E87">
        <w:rPr>
          <w:rFonts w:eastAsiaTheme="minorHAnsi"/>
          <w:i/>
          <w:iCs/>
          <w:sz w:val="18"/>
          <w:szCs w:val="18"/>
          <w:lang w:val="en-US" w:eastAsia="en-US"/>
        </w:rPr>
        <w:t xml:space="preserve"> : </w:t>
      </w:r>
      <w:proofErr w:type="spellStart"/>
      <w:r w:rsidRPr="005F0E87">
        <w:rPr>
          <w:rFonts w:eastAsiaTheme="minorHAnsi"/>
          <w:i/>
          <w:iCs/>
          <w:sz w:val="18"/>
          <w:szCs w:val="18"/>
          <w:lang w:val="en-US" w:eastAsia="en-US"/>
        </w:rPr>
        <w:t>Dürrstein</w:t>
      </w:r>
      <w:proofErr w:type="spellEnd"/>
      <w:r w:rsidRPr="005F0E87">
        <w:rPr>
          <w:rFonts w:eastAsiaTheme="minorHAnsi"/>
          <w:i/>
          <w:iCs/>
          <w:sz w:val="18"/>
          <w:szCs w:val="18"/>
          <w:lang w:val="en-US" w:eastAsia="en-US"/>
        </w:rPr>
        <w:t xml:space="preserve"> S., </w:t>
      </w:r>
      <w:proofErr w:type="spellStart"/>
      <w:r w:rsidRPr="005F0E87">
        <w:rPr>
          <w:rFonts w:eastAsiaTheme="minorHAnsi"/>
          <w:i/>
          <w:iCs/>
          <w:sz w:val="18"/>
          <w:szCs w:val="18"/>
          <w:lang w:val="en-US" w:eastAsia="en-US"/>
        </w:rPr>
        <w:t>Kappler</w:t>
      </w:r>
      <w:proofErr w:type="spellEnd"/>
      <w:r w:rsidRPr="005F0E87">
        <w:rPr>
          <w:rFonts w:eastAsiaTheme="minorHAnsi"/>
          <w:i/>
          <w:iCs/>
          <w:sz w:val="18"/>
          <w:szCs w:val="18"/>
          <w:lang w:val="en-US" w:eastAsia="en-US"/>
        </w:rPr>
        <w:t xml:space="preserve"> C., Neuhaus I., Malow M., Michael-Schulz H., </w:t>
      </w:r>
      <w:proofErr w:type="spellStart"/>
      <w:r w:rsidRPr="005F0E87">
        <w:rPr>
          <w:rFonts w:eastAsiaTheme="minorHAnsi"/>
          <w:i/>
          <w:iCs/>
          <w:sz w:val="18"/>
          <w:szCs w:val="18"/>
          <w:lang w:val="en-US" w:eastAsia="en-US"/>
        </w:rPr>
        <w:t>Gödde</w:t>
      </w:r>
      <w:proofErr w:type="spellEnd"/>
      <w:r w:rsidRPr="005F0E87">
        <w:rPr>
          <w:rFonts w:eastAsiaTheme="minorHAnsi"/>
          <w:i/>
          <w:iCs/>
          <w:sz w:val="18"/>
          <w:szCs w:val="18"/>
          <w:lang w:val="en-US" w:eastAsia="en-US"/>
        </w:rPr>
        <w:t xml:space="preserve"> M., 2016, Modell-based prediction of the adiabatic induction period and SADT of </w:t>
      </w:r>
      <w:proofErr w:type="spellStart"/>
      <w:r w:rsidRPr="005F0E87">
        <w:rPr>
          <w:rFonts w:eastAsiaTheme="minorHAnsi"/>
          <w:i/>
          <w:iCs/>
          <w:sz w:val="18"/>
          <w:szCs w:val="18"/>
          <w:lang w:val="en-US" w:eastAsia="en-US"/>
        </w:rPr>
        <w:t>dicumyl</w:t>
      </w:r>
      <w:proofErr w:type="spellEnd"/>
      <w:r w:rsidRPr="005F0E87">
        <w:rPr>
          <w:rFonts w:eastAsiaTheme="minorHAnsi"/>
          <w:i/>
          <w:iCs/>
          <w:sz w:val="18"/>
          <w:szCs w:val="18"/>
          <w:lang w:val="en-US" w:eastAsia="en-US"/>
        </w:rPr>
        <w:t xml:space="preserve"> peroxide solution and comparison to large-scale experiments performed using 216.5-liter barrels in the H.1 test, Chemical Engineering Transactions, 48, p.475-480.</w:t>
      </w:r>
      <w:r w:rsidRPr="005F0E87">
        <w:rPr>
          <w:rFonts w:eastAsiaTheme="minorHAnsi"/>
          <w:lang w:val="en-US" w:eastAsia="en-US"/>
        </w:rPr>
        <w:t> »</w:t>
      </w:r>
    </w:p>
    <w:bookmarkEnd w:id="8"/>
    <w:p w14:paraId="212599F1" w14:textId="77777777" w:rsidR="005F0E87" w:rsidRPr="005F0E87" w:rsidRDefault="005F0E87" w:rsidP="005A0616">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28.4.2.3.2</w:t>
      </w:r>
      <w:r w:rsidRPr="005F0E87">
        <w:rPr>
          <w:rFonts w:eastAsiaTheme="minorHAnsi"/>
          <w:lang w:val="fr-FR" w:eastAsia="en-US"/>
        </w:rPr>
        <w:tab/>
        <w:t>Modifier comme suit :</w:t>
      </w:r>
    </w:p>
    <w:p w14:paraId="3A8F67C0" w14:textId="77777777" w:rsidR="005F0E87" w:rsidRPr="005F0E87" w:rsidRDefault="005F0E87" w:rsidP="005A0616">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 28.4.2.3.2</w:t>
      </w:r>
      <w:r w:rsidRPr="005F0E87">
        <w:rPr>
          <w:rFonts w:eastAsiaTheme="minorHAnsi"/>
          <w:lang w:val="fr-FR" w:eastAsia="en-US"/>
        </w:rPr>
        <w:tab/>
        <w:t>Épreuve</w:t>
      </w:r>
    </w:p>
    <w:p w14:paraId="2A8C093E" w14:textId="77777777" w:rsidR="005F0E87" w:rsidRPr="005F0E87" w:rsidRDefault="005F0E87" w:rsidP="005A0616">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ab/>
        <w:t>Procéder comme suit :</w:t>
      </w:r>
    </w:p>
    <w:p w14:paraId="594B56DB" w14:textId="48968FB6" w:rsidR="005F0E87" w:rsidRPr="005F0E87" w:rsidRDefault="005F0E87" w:rsidP="00997532">
      <w:pPr>
        <w:tabs>
          <w:tab w:val="left" w:pos="2835"/>
        </w:tabs>
        <w:spacing w:after="120"/>
        <w:ind w:left="2835" w:right="1134" w:hanging="567"/>
        <w:jc w:val="both"/>
        <w:rPr>
          <w:rFonts w:eastAsiaTheme="minorHAnsi"/>
          <w:lang w:eastAsia="en-US"/>
        </w:rPr>
      </w:pPr>
      <w:r w:rsidRPr="005F0E87">
        <w:rPr>
          <w:rFonts w:eastAsiaTheme="minorHAnsi"/>
          <w:lang w:val="fr-FR" w:eastAsia="en-US"/>
        </w:rPr>
        <w:t>a)</w:t>
      </w:r>
      <w:r w:rsidRPr="005F0E87">
        <w:rPr>
          <w:rFonts w:eastAsiaTheme="minorHAnsi"/>
          <w:lang w:val="fr-FR" w:eastAsia="en-US"/>
        </w:rPr>
        <w:tab/>
        <w:t>Remplir le vase de Dewar ou la chambre d’épreuve avec l’échantillon pesé, ajouter une quantité représentative de matériau d’emballage (si nécessaire) et placer le vase dans le porte-vase de l’étuve ;</w:t>
      </w:r>
    </w:p>
    <w:p w14:paraId="3A4FE667" w14:textId="77777777" w:rsidR="005F0E87" w:rsidRPr="005F0E87" w:rsidRDefault="005F0E87" w:rsidP="00997532">
      <w:pPr>
        <w:tabs>
          <w:tab w:val="left" w:pos="2835"/>
        </w:tabs>
        <w:spacing w:after="120"/>
        <w:ind w:left="2835" w:right="1134" w:hanging="567"/>
        <w:jc w:val="both"/>
        <w:rPr>
          <w:rFonts w:eastAsiaTheme="minorHAnsi"/>
          <w:lang w:eastAsia="en-US"/>
        </w:rPr>
      </w:pPr>
      <w:r w:rsidRPr="005F0E87">
        <w:rPr>
          <w:rFonts w:eastAsiaTheme="minorHAnsi"/>
          <w:lang w:val="fr-FR" w:eastAsia="en-US"/>
        </w:rPr>
        <w:t>b)</w:t>
      </w:r>
      <w:r w:rsidRPr="005F0E87">
        <w:rPr>
          <w:rFonts w:eastAsiaTheme="minorHAnsi"/>
          <w:lang w:val="fr-FR" w:eastAsia="en-US"/>
        </w:rPr>
        <w:tab/>
        <w:t>Mettre en marche la mesure de la température et ensuite porter la température de l’échantillon à une température préétablie à laquelle il peut y avoir un auto-échauffement détectable. L’élévation de la température, la durée de chauffage et la puissance de chauffage ou toute méthode d’épreuve calorimétrique effectuée au préalable, permettent de calculer la chaleur spécifique de la matière ;</w:t>
      </w:r>
    </w:p>
    <w:p w14:paraId="2646C4E7" w14:textId="77777777" w:rsidR="005F0E87" w:rsidRPr="005F0E87" w:rsidRDefault="005F0E87" w:rsidP="00997532">
      <w:pPr>
        <w:tabs>
          <w:tab w:val="left" w:pos="2835"/>
        </w:tabs>
        <w:spacing w:after="120"/>
        <w:ind w:left="2835" w:right="1134" w:hanging="567"/>
        <w:jc w:val="both"/>
        <w:rPr>
          <w:rFonts w:eastAsiaTheme="minorHAnsi"/>
          <w:lang w:eastAsia="en-US"/>
        </w:rPr>
      </w:pPr>
      <w:r w:rsidRPr="005F0E87">
        <w:rPr>
          <w:rFonts w:eastAsiaTheme="minorHAnsi"/>
          <w:lang w:val="fr-FR" w:eastAsia="en-US"/>
        </w:rPr>
        <w:t>c)</w:t>
      </w:r>
      <w:r w:rsidRPr="005F0E87">
        <w:rPr>
          <w:rFonts w:eastAsiaTheme="minorHAnsi"/>
          <w:lang w:val="fr-FR" w:eastAsia="en-US"/>
        </w:rPr>
        <w:tab/>
        <w:t>Chauffer l’échantillon à la température voulue, maintenir la température de l’étuve et mesurer la température de l’échantillon. Si aucune augmentation de température par échauffement spontané n’est constatée après que le système a atteint sa température d’équilibre (c’est-à-dire 24 heures pour l’installation en circuit ouvert), augmenter la température de l’étuve de 5 °C. Répéter ces opérations jusqu’à ce qu’un auto-échauffement soit détecté ;</w:t>
      </w:r>
    </w:p>
    <w:p w14:paraId="03FC9056" w14:textId="16C56B19" w:rsidR="005F0E87" w:rsidRPr="005F0E87" w:rsidRDefault="00997532" w:rsidP="00997532">
      <w:pPr>
        <w:tabs>
          <w:tab w:val="left" w:pos="2835"/>
        </w:tabs>
        <w:spacing w:after="120"/>
        <w:ind w:left="2835" w:right="1134" w:hanging="567"/>
        <w:jc w:val="both"/>
        <w:rPr>
          <w:rFonts w:eastAsiaTheme="minorHAnsi"/>
          <w:lang w:eastAsia="en-US"/>
        </w:rPr>
      </w:pPr>
      <w:r>
        <w:rPr>
          <w:rFonts w:eastAsiaTheme="minorHAnsi"/>
          <w:lang w:val="fr-FR" w:eastAsia="en-US"/>
        </w:rPr>
        <w:tab/>
      </w:r>
      <w:r w:rsidR="005F0E87" w:rsidRPr="005F0E87">
        <w:rPr>
          <w:rFonts w:eastAsiaTheme="minorHAnsi"/>
          <w:lang w:val="fr-FR" w:eastAsia="en-US"/>
        </w:rPr>
        <w:t>Pour l’épreuve en circuit fermé, l’appareillage peut être chauffé à &lt; 0,5 W/kg jusqu’à ce qu’un auto-échauffement soit détecté. La puissance thermique par unité de masse doit rester en dessous du niveau de sensibilité pour la détection de l’auto-échauffement de l’appareillage d’épreuve ou de l’autoclave ;</w:t>
      </w:r>
    </w:p>
    <w:p w14:paraId="0B39F27C" w14:textId="77777777" w:rsidR="005F0E87" w:rsidRPr="005F0E87" w:rsidRDefault="005F0E87" w:rsidP="00997532">
      <w:pPr>
        <w:tabs>
          <w:tab w:val="left" w:pos="2835"/>
        </w:tabs>
        <w:spacing w:after="120"/>
        <w:ind w:left="2835" w:right="1134" w:hanging="567"/>
        <w:jc w:val="both"/>
        <w:rPr>
          <w:rFonts w:eastAsiaTheme="minorHAnsi"/>
          <w:lang w:eastAsia="en-US"/>
        </w:rPr>
      </w:pPr>
      <w:r w:rsidRPr="005F0E87">
        <w:rPr>
          <w:rFonts w:eastAsiaTheme="minorHAnsi"/>
          <w:lang w:val="fr-FR" w:eastAsia="en-US"/>
        </w:rPr>
        <w:t>d)</w:t>
      </w:r>
      <w:r w:rsidRPr="005F0E87">
        <w:rPr>
          <w:rFonts w:eastAsiaTheme="minorHAnsi"/>
          <w:lang w:val="fr-FR" w:eastAsia="en-US"/>
        </w:rPr>
        <w:tab/>
        <w:t>Dès qu’un auto-échauffement est détecté, laisser l’échantillon s’échauffer dans des conditions adiabatiques jusqu’à une température préétablie, à laquelle le système de refroidissement est activé ou la température de l’étuve a atteint sa limite ;</w:t>
      </w:r>
    </w:p>
    <w:p w14:paraId="49183E36" w14:textId="7A1F4756" w:rsidR="005F0E87" w:rsidRPr="005F0E87" w:rsidRDefault="00997532" w:rsidP="00997532">
      <w:pPr>
        <w:tabs>
          <w:tab w:val="left" w:pos="2835"/>
        </w:tabs>
        <w:spacing w:after="120"/>
        <w:ind w:left="2835" w:right="1134" w:hanging="567"/>
        <w:jc w:val="both"/>
        <w:rPr>
          <w:rFonts w:eastAsiaTheme="minorHAnsi"/>
          <w:lang w:eastAsia="en-US"/>
        </w:rPr>
      </w:pPr>
      <w:r>
        <w:rPr>
          <w:rFonts w:eastAsiaTheme="minorHAnsi"/>
          <w:lang w:val="fr-FR" w:eastAsia="en-US"/>
        </w:rPr>
        <w:tab/>
      </w:r>
      <w:r w:rsidR="005F0E87" w:rsidRPr="005F0E87">
        <w:rPr>
          <w:rFonts w:eastAsiaTheme="minorHAnsi"/>
          <w:lang w:val="fr-FR" w:eastAsia="en-US"/>
        </w:rPr>
        <w:t xml:space="preserve">Pour l’épreuve en circuit ouvert, cette température doit être réglée </w:t>
      </w:r>
      <w:r w:rsidRPr="005F0E87">
        <w:rPr>
          <w:rFonts w:eastAsiaTheme="minorHAnsi"/>
          <w:lang w:val="fr-FR" w:eastAsia="en-US"/>
        </w:rPr>
        <w:t>de manière</w:t>
      </w:r>
      <w:r w:rsidR="005F0E87" w:rsidRPr="005F0E87">
        <w:rPr>
          <w:rFonts w:eastAsiaTheme="minorHAnsi"/>
          <w:lang w:val="fr-FR" w:eastAsia="en-US"/>
        </w:rPr>
        <w:t xml:space="preserve"> que le taux de production de chaleur ne dépasse pas la capacité de refroidissement du système ;</w:t>
      </w:r>
    </w:p>
    <w:p w14:paraId="42177C2D" w14:textId="56CE2F35" w:rsidR="005F0E87" w:rsidRPr="005F0E87" w:rsidRDefault="00997532" w:rsidP="00997532">
      <w:pPr>
        <w:tabs>
          <w:tab w:val="left" w:pos="2835"/>
        </w:tabs>
        <w:spacing w:after="120"/>
        <w:ind w:left="2835" w:right="1134" w:hanging="567"/>
        <w:jc w:val="both"/>
        <w:rPr>
          <w:rFonts w:eastAsiaTheme="minorHAnsi"/>
          <w:lang w:eastAsia="en-US"/>
        </w:rPr>
      </w:pPr>
      <w:r>
        <w:rPr>
          <w:rFonts w:eastAsiaTheme="minorHAnsi"/>
          <w:lang w:val="fr-FR" w:eastAsia="en-US"/>
        </w:rPr>
        <w:tab/>
      </w:r>
      <w:r w:rsidR="005F0E87" w:rsidRPr="005F0E87">
        <w:rPr>
          <w:rFonts w:eastAsiaTheme="minorHAnsi"/>
          <w:lang w:val="fr-FR" w:eastAsia="en-US"/>
        </w:rPr>
        <w:t>Pour l’épreuve en circuit fermé, cette température est généralement une température maximale de l’étuve préétablie. L’échantillon peut dépasser cette température dans des conditions non adiabatiques. »</w:t>
      </w:r>
    </w:p>
    <w:p w14:paraId="1A03AD08" w14:textId="77777777" w:rsidR="005F0E87" w:rsidRPr="005F0E87" w:rsidRDefault="005F0E87" w:rsidP="00C82A88">
      <w:pPr>
        <w:tabs>
          <w:tab w:val="left" w:pos="2268"/>
        </w:tabs>
        <w:spacing w:after="120"/>
        <w:ind w:left="2268" w:right="1134" w:hanging="1134"/>
        <w:jc w:val="both"/>
        <w:rPr>
          <w:rFonts w:eastAsiaTheme="minorHAnsi"/>
          <w:lang w:val="fr-FR" w:eastAsia="en-US"/>
        </w:rPr>
      </w:pPr>
      <w:r w:rsidRPr="005F0E87">
        <w:rPr>
          <w:rFonts w:eastAsiaTheme="minorHAnsi"/>
          <w:lang w:val="fr-FR" w:eastAsia="en-US"/>
        </w:rPr>
        <w:t>28.4.2.4.1</w:t>
      </w:r>
      <w:r w:rsidRPr="005F0E87">
        <w:rPr>
          <w:rFonts w:eastAsiaTheme="minorHAnsi"/>
          <w:lang w:val="fr-FR" w:eastAsia="en-US"/>
        </w:rPr>
        <w:tab/>
        <w:t>Remplacer « °C/h » par « K/h ».</w:t>
      </w:r>
    </w:p>
    <w:p w14:paraId="372CB5A9" w14:textId="263BC302" w:rsidR="005F0E87" w:rsidRPr="005F0E87" w:rsidRDefault="005F0E87" w:rsidP="00715636">
      <w:pPr>
        <w:tabs>
          <w:tab w:val="left" w:pos="2268"/>
        </w:tabs>
        <w:spacing w:after="120"/>
        <w:ind w:left="2268" w:right="1134" w:hanging="1134"/>
        <w:jc w:val="both"/>
        <w:rPr>
          <w:rFonts w:eastAsiaTheme="minorHAnsi"/>
          <w:lang w:val="fr-FR" w:eastAsia="en-US"/>
        </w:rPr>
      </w:pPr>
      <w:r w:rsidRPr="005F0E87">
        <w:rPr>
          <w:rFonts w:eastAsiaTheme="minorHAnsi"/>
          <w:lang w:val="fr-FR" w:eastAsia="en-US"/>
        </w:rPr>
        <w:t>28.4.2.4.2</w:t>
      </w:r>
      <w:r w:rsidRPr="005F0E87">
        <w:rPr>
          <w:rFonts w:eastAsiaTheme="minorHAnsi"/>
          <w:lang w:val="fr-FR" w:eastAsia="en-US"/>
        </w:rPr>
        <w:tab/>
      </w:r>
      <w:r w:rsidR="00715636">
        <w:rPr>
          <w:rFonts w:eastAsiaTheme="minorHAnsi"/>
          <w:lang w:val="fr-FR" w:eastAsia="en-US"/>
        </w:rPr>
        <w:t>Dans la première phrase</w:t>
      </w:r>
      <w:r w:rsidRPr="005F0E87">
        <w:rPr>
          <w:rFonts w:eastAsiaTheme="minorHAnsi"/>
          <w:lang w:val="fr-FR" w:eastAsia="en-US"/>
        </w:rPr>
        <w:t>, remplacer « </w:t>
      </w:r>
      <w:r w:rsidRPr="005F0E87">
        <w:rPr>
          <w:lang w:eastAsia="fr-FR"/>
        </w:rPr>
        <w:t>J/°C » par « J/K ».</w:t>
      </w:r>
      <w:r w:rsidR="00715636" w:rsidRPr="00715636">
        <w:rPr>
          <w:rFonts w:eastAsiaTheme="minorHAnsi"/>
          <w:lang w:eastAsia="en-US"/>
        </w:rPr>
        <w:t xml:space="preserve"> </w:t>
      </w:r>
      <w:r w:rsidR="00715636" w:rsidRPr="005F0E87">
        <w:rPr>
          <w:rFonts w:eastAsiaTheme="minorHAnsi"/>
          <w:lang w:eastAsia="en-US"/>
        </w:rPr>
        <w:t>Remplacer l’unité d’« A » et « B » par « K/h » et celle de Cp</w:t>
      </w:r>
      <w:r w:rsidR="00715636" w:rsidRPr="005F0E87">
        <w:rPr>
          <w:rFonts w:eastAsiaTheme="minorHAnsi"/>
          <w:vertAlign w:val="subscript"/>
          <w:lang w:eastAsia="en-US"/>
        </w:rPr>
        <w:t>1</w:t>
      </w:r>
      <w:r w:rsidR="00715636" w:rsidRPr="005F0E87">
        <w:rPr>
          <w:rFonts w:eastAsiaTheme="minorHAnsi"/>
          <w:lang w:eastAsia="en-US"/>
        </w:rPr>
        <w:t xml:space="preserve"> par « J/K.kg ».</w:t>
      </w:r>
      <w:r w:rsidR="00715636">
        <w:rPr>
          <w:rFonts w:eastAsiaTheme="minorHAnsi"/>
          <w:lang w:eastAsia="en-US"/>
        </w:rPr>
        <w:t xml:space="preserve"> </w:t>
      </w:r>
      <w:r w:rsidRPr="005F0E87">
        <w:rPr>
          <w:rFonts w:eastAsiaTheme="minorHAnsi"/>
          <w:lang w:val="fr-FR" w:eastAsia="en-US"/>
        </w:rPr>
        <w:t>Pour B, M</w:t>
      </w:r>
      <w:r w:rsidRPr="005F0E87">
        <w:rPr>
          <w:rFonts w:eastAsiaTheme="minorHAnsi"/>
          <w:vertAlign w:val="subscript"/>
          <w:lang w:val="fr-FR" w:eastAsia="en-US"/>
        </w:rPr>
        <w:t>1</w:t>
      </w:r>
      <w:r w:rsidRPr="005F0E87">
        <w:rPr>
          <w:rFonts w:eastAsiaTheme="minorHAnsi"/>
          <w:lang w:val="fr-FR" w:eastAsia="en-US"/>
        </w:rPr>
        <w:t xml:space="preserve"> et Cp</w:t>
      </w:r>
      <w:r w:rsidRPr="005F0E87">
        <w:rPr>
          <w:rFonts w:eastAsiaTheme="minorHAnsi"/>
          <w:vertAlign w:val="subscript"/>
          <w:lang w:val="fr-FR" w:eastAsia="en-US"/>
        </w:rPr>
        <w:t>1</w:t>
      </w:r>
      <w:r w:rsidRPr="005F0E87">
        <w:rPr>
          <w:rFonts w:eastAsiaTheme="minorHAnsi"/>
          <w:lang w:val="fr-FR" w:eastAsia="en-US"/>
        </w:rPr>
        <w:t>, remplacer « d’étalonnage » par « de validation ».</w:t>
      </w:r>
    </w:p>
    <w:p w14:paraId="007FEF6E" w14:textId="7D7F9BCD" w:rsidR="005F0E87" w:rsidRPr="005F0E87" w:rsidRDefault="005F0E87" w:rsidP="00C82A88">
      <w:pPr>
        <w:tabs>
          <w:tab w:val="left" w:pos="2268"/>
        </w:tabs>
        <w:spacing w:after="120"/>
        <w:ind w:left="2268" w:right="1134" w:hanging="1134"/>
        <w:jc w:val="both"/>
        <w:rPr>
          <w:rFonts w:eastAsiaTheme="minorHAnsi"/>
          <w:lang w:val="fr-FR" w:eastAsia="en-US"/>
        </w:rPr>
      </w:pPr>
      <w:r w:rsidRPr="005F0E87">
        <w:rPr>
          <w:rFonts w:eastAsiaTheme="minorHAnsi"/>
          <w:lang w:val="fr-FR" w:eastAsia="en-US"/>
        </w:rPr>
        <w:t>28.4.2.4.4</w:t>
      </w:r>
      <w:r w:rsidRPr="005F0E87">
        <w:rPr>
          <w:rFonts w:eastAsiaTheme="minorHAnsi"/>
          <w:lang w:val="fr-FR" w:eastAsia="en-US"/>
        </w:rPr>
        <w:tab/>
        <w:t>Remplacer l’unité de Cp</w:t>
      </w:r>
      <w:r w:rsidRPr="005F0E87">
        <w:rPr>
          <w:rFonts w:eastAsiaTheme="minorHAnsi"/>
          <w:vertAlign w:val="subscript"/>
          <w:lang w:val="fr-FR" w:eastAsia="en-US"/>
        </w:rPr>
        <w:t>2</w:t>
      </w:r>
      <w:r w:rsidRPr="005F0E87">
        <w:rPr>
          <w:rFonts w:eastAsiaTheme="minorHAnsi"/>
          <w:lang w:val="fr-FR" w:eastAsia="en-US"/>
        </w:rPr>
        <w:t xml:space="preserve"> </w:t>
      </w:r>
      <w:r w:rsidR="00657FF0">
        <w:rPr>
          <w:rFonts w:eastAsiaTheme="minorHAnsi"/>
          <w:lang w:val="fr-FR" w:eastAsia="en-US"/>
        </w:rPr>
        <w:t xml:space="preserve">par </w:t>
      </w:r>
      <w:r w:rsidRPr="005F0E87">
        <w:rPr>
          <w:rFonts w:eastAsiaTheme="minorHAnsi"/>
          <w:lang w:val="fr-FR" w:eastAsia="en-US"/>
        </w:rPr>
        <w:t>« J/K.kg » et celle de « C » par « K/h ».</w:t>
      </w:r>
    </w:p>
    <w:p w14:paraId="47110C67" w14:textId="77777777" w:rsidR="005F0E87" w:rsidRPr="005F0E87" w:rsidRDefault="005F0E87" w:rsidP="00C82A88">
      <w:pPr>
        <w:tabs>
          <w:tab w:val="left" w:pos="2268"/>
        </w:tabs>
        <w:spacing w:after="120"/>
        <w:ind w:left="2268" w:right="1134" w:hanging="1134"/>
        <w:jc w:val="both"/>
        <w:rPr>
          <w:rFonts w:eastAsiaTheme="minorHAnsi"/>
          <w:lang w:val="fr-FR" w:eastAsia="en-US"/>
        </w:rPr>
      </w:pPr>
      <w:r w:rsidRPr="005F0E87">
        <w:rPr>
          <w:rFonts w:eastAsiaTheme="minorHAnsi"/>
          <w:lang w:val="fr-FR" w:eastAsia="en-US"/>
        </w:rPr>
        <w:t>28.4.2.4.5</w:t>
      </w:r>
      <w:r w:rsidRPr="005F0E87">
        <w:rPr>
          <w:rFonts w:eastAsiaTheme="minorHAnsi"/>
          <w:lang w:val="fr-FR" w:eastAsia="en-US"/>
        </w:rPr>
        <w:tab/>
        <w:t>Remplacer l’unité de « D » par « K/h ».</w:t>
      </w:r>
    </w:p>
    <w:p w14:paraId="7D2135BB" w14:textId="3F45C985" w:rsidR="005F0E87" w:rsidRPr="005F0E87" w:rsidRDefault="005F0E87" w:rsidP="00582AF4">
      <w:pPr>
        <w:tabs>
          <w:tab w:val="left" w:pos="2268"/>
        </w:tabs>
        <w:spacing w:after="120"/>
        <w:ind w:left="2268" w:right="1134" w:hanging="1134"/>
        <w:jc w:val="both"/>
        <w:rPr>
          <w:rFonts w:eastAsiaTheme="minorHAnsi"/>
          <w:lang w:eastAsia="en-US"/>
        </w:rPr>
      </w:pPr>
      <w:r w:rsidRPr="005F0E87">
        <w:rPr>
          <w:rFonts w:eastAsiaTheme="minorHAnsi"/>
          <w:lang w:val="fr-FR" w:eastAsia="en-US"/>
        </w:rPr>
        <w:t>28.4.2.4.6</w:t>
      </w:r>
      <w:r w:rsidRPr="005F0E87">
        <w:rPr>
          <w:rFonts w:eastAsiaTheme="minorHAnsi"/>
          <w:lang w:val="fr-FR" w:eastAsia="en-US"/>
        </w:rPr>
        <w:tab/>
        <w:t>Dans la première phrase, ajouter « (Q</w:t>
      </w:r>
      <w:r w:rsidRPr="005F0E87">
        <w:rPr>
          <w:rFonts w:eastAsiaTheme="minorHAnsi"/>
          <w:vertAlign w:val="subscript"/>
          <w:lang w:val="fr-FR" w:eastAsia="en-US"/>
        </w:rPr>
        <w:t>T</w:t>
      </w:r>
      <w:r w:rsidRPr="005F0E87">
        <w:rPr>
          <w:rFonts w:eastAsiaTheme="minorHAnsi"/>
          <w:lang w:val="fr-FR" w:eastAsia="en-US"/>
        </w:rPr>
        <w:t xml:space="preserve">) » après « par unité de masse ». </w:t>
      </w:r>
      <w:r w:rsidRPr="005F0E87">
        <w:rPr>
          <w:rFonts w:eastAsiaTheme="minorHAnsi"/>
          <w:lang w:val="fr-FR" w:eastAsia="en-US"/>
        </w:rPr>
        <w:tab/>
        <w:t>Dans la deuxième phrase, remplacer l’unité de « L » par « W/K.kg ».</w:t>
      </w:r>
    </w:p>
    <w:p w14:paraId="7E173F0A" w14:textId="77777777" w:rsidR="005F0E87" w:rsidRPr="005F0E87" w:rsidRDefault="005F0E87" w:rsidP="00C82A88">
      <w:pPr>
        <w:tabs>
          <w:tab w:val="left" w:pos="2268"/>
        </w:tabs>
        <w:spacing w:after="120"/>
        <w:ind w:left="2268" w:right="1134" w:hanging="1134"/>
        <w:jc w:val="both"/>
        <w:rPr>
          <w:rFonts w:eastAsiaTheme="minorHAnsi"/>
          <w:lang w:val="fr-FR" w:eastAsia="en-US"/>
        </w:rPr>
      </w:pPr>
      <w:r w:rsidRPr="005F0E87">
        <w:rPr>
          <w:rFonts w:eastAsiaTheme="minorHAnsi"/>
          <w:lang w:val="fr-FR" w:eastAsia="en-US"/>
        </w:rPr>
        <w:t>28.4.2.5</w:t>
      </w:r>
      <w:r w:rsidRPr="005F0E87">
        <w:rPr>
          <w:rFonts w:eastAsiaTheme="minorHAnsi"/>
          <w:lang w:val="fr-FR" w:eastAsia="en-US"/>
        </w:rPr>
        <w:tab/>
        <w:t>Dans la ligne de titre du tableau, pour la quatrième colonne, remplacer « mW/</w:t>
      </w:r>
      <w:proofErr w:type="spellStart"/>
      <w:r w:rsidRPr="005F0E87">
        <w:rPr>
          <w:rFonts w:eastAsiaTheme="minorHAnsi"/>
          <w:lang w:val="fr-FR" w:eastAsia="en-US"/>
        </w:rPr>
        <w:t>kg.K</w:t>
      </w:r>
      <w:proofErr w:type="spellEnd"/>
      <w:r w:rsidRPr="005F0E87">
        <w:rPr>
          <w:rFonts w:eastAsiaTheme="minorHAnsi"/>
          <w:lang w:val="fr-FR" w:eastAsia="en-US"/>
        </w:rPr>
        <w:t> » par « </w:t>
      </w:r>
      <w:r w:rsidRPr="005F0E87">
        <w:rPr>
          <w:rFonts w:eastAsia="SimSun"/>
          <w:lang w:eastAsia="fr-FR"/>
        </w:rPr>
        <w:t>mW/K.kg ».</w:t>
      </w:r>
    </w:p>
    <w:p w14:paraId="5CDA696D" w14:textId="77777777" w:rsidR="005F0E87" w:rsidRPr="005F0E87" w:rsidRDefault="005F0E87" w:rsidP="00C82A88">
      <w:pPr>
        <w:tabs>
          <w:tab w:val="left" w:pos="2268"/>
        </w:tabs>
        <w:spacing w:after="120"/>
        <w:ind w:left="2268" w:right="1134" w:hanging="1134"/>
        <w:jc w:val="both"/>
        <w:rPr>
          <w:rFonts w:eastAsiaTheme="minorHAnsi"/>
          <w:lang w:eastAsia="en-US"/>
        </w:rPr>
      </w:pPr>
      <w:r w:rsidRPr="005F0E87">
        <w:rPr>
          <w:rFonts w:eastAsiaTheme="minorHAnsi"/>
          <w:lang w:val="fr-FR" w:eastAsia="en-US"/>
        </w:rPr>
        <w:lastRenderedPageBreak/>
        <w:tab/>
      </w:r>
      <w:r w:rsidRPr="005F0E87">
        <w:rPr>
          <w:rFonts w:eastAsiaTheme="minorHAnsi"/>
          <w:lang w:val="fr-FR" w:eastAsia="en-US"/>
        </w:rPr>
        <w:tab/>
        <w:t>Insérer un renvoi à une note « a » à côté du nom des matières actuellement énumérées dans le tableau et ajouter une nouvelle ligne à la fin comme suit :</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2031"/>
        <w:gridCol w:w="1335"/>
        <w:gridCol w:w="1335"/>
        <w:gridCol w:w="1335"/>
        <w:gridCol w:w="1334"/>
      </w:tblGrid>
      <w:tr w:rsidR="005F0E87" w:rsidRPr="005F0E87" w14:paraId="262ADFB8" w14:textId="77777777" w:rsidTr="00BD3338">
        <w:trPr>
          <w:cantSplit/>
          <w:tblHeader/>
        </w:trPr>
        <w:tc>
          <w:tcPr>
            <w:tcW w:w="1377" w:type="pct"/>
            <w:shd w:val="clear" w:color="auto" w:fill="auto"/>
            <w:vAlign w:val="bottom"/>
          </w:tcPr>
          <w:p w14:paraId="420B721C" w14:textId="77777777" w:rsidR="005F0E87" w:rsidRPr="005F0E87" w:rsidRDefault="005F0E87" w:rsidP="005F0E87">
            <w:pPr>
              <w:suppressAutoHyphens w:val="0"/>
              <w:spacing w:before="80" w:after="80" w:line="200" w:lineRule="exact"/>
              <w:rPr>
                <w:rFonts w:eastAsiaTheme="minorHAnsi"/>
                <w:b/>
                <w:i/>
                <w:sz w:val="16"/>
                <w:lang w:val="en-GB" w:eastAsia="en-US"/>
              </w:rPr>
            </w:pPr>
            <w:r w:rsidRPr="005F0E87">
              <w:rPr>
                <w:rFonts w:eastAsiaTheme="minorHAnsi"/>
                <w:b/>
                <w:i/>
                <w:sz w:val="16"/>
                <w:lang w:val="fr-FR" w:eastAsia="en-US"/>
              </w:rPr>
              <w:t>Matière</w:t>
            </w:r>
          </w:p>
        </w:tc>
        <w:tc>
          <w:tcPr>
            <w:tcW w:w="906" w:type="pct"/>
            <w:shd w:val="clear" w:color="auto" w:fill="auto"/>
            <w:vAlign w:val="bottom"/>
          </w:tcPr>
          <w:p w14:paraId="4C256B25"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 xml:space="preserve">Masse </w:t>
            </w:r>
            <w:r w:rsidRPr="005F0E87">
              <w:rPr>
                <w:rFonts w:eastAsiaTheme="minorHAnsi"/>
                <w:b/>
                <w:i/>
                <w:sz w:val="16"/>
                <w:lang w:val="fr-FR" w:eastAsia="en-US"/>
              </w:rPr>
              <w:br/>
              <w:t>(kg)</w:t>
            </w:r>
          </w:p>
        </w:tc>
        <w:tc>
          <w:tcPr>
            <w:tcW w:w="906" w:type="pct"/>
            <w:shd w:val="clear" w:color="auto" w:fill="auto"/>
            <w:vAlign w:val="bottom"/>
          </w:tcPr>
          <w:p w14:paraId="528C5583"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Conditionnement</w:t>
            </w:r>
          </w:p>
        </w:tc>
        <w:tc>
          <w:tcPr>
            <w:tcW w:w="906" w:type="pct"/>
            <w:shd w:val="clear" w:color="auto" w:fill="auto"/>
            <w:vAlign w:val="bottom"/>
          </w:tcPr>
          <w:p w14:paraId="6CB97215" w14:textId="77777777" w:rsidR="005F0E87" w:rsidRPr="005F0E87" w:rsidRDefault="005F0E87" w:rsidP="005F0E87">
            <w:pPr>
              <w:suppressAutoHyphens w:val="0"/>
              <w:spacing w:before="80" w:after="80" w:line="200" w:lineRule="exact"/>
              <w:jc w:val="right"/>
              <w:rPr>
                <w:rFonts w:eastAsiaTheme="minorHAnsi"/>
                <w:b/>
                <w:i/>
                <w:sz w:val="16"/>
                <w:lang w:eastAsia="en-US"/>
              </w:rPr>
            </w:pPr>
            <w:r w:rsidRPr="005F0E87">
              <w:rPr>
                <w:rFonts w:eastAsiaTheme="minorHAnsi"/>
                <w:b/>
                <w:i/>
                <w:sz w:val="16"/>
                <w:lang w:val="fr-FR" w:eastAsia="en-US"/>
              </w:rPr>
              <w:t>Pertes de chaleur</w:t>
            </w:r>
            <w:r w:rsidRPr="005F0E87">
              <w:rPr>
                <w:rFonts w:eastAsiaTheme="minorHAnsi"/>
                <w:b/>
                <w:i/>
                <w:sz w:val="16"/>
                <w:lang w:val="fr-FR" w:eastAsia="en-US"/>
              </w:rPr>
              <w:br/>
              <w:t xml:space="preserve"> par unité de masse </w:t>
            </w:r>
            <w:r w:rsidRPr="005F0E87">
              <w:rPr>
                <w:rFonts w:eastAsiaTheme="minorHAnsi"/>
                <w:b/>
                <w:i/>
                <w:sz w:val="16"/>
                <w:lang w:val="fr-FR" w:eastAsia="en-US"/>
              </w:rPr>
              <w:br/>
              <w:t>(mW/K.kg)</w:t>
            </w:r>
          </w:p>
        </w:tc>
        <w:tc>
          <w:tcPr>
            <w:tcW w:w="906" w:type="pct"/>
            <w:shd w:val="clear" w:color="auto" w:fill="auto"/>
            <w:vAlign w:val="bottom"/>
          </w:tcPr>
          <w:p w14:paraId="215A7443"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 xml:space="preserve">TDAA/TPAA </w:t>
            </w:r>
            <w:r w:rsidRPr="005F0E87">
              <w:rPr>
                <w:rFonts w:eastAsiaTheme="minorHAnsi"/>
                <w:b/>
                <w:i/>
                <w:sz w:val="16"/>
                <w:lang w:val="fr-FR" w:eastAsia="en-US"/>
              </w:rPr>
              <w:br/>
              <w:t>(°C)</w:t>
            </w:r>
          </w:p>
        </w:tc>
      </w:tr>
      <w:tr w:rsidR="005F0E87" w:rsidRPr="005F0E87" w14:paraId="24CCE155" w14:textId="77777777" w:rsidTr="00BD3338">
        <w:trPr>
          <w:cantSplit/>
        </w:trPr>
        <w:tc>
          <w:tcPr>
            <w:tcW w:w="1377" w:type="pct"/>
            <w:shd w:val="clear" w:color="auto" w:fill="auto"/>
          </w:tcPr>
          <w:p w14:paraId="55D56438" w14:textId="77777777" w:rsidR="005F0E87" w:rsidRPr="005F0E87" w:rsidRDefault="005F0E87" w:rsidP="005F0E87">
            <w:pPr>
              <w:suppressAutoHyphens w:val="0"/>
              <w:spacing w:before="40" w:after="40" w:line="220" w:lineRule="exact"/>
              <w:rPr>
                <w:rFonts w:eastAsiaTheme="minorHAnsi"/>
                <w:sz w:val="18"/>
                <w:lang w:val="en-GB" w:eastAsia="en-US"/>
              </w:rPr>
            </w:pPr>
            <w:r w:rsidRPr="005F0E87">
              <w:rPr>
                <w:rFonts w:eastAsiaTheme="minorHAnsi"/>
                <w:sz w:val="18"/>
                <w:lang w:val="fr-FR" w:eastAsia="en-US"/>
              </w:rPr>
              <w:t>N-</w:t>
            </w:r>
            <w:proofErr w:type="spellStart"/>
            <w:r w:rsidRPr="005F0E87">
              <w:rPr>
                <w:rFonts w:eastAsiaTheme="minorHAnsi"/>
                <w:sz w:val="18"/>
                <w:lang w:val="fr-FR" w:eastAsia="en-US"/>
              </w:rPr>
              <w:t>Vinylformamide</w:t>
            </w:r>
            <w:proofErr w:type="spellEnd"/>
          </w:p>
        </w:tc>
        <w:tc>
          <w:tcPr>
            <w:tcW w:w="906" w:type="pct"/>
            <w:shd w:val="clear" w:color="auto" w:fill="auto"/>
            <w:vAlign w:val="bottom"/>
          </w:tcPr>
          <w:p w14:paraId="76729208"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1000</w:t>
            </w:r>
          </w:p>
        </w:tc>
        <w:tc>
          <w:tcPr>
            <w:tcW w:w="906" w:type="pct"/>
            <w:shd w:val="clear" w:color="auto" w:fill="auto"/>
            <w:vAlign w:val="bottom"/>
          </w:tcPr>
          <w:p w14:paraId="24592702"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31H1</w:t>
            </w:r>
          </w:p>
        </w:tc>
        <w:tc>
          <w:tcPr>
            <w:tcW w:w="906" w:type="pct"/>
            <w:shd w:val="clear" w:color="auto" w:fill="auto"/>
            <w:vAlign w:val="bottom"/>
          </w:tcPr>
          <w:p w14:paraId="0B3A3300"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33</w:t>
            </w:r>
          </w:p>
        </w:tc>
        <w:tc>
          <w:tcPr>
            <w:tcW w:w="906" w:type="pct"/>
            <w:shd w:val="clear" w:color="auto" w:fill="auto"/>
            <w:vAlign w:val="bottom"/>
          </w:tcPr>
          <w:p w14:paraId="52C32E1D"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55</w:t>
            </w:r>
          </w:p>
        </w:tc>
      </w:tr>
    </w:tbl>
    <w:p w14:paraId="62ED48B4" w14:textId="77777777" w:rsidR="005F0E87" w:rsidRPr="005F0E87" w:rsidRDefault="005F0E87" w:rsidP="00C82A88">
      <w:pPr>
        <w:keepNext/>
        <w:keepLines/>
        <w:tabs>
          <w:tab w:val="left" w:pos="2268"/>
        </w:tabs>
        <w:spacing w:before="240" w:after="120"/>
        <w:ind w:left="1134" w:right="1134"/>
        <w:jc w:val="both"/>
        <w:rPr>
          <w:rFonts w:eastAsiaTheme="minorHAnsi"/>
          <w:lang w:eastAsia="en-US"/>
        </w:rPr>
      </w:pPr>
      <w:r w:rsidRPr="005F0E87">
        <w:rPr>
          <w:rFonts w:eastAsiaTheme="minorHAnsi"/>
          <w:lang w:val="fr-FR" w:eastAsia="en-US"/>
        </w:rPr>
        <w:tab/>
        <w:t>Ajouter la note « a » suivante sous le tableau :</w:t>
      </w:r>
    </w:p>
    <w:p w14:paraId="440AFE87" w14:textId="608BB4E6" w:rsidR="005F0E87" w:rsidRPr="005F0E87" w:rsidRDefault="005F0E87" w:rsidP="005F0E87">
      <w:pPr>
        <w:spacing w:after="120"/>
        <w:ind w:left="1134" w:right="1134"/>
        <w:jc w:val="both"/>
        <w:rPr>
          <w:rFonts w:eastAsiaTheme="minorHAnsi"/>
          <w:lang w:eastAsia="en-US"/>
        </w:rPr>
      </w:pPr>
      <w:r w:rsidRPr="005F0E87">
        <w:rPr>
          <w:rFonts w:eastAsiaTheme="minorHAnsi"/>
          <w:lang w:eastAsia="en-US"/>
        </w:rPr>
        <w:t>« </w:t>
      </w:r>
      <w:r w:rsidRPr="005F0E87">
        <w:rPr>
          <w:rFonts w:eastAsiaTheme="minorHAnsi"/>
          <w:b/>
          <w:bCs/>
          <w:vertAlign w:val="superscript"/>
          <w:lang w:val="fr-FR" w:eastAsia="en-US"/>
        </w:rPr>
        <w:t>a</w:t>
      </w:r>
      <w:r w:rsidRPr="005F0E87">
        <w:rPr>
          <w:rFonts w:eastAsiaTheme="minorHAnsi"/>
          <w:i/>
          <w:iCs/>
          <w:vertAlign w:val="superscript"/>
          <w:lang w:val="fr-FR" w:eastAsia="en-US"/>
        </w:rPr>
        <w:t>.</w:t>
      </w:r>
      <w:bookmarkStart w:id="9" w:name="_Hlk37146592"/>
      <w:r w:rsidRPr="005F0E87">
        <w:rPr>
          <w:rFonts w:eastAsiaTheme="minorHAnsi"/>
          <w:lang w:val="fr-FR" w:eastAsia="en-US"/>
        </w:rPr>
        <w:t xml:space="preserve"> </w:t>
      </w:r>
      <w:r w:rsidR="00C82A88">
        <w:rPr>
          <w:rFonts w:eastAsiaTheme="minorHAnsi"/>
          <w:lang w:val="fr-FR" w:eastAsia="en-US"/>
        </w:rPr>
        <w:tab/>
      </w:r>
      <w:r w:rsidRPr="005F0E87">
        <w:rPr>
          <w:rFonts w:eastAsiaTheme="minorHAnsi"/>
          <w:i/>
          <w:lang w:val="fr-FR" w:eastAsia="en-US"/>
        </w:rPr>
        <w:t>Dans</w:t>
      </w:r>
      <w:r w:rsidRPr="005F0E87">
        <w:rPr>
          <w:rFonts w:eastAsiaTheme="minorHAnsi"/>
          <w:lang w:val="fr-FR" w:eastAsia="en-US"/>
        </w:rPr>
        <w:t xml:space="preserve"> c</w:t>
      </w:r>
      <w:r w:rsidRPr="005F0E87">
        <w:rPr>
          <w:rFonts w:eastAsiaTheme="minorHAnsi"/>
          <w:i/>
          <w:iCs/>
          <w:lang w:val="fr-FR" w:eastAsia="en-US"/>
        </w:rPr>
        <w:t xml:space="preserve">es exemples tirés d’épreuves passées, la TDAA ou la TPAA ont été déterminées avec des pertes de chaleur supérieures à celles qui sont actuellement recommandées aux fins de la classification </w:t>
      </w:r>
      <w:bookmarkEnd w:id="9"/>
      <w:r w:rsidRPr="005F0E87">
        <w:rPr>
          <w:rFonts w:eastAsiaTheme="minorHAnsi"/>
          <w:i/>
          <w:iCs/>
          <w:lang w:val="fr-FR" w:eastAsia="en-US"/>
        </w:rPr>
        <w:t>(voir tableau 28.4). </w:t>
      </w:r>
      <w:r w:rsidRPr="005F0E87">
        <w:rPr>
          <w:rFonts w:eastAsiaTheme="minorHAnsi"/>
          <w:lang w:eastAsia="en-US"/>
        </w:rPr>
        <w:t>»</w:t>
      </w:r>
    </w:p>
    <w:p w14:paraId="74D3526A" w14:textId="21C6492C" w:rsidR="005F0E87" w:rsidRPr="005F0E87" w:rsidRDefault="005F0E87" w:rsidP="00C82A88">
      <w:pPr>
        <w:keepNext/>
        <w:keepLines/>
        <w:tabs>
          <w:tab w:val="left" w:pos="2268"/>
        </w:tabs>
        <w:spacing w:after="120"/>
        <w:ind w:left="1134" w:right="1134"/>
        <w:jc w:val="both"/>
        <w:rPr>
          <w:rFonts w:eastAsiaTheme="minorHAnsi"/>
          <w:lang w:eastAsia="en-US"/>
        </w:rPr>
      </w:pPr>
      <w:r w:rsidRPr="005F0E87">
        <w:rPr>
          <w:rFonts w:eastAsiaTheme="minorHAnsi"/>
          <w:lang w:val="fr-FR" w:eastAsia="en-US"/>
        </w:rPr>
        <w:t>Figure 28.4.2.2</w:t>
      </w:r>
      <w:r w:rsidRPr="005F0E87">
        <w:rPr>
          <w:rFonts w:eastAsiaTheme="minorHAnsi"/>
          <w:lang w:val="fr-FR" w:eastAsia="en-US"/>
        </w:rPr>
        <w:tab/>
        <w:t>Modifier comme suit :</w:t>
      </w:r>
    </w:p>
    <w:p w14:paraId="6A0D9063" w14:textId="0535FCEA" w:rsidR="005F0E87" w:rsidRDefault="005F0E87" w:rsidP="005F0E87">
      <w:pPr>
        <w:keepNext/>
        <w:keepLines/>
        <w:tabs>
          <w:tab w:val="left" w:pos="2552"/>
        </w:tabs>
        <w:spacing w:after="120"/>
        <w:ind w:left="1134" w:right="1134"/>
        <w:jc w:val="both"/>
        <w:rPr>
          <w:rFonts w:eastAsiaTheme="minorHAnsi"/>
          <w:b/>
          <w:bCs/>
          <w:lang w:val="fr-FR" w:eastAsia="en-US"/>
        </w:rPr>
      </w:pPr>
      <w:r w:rsidRPr="005F0E87">
        <w:rPr>
          <w:rFonts w:eastAsiaTheme="minorHAnsi"/>
          <w:lang w:eastAsia="en-US"/>
        </w:rPr>
        <w:t>«</w:t>
      </w:r>
      <w:r w:rsidRPr="005F0E87">
        <w:rPr>
          <w:rFonts w:eastAsiaTheme="minorHAnsi"/>
          <w:b/>
          <w:bCs/>
          <w:lang w:val="fr-FR" w:eastAsia="en-US"/>
        </w:rPr>
        <w:t> Figure 28.4.2.</w:t>
      </w:r>
      <w:r w:rsidRPr="005F0E87">
        <w:rPr>
          <w:rFonts w:eastAsiaTheme="minorHAnsi"/>
          <w:b/>
          <w:lang w:val="fr-FR" w:eastAsia="en-US"/>
        </w:rPr>
        <w:t>2</w:t>
      </w:r>
      <w:r w:rsidRPr="005F0E87">
        <w:rPr>
          <w:rFonts w:eastAsiaTheme="minorHAnsi"/>
          <w:b/>
          <w:lang w:val="fr-FR" w:eastAsia="en-US"/>
        </w:rPr>
        <w:tab/>
      </w:r>
      <w:r w:rsidRPr="005F0E87">
        <w:rPr>
          <w:rFonts w:eastAsiaTheme="minorHAnsi"/>
          <w:lang w:val="fr-FR" w:eastAsia="en-US"/>
        </w:rPr>
        <w:tab/>
      </w:r>
      <w:r w:rsidRPr="005F0E87">
        <w:rPr>
          <w:rFonts w:eastAsiaTheme="minorHAnsi"/>
          <w:b/>
          <w:lang w:val="fr-FR" w:eastAsia="en-US"/>
        </w:rPr>
        <w:t>Exemple</w:t>
      </w:r>
      <w:r w:rsidRPr="005F0E87">
        <w:rPr>
          <w:rFonts w:eastAsiaTheme="minorHAnsi"/>
          <w:b/>
          <w:bCs/>
          <w:lang w:val="fr-FR" w:eastAsia="en-US"/>
        </w:rPr>
        <w:t xml:space="preserve"> de détermination de la TDAA ou de la TPAA</w:t>
      </w:r>
    </w:p>
    <w:bookmarkStart w:id="10" w:name="_Hlk35359022"/>
    <w:p w14:paraId="256904C0" w14:textId="720D74C9" w:rsidR="005F0E87" w:rsidRPr="005F0E87" w:rsidRDefault="009E7296" w:rsidP="005F0E87">
      <w:pPr>
        <w:spacing w:after="120"/>
        <w:ind w:left="2552" w:right="1134"/>
        <w:jc w:val="both"/>
        <w:rPr>
          <w:rFonts w:eastAsiaTheme="minorHAnsi"/>
          <w:b/>
          <w:bCs/>
          <w:lang w:eastAsia="en-US"/>
        </w:rPr>
      </w:pPr>
      <w:r w:rsidRPr="005F0E87">
        <w:rPr>
          <w:rFonts w:eastAsiaTheme="minorHAnsi"/>
          <w:lang w:val="en-GB" w:eastAsia="en-US"/>
        </w:rPr>
        <w:object w:dxaOrig="5997" w:dyaOrig="5135" w14:anchorId="63FE656A">
          <v:shape id="_x0000_i1026" type="#_x0000_t75" style="width:280pt;height:239pt" o:ole="">
            <v:imagedata r:id="rId20" o:title=""/>
          </v:shape>
          <o:OLEObject Type="Embed" ProgID="Visio.Drawing.15" ShapeID="_x0000_i1026" DrawAspect="Content" ObjectID="_1678082082" r:id="rId21"/>
        </w:object>
      </w:r>
      <w:bookmarkEnd w:id="10"/>
    </w:p>
    <w:tbl>
      <w:tblPr>
        <w:tblStyle w:val="TableGrid"/>
        <w:tblW w:w="5954"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2084"/>
        <w:gridCol w:w="689"/>
        <w:gridCol w:w="11"/>
        <w:gridCol w:w="2315"/>
        <w:gridCol w:w="17"/>
      </w:tblGrid>
      <w:tr w:rsidR="005F0E87" w:rsidRPr="005F0E87" w14:paraId="71CD4E9D" w14:textId="77777777" w:rsidTr="00BD3338">
        <w:trPr>
          <w:gridAfter w:val="1"/>
          <w:wAfter w:w="17" w:type="dxa"/>
          <w:trHeight w:hRule="exact" w:val="113"/>
        </w:trPr>
        <w:tc>
          <w:tcPr>
            <w:tcW w:w="838" w:type="dxa"/>
            <w:tcBorders>
              <w:top w:val="single" w:sz="12" w:space="0" w:color="auto"/>
            </w:tcBorders>
            <w:shd w:val="clear" w:color="auto" w:fill="auto"/>
          </w:tcPr>
          <w:p w14:paraId="48E80AF9" w14:textId="77777777" w:rsidR="005F0E87" w:rsidRPr="005F0E87" w:rsidRDefault="005F0E87" w:rsidP="005F0E87">
            <w:pPr>
              <w:spacing w:before="40" w:after="120"/>
              <w:ind w:right="113"/>
            </w:pPr>
            <w:bookmarkStart w:id="11" w:name="_Hlk35359044"/>
          </w:p>
        </w:tc>
        <w:tc>
          <w:tcPr>
            <w:tcW w:w="2084" w:type="dxa"/>
            <w:tcBorders>
              <w:top w:val="single" w:sz="12" w:space="0" w:color="auto"/>
            </w:tcBorders>
            <w:shd w:val="clear" w:color="auto" w:fill="auto"/>
          </w:tcPr>
          <w:p w14:paraId="08F9C867" w14:textId="14DAA6CA" w:rsidR="005F0E87" w:rsidRPr="005F0E87" w:rsidRDefault="005F0E87" w:rsidP="005F0E87">
            <w:pPr>
              <w:spacing w:before="40" w:after="120"/>
              <w:ind w:right="113"/>
            </w:pPr>
          </w:p>
        </w:tc>
        <w:tc>
          <w:tcPr>
            <w:tcW w:w="700" w:type="dxa"/>
            <w:gridSpan w:val="2"/>
            <w:tcBorders>
              <w:top w:val="single" w:sz="12" w:space="0" w:color="auto"/>
            </w:tcBorders>
            <w:shd w:val="clear" w:color="auto" w:fill="auto"/>
          </w:tcPr>
          <w:p w14:paraId="7189D801" w14:textId="54D7F293" w:rsidR="005F0E87" w:rsidRPr="005F0E87" w:rsidRDefault="005F0E87" w:rsidP="005F0E87">
            <w:pPr>
              <w:spacing w:before="40" w:after="120"/>
              <w:ind w:right="113"/>
            </w:pPr>
          </w:p>
        </w:tc>
        <w:tc>
          <w:tcPr>
            <w:tcW w:w="2315" w:type="dxa"/>
            <w:tcBorders>
              <w:top w:val="single" w:sz="12" w:space="0" w:color="auto"/>
            </w:tcBorders>
            <w:shd w:val="clear" w:color="auto" w:fill="auto"/>
          </w:tcPr>
          <w:p w14:paraId="50308E3B" w14:textId="77777777" w:rsidR="005F0E87" w:rsidRPr="005F0E87" w:rsidRDefault="005F0E87" w:rsidP="005F0E87">
            <w:pPr>
              <w:spacing w:before="40" w:after="120"/>
              <w:ind w:right="113"/>
              <w:rPr>
                <w:iCs/>
              </w:rPr>
            </w:pPr>
          </w:p>
        </w:tc>
      </w:tr>
      <w:tr w:rsidR="005F0E87" w:rsidRPr="005F0E87" w14:paraId="55C13F67" w14:textId="77777777" w:rsidTr="00BD3338">
        <w:tc>
          <w:tcPr>
            <w:tcW w:w="838" w:type="dxa"/>
            <w:shd w:val="clear" w:color="auto" w:fill="auto"/>
          </w:tcPr>
          <w:p w14:paraId="6C4DCD6D" w14:textId="77777777" w:rsidR="005F0E87" w:rsidRPr="005F0E87" w:rsidRDefault="005F0E87" w:rsidP="005F0E87">
            <w:pPr>
              <w:spacing w:before="40" w:after="120"/>
              <w:ind w:right="113"/>
              <w:rPr>
                <w:sz w:val="18"/>
                <w:szCs w:val="18"/>
              </w:rPr>
            </w:pPr>
            <w:r w:rsidRPr="005F0E87">
              <w:rPr>
                <w:noProof/>
                <w:sz w:val="18"/>
                <w:szCs w:val="18"/>
                <w:lang w:val="en-US"/>
              </w:rPr>
              <mc:AlternateContent>
                <mc:Choice Requires="wps">
                  <w:drawing>
                    <wp:anchor distT="0" distB="0" distL="114300" distR="114300" simplePos="0" relativeHeight="251691008" behindDoc="0" locked="0" layoutInCell="1" allowOverlap="1" wp14:anchorId="731EAFF5" wp14:editId="7B514DE0">
                      <wp:simplePos x="0" y="0"/>
                      <wp:positionH relativeFrom="column">
                        <wp:posOffset>20498</wp:posOffset>
                      </wp:positionH>
                      <wp:positionV relativeFrom="paragraph">
                        <wp:posOffset>71158</wp:posOffset>
                      </wp:positionV>
                      <wp:extent cx="52143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21435" cy="0"/>
                              </a:xfrm>
                              <a:prstGeom prst="line">
                                <a:avLst/>
                              </a:prstGeom>
                              <a:noFill/>
                              <a:ln w="19050" cap="flat" cmpd="sng" algn="ctr">
                                <a:solidFill>
                                  <a:sysClr val="windowText" lastClr="000000"/>
                                </a:solidFill>
                                <a:prstDash val="lgDashDot"/>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59F6F94" id="Straight Connector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" strokecolor="windowText" strokeweight="1.5pt">
                      <v:stroke dashstyle="longDashDot"/>
                    </v:line>
                  </w:pict>
                </mc:Fallback>
              </mc:AlternateContent>
            </w:r>
          </w:p>
        </w:tc>
        <w:tc>
          <w:tcPr>
            <w:tcW w:w="2084" w:type="dxa"/>
            <w:shd w:val="clear" w:color="auto" w:fill="auto"/>
          </w:tcPr>
          <w:p w14:paraId="7FCEBA1E" w14:textId="77777777" w:rsidR="005F0E87" w:rsidRPr="005F0E87" w:rsidRDefault="005F0E87" w:rsidP="005F0E87">
            <w:pPr>
              <w:spacing w:before="40" w:after="120"/>
              <w:ind w:right="113"/>
              <w:rPr>
                <w:sz w:val="18"/>
                <w:szCs w:val="18"/>
              </w:rPr>
            </w:pPr>
            <w:r w:rsidRPr="005F0E87">
              <w:rPr>
                <w:sz w:val="18"/>
                <w:szCs w:val="18"/>
                <w:lang w:val="fr-FR"/>
              </w:rPr>
              <w:t>Courbe de production de chaleur</w:t>
            </w:r>
          </w:p>
        </w:tc>
        <w:tc>
          <w:tcPr>
            <w:tcW w:w="689" w:type="dxa"/>
            <w:shd w:val="clear" w:color="auto" w:fill="auto"/>
          </w:tcPr>
          <w:p w14:paraId="38C703EA" w14:textId="77777777" w:rsidR="005F0E87" w:rsidRPr="005F0E87" w:rsidRDefault="005F0E87" w:rsidP="005F0E87">
            <w:pPr>
              <w:spacing w:before="40" w:after="120"/>
              <w:ind w:right="113"/>
              <w:rPr>
                <w:sz w:val="18"/>
                <w:szCs w:val="18"/>
              </w:rPr>
            </w:pPr>
            <w:r w:rsidRPr="005F0E87">
              <w:rPr>
                <w:noProof/>
                <w:sz w:val="18"/>
                <w:szCs w:val="18"/>
                <w:lang w:val="en-US"/>
              </w:rPr>
              <mc:AlternateContent>
                <mc:Choice Requires="wps">
                  <w:drawing>
                    <wp:anchor distT="0" distB="0" distL="114300" distR="114300" simplePos="0" relativeHeight="251692032" behindDoc="0" locked="0" layoutInCell="1" allowOverlap="1" wp14:anchorId="79257E96" wp14:editId="2E763635">
                      <wp:simplePos x="0" y="0"/>
                      <wp:positionH relativeFrom="column">
                        <wp:posOffset>29933</wp:posOffset>
                      </wp:positionH>
                      <wp:positionV relativeFrom="paragraph">
                        <wp:posOffset>83902</wp:posOffset>
                      </wp:positionV>
                      <wp:extent cx="2418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41825" cy="0"/>
                              </a:xfrm>
                              <a:prstGeom prst="line">
                                <a:avLst/>
                              </a:prstGeom>
                              <a:noFill/>
                              <a:ln w="19050" cap="flat" cmpd="sng" algn="ctr">
                                <a:solidFill>
                                  <a:sysClr val="windowText" lastClr="000000"/>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5A51CE4" id="Straight Connector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6pt" to="2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" strokecolor="windowText" strokeweight="1.5pt"/>
                  </w:pict>
                </mc:Fallback>
              </mc:AlternateContent>
            </w:r>
          </w:p>
        </w:tc>
        <w:tc>
          <w:tcPr>
            <w:tcW w:w="2343" w:type="dxa"/>
            <w:gridSpan w:val="3"/>
            <w:shd w:val="clear" w:color="auto" w:fill="auto"/>
          </w:tcPr>
          <w:p w14:paraId="45EDFAF4" w14:textId="3ECBB33E" w:rsidR="005F0E87" w:rsidRPr="005F0E87" w:rsidRDefault="005F0E87" w:rsidP="005F0E87">
            <w:pPr>
              <w:spacing w:before="40" w:after="120"/>
              <w:ind w:right="113"/>
              <w:rPr>
                <w:sz w:val="18"/>
                <w:szCs w:val="18"/>
              </w:rPr>
            </w:pPr>
            <w:r w:rsidRPr="005F0E87">
              <w:rPr>
                <w:sz w:val="18"/>
                <w:szCs w:val="18"/>
                <w:lang w:val="fr-FR"/>
              </w:rPr>
              <w:t xml:space="preserve">Courbe de perte de chaleur </w:t>
            </w:r>
            <w:r w:rsidRPr="005F0E87">
              <w:rPr>
                <w:sz w:val="18"/>
                <w:szCs w:val="18"/>
                <w:lang w:val="fr-FR"/>
              </w:rPr>
              <w:br/>
              <w:t xml:space="preserve">L = 0,06 </w:t>
            </w:r>
            <w:r w:rsidRPr="005F0E87">
              <w:rPr>
                <w:lang w:val="fr-FR"/>
              </w:rPr>
              <w:t>W/K.kg</w:t>
            </w:r>
          </w:p>
        </w:tc>
      </w:tr>
      <w:tr w:rsidR="005F0E87" w:rsidRPr="005F0E87" w14:paraId="07D9783B" w14:textId="77777777" w:rsidTr="00BD3338">
        <w:tc>
          <w:tcPr>
            <w:tcW w:w="838" w:type="dxa"/>
            <w:tcBorders>
              <w:bottom w:val="single" w:sz="12" w:space="0" w:color="auto"/>
            </w:tcBorders>
            <w:shd w:val="clear" w:color="auto" w:fill="auto"/>
          </w:tcPr>
          <w:p w14:paraId="71AA274F" w14:textId="77777777" w:rsidR="005F0E87" w:rsidRPr="005F0E87" w:rsidRDefault="005F0E87" w:rsidP="005F0E87">
            <w:pPr>
              <w:spacing w:before="40" w:after="120"/>
              <w:ind w:right="113"/>
              <w:rPr>
                <w:sz w:val="18"/>
                <w:szCs w:val="18"/>
                <w:lang w:val="en-US"/>
              </w:rPr>
            </w:pPr>
            <w:r w:rsidRPr="005F0E87">
              <w:rPr>
                <w:sz w:val="18"/>
                <w:szCs w:val="18"/>
                <w:lang w:val="fr-FR"/>
              </w:rPr>
              <w:t>(A)</w:t>
            </w:r>
          </w:p>
        </w:tc>
        <w:tc>
          <w:tcPr>
            <w:tcW w:w="2084" w:type="dxa"/>
            <w:tcBorders>
              <w:bottom w:val="single" w:sz="12" w:space="0" w:color="auto"/>
            </w:tcBorders>
            <w:shd w:val="clear" w:color="auto" w:fill="auto"/>
          </w:tcPr>
          <w:p w14:paraId="27B2FA30" w14:textId="77777777" w:rsidR="005F0E87" w:rsidRPr="005F0E87" w:rsidRDefault="005F0E87" w:rsidP="005F0E87">
            <w:pPr>
              <w:spacing w:before="40" w:after="120"/>
              <w:ind w:right="113"/>
              <w:rPr>
                <w:sz w:val="18"/>
                <w:szCs w:val="18"/>
              </w:rPr>
            </w:pPr>
            <w:r w:rsidRPr="005F0E87">
              <w:rPr>
                <w:sz w:val="18"/>
                <w:szCs w:val="18"/>
                <w:lang w:val="fr-FR"/>
              </w:rPr>
              <w:t>Température ambiante critique (au point d’intersection de la ligne de perte de chaleur et de l’axe des abscisses)</w:t>
            </w:r>
          </w:p>
        </w:tc>
        <w:tc>
          <w:tcPr>
            <w:tcW w:w="689" w:type="dxa"/>
            <w:tcBorders>
              <w:bottom w:val="single" w:sz="12" w:space="0" w:color="auto"/>
            </w:tcBorders>
            <w:shd w:val="clear" w:color="auto" w:fill="auto"/>
          </w:tcPr>
          <w:p w14:paraId="1834B9EA" w14:textId="77777777" w:rsidR="005F0E87" w:rsidRPr="005F0E87" w:rsidRDefault="005F0E87" w:rsidP="005F0E87">
            <w:pPr>
              <w:spacing w:before="40" w:after="120"/>
              <w:ind w:right="113"/>
              <w:rPr>
                <w:sz w:val="18"/>
                <w:szCs w:val="18"/>
                <w:lang w:val="en-US"/>
              </w:rPr>
            </w:pPr>
            <w:r w:rsidRPr="005F0E87">
              <w:rPr>
                <w:sz w:val="18"/>
                <w:szCs w:val="18"/>
                <w:lang w:val="fr-FR"/>
              </w:rPr>
              <w:t>(B)</w:t>
            </w:r>
          </w:p>
        </w:tc>
        <w:tc>
          <w:tcPr>
            <w:tcW w:w="2343" w:type="dxa"/>
            <w:gridSpan w:val="3"/>
            <w:tcBorders>
              <w:bottom w:val="single" w:sz="12" w:space="0" w:color="auto"/>
            </w:tcBorders>
            <w:shd w:val="clear" w:color="auto" w:fill="auto"/>
          </w:tcPr>
          <w:p w14:paraId="39CCFB82" w14:textId="385E9E1D" w:rsidR="005F0E87" w:rsidRPr="005F0E87" w:rsidRDefault="005F0E87" w:rsidP="005F0E87">
            <w:pPr>
              <w:spacing w:before="40" w:after="120"/>
              <w:ind w:right="113"/>
              <w:rPr>
                <w:sz w:val="18"/>
                <w:szCs w:val="18"/>
              </w:rPr>
            </w:pPr>
            <w:r w:rsidRPr="005F0E87">
              <w:rPr>
                <w:sz w:val="18"/>
                <w:szCs w:val="18"/>
                <w:lang w:val="fr-FR"/>
              </w:rPr>
              <w:t xml:space="preserve">TDAA ou TPAA </w:t>
            </w:r>
            <w:r w:rsidRPr="005F0E87">
              <w:rPr>
                <w:sz w:val="18"/>
                <w:szCs w:val="18"/>
                <w:lang w:val="fr-FR"/>
              </w:rPr>
              <w:br/>
              <w:t>(température ambiante critique, arrondie au multiple de 5 °C le plus proche par valeur supérieure)</w:t>
            </w:r>
          </w:p>
        </w:tc>
      </w:tr>
    </w:tbl>
    <w:bookmarkEnd w:id="11"/>
    <w:p w14:paraId="3CE62648" w14:textId="3C2D8C50" w:rsidR="005F0E87" w:rsidRPr="005F0E87" w:rsidRDefault="005F0E87" w:rsidP="005F0E87">
      <w:pPr>
        <w:spacing w:before="120" w:after="240"/>
        <w:ind w:left="1134" w:right="1134"/>
        <w:jc w:val="right"/>
        <w:rPr>
          <w:rFonts w:eastAsiaTheme="minorHAnsi"/>
          <w:lang w:eastAsia="en-US"/>
        </w:rPr>
      </w:pPr>
      <w:r w:rsidRPr="005F0E87">
        <w:rPr>
          <w:rFonts w:eastAsiaTheme="minorHAnsi"/>
          <w:lang w:eastAsia="en-US"/>
        </w:rPr>
        <w:t>. »</w:t>
      </w:r>
    </w:p>
    <w:bookmarkEnd w:id="5"/>
    <w:p w14:paraId="6457707F" w14:textId="77777777"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eastAsia="en-US"/>
        </w:rPr>
        <w:lastRenderedPageBreak/>
        <w:t>28.4.3.1.2</w:t>
      </w:r>
      <w:r w:rsidRPr="005F0E87">
        <w:rPr>
          <w:rFonts w:eastAsiaTheme="minorHAnsi"/>
          <w:lang w:eastAsia="en-US"/>
        </w:rPr>
        <w:tab/>
        <w:t>Supprimer. Le paragraphe 28.4.3.1.3 actuel devient le paragraphe 28.4.3.1.2.</w:t>
      </w:r>
    </w:p>
    <w:p w14:paraId="098397E6" w14:textId="77777777"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eastAsia="en-US"/>
        </w:rPr>
        <w:t xml:space="preserve">28.4.3.1.2 </w:t>
      </w:r>
      <w:r w:rsidRPr="005F0E87">
        <w:rPr>
          <w:rFonts w:eastAsiaTheme="minorHAnsi"/>
          <w:lang w:eastAsia="en-US"/>
        </w:rPr>
        <w:tab/>
        <w:t>(nouveau paragraphe, anciennement le 28.4.3.1.3) Modifier le début de la première phrase comme suit : « Par sa construction généralement robuste ... l’appareil, qui est facilement disponible, ... »</w:t>
      </w:r>
    </w:p>
    <w:p w14:paraId="18670B47" w14:textId="1AA30C0F"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val="fr-FR" w:eastAsia="en-US"/>
        </w:rPr>
        <w:t xml:space="preserve">28.4.3.2 </w:t>
      </w:r>
      <w:r w:rsidRPr="005F0E87">
        <w:rPr>
          <w:rFonts w:eastAsiaTheme="minorHAnsi"/>
          <w:lang w:val="fr-FR" w:eastAsia="en-US"/>
        </w:rPr>
        <w:tab/>
        <w:t>Modifier</w:t>
      </w:r>
      <w:r w:rsidR="006368D5">
        <w:rPr>
          <w:rFonts w:eastAsiaTheme="minorHAnsi"/>
          <w:lang w:val="fr-FR" w:eastAsia="en-US"/>
        </w:rPr>
        <w:t xml:space="preserve"> la section</w:t>
      </w:r>
      <w:r w:rsidRPr="005F0E87">
        <w:rPr>
          <w:rFonts w:eastAsiaTheme="minorHAnsi"/>
          <w:lang w:val="fr-FR" w:eastAsia="en-US"/>
        </w:rPr>
        <w:t xml:space="preserve"> comme suit :</w:t>
      </w:r>
    </w:p>
    <w:p w14:paraId="44286986" w14:textId="27A81569"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val="fr-FR" w:eastAsia="en-US"/>
        </w:rPr>
        <w:t>« 28.4.3.2</w:t>
      </w:r>
      <w:r w:rsidRPr="005F0E87">
        <w:rPr>
          <w:rFonts w:eastAsiaTheme="minorHAnsi"/>
          <w:lang w:val="fr-FR" w:eastAsia="en-US"/>
        </w:rPr>
        <w:tab/>
      </w:r>
      <w:r w:rsidRPr="005F0E87">
        <w:rPr>
          <w:rFonts w:eastAsiaTheme="minorHAnsi"/>
          <w:i/>
          <w:iCs/>
          <w:lang w:val="fr-FR" w:eastAsia="en-US"/>
        </w:rPr>
        <w:t>Appareillage et matériels</w:t>
      </w:r>
    </w:p>
    <w:p w14:paraId="5D652580" w14:textId="77777777"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val="fr-FR" w:eastAsia="en-US"/>
        </w:rPr>
        <w:t>28.4.3.2.1</w:t>
      </w:r>
      <w:r w:rsidRPr="005F0E87">
        <w:rPr>
          <w:rFonts w:eastAsiaTheme="minorHAnsi"/>
          <w:lang w:val="fr-FR" w:eastAsia="en-US"/>
        </w:rPr>
        <w:tab/>
        <w:t>Calorimétrie isotherme</w:t>
      </w:r>
    </w:p>
    <w:p w14:paraId="0C5C87F4" w14:textId="764A2659" w:rsidR="005F0E87" w:rsidRPr="005F0E87" w:rsidRDefault="00C82A88" w:rsidP="00C82A88">
      <w:pPr>
        <w:tabs>
          <w:tab w:val="left" w:pos="2268"/>
        </w:tabs>
        <w:spacing w:after="120"/>
        <w:ind w:left="1134" w:right="1134"/>
        <w:jc w:val="both"/>
        <w:rPr>
          <w:rFonts w:eastAsiaTheme="minorHAnsi"/>
          <w:lang w:eastAsia="en-US"/>
        </w:rPr>
      </w:pPr>
      <w:r>
        <w:rPr>
          <w:rFonts w:eastAsiaTheme="minorHAnsi"/>
          <w:lang w:val="fr-FR" w:eastAsia="en-US"/>
        </w:rPr>
        <w:tab/>
      </w:r>
      <w:r w:rsidR="005F0E87" w:rsidRPr="005F0E87">
        <w:rPr>
          <w:rFonts w:eastAsiaTheme="minorHAnsi"/>
          <w:lang w:val="fr-FR" w:eastAsia="en-US"/>
        </w:rPr>
        <w:t>Des calorimètres isothermes appropriés peuvent être utilisés. L’équipement doit pouvoir mesurer des valeurs de production de chaleur de 1 mW/kg à 1500 mW/kg dans une plage de température comprise entre -20 °C et 200 °C. L’erreur maximale doit être inférieure à 5 %. L’équipement doit permettre de maintenir la température voulue à 0,2 °C près. La masse de l’échantillon utilisé comme matériel d’épreuve doit être d’au moins 200 mg. Des porte-échantillons fermés et résistants à la pression doivent être utilisés et le porte-échantillon doit être composé d’un matériau n’ayant pas d’effet catalytique sur le comportement de décomposition de la matière mise à l’épreuve. Cela peut être réalisé en sélectionnant les matériaux appropriés pour les porte-échantillons ou au moyen d’une méthode de passivation des porte-échantillons appropriée.</w:t>
      </w:r>
    </w:p>
    <w:p w14:paraId="54D8570F"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28.4.3.2.2</w:t>
      </w:r>
      <w:r w:rsidRPr="005F0E87">
        <w:rPr>
          <w:rFonts w:eastAsiaTheme="minorHAnsi"/>
          <w:lang w:val="fr-FR" w:eastAsia="en-US"/>
        </w:rPr>
        <w:tab/>
        <w:t xml:space="preserve">Le porte-échantillon est placé sur le fluxmètre thermique ou autour de celui-ci. La quantité de matière qu’il contient est d’au moins 200 mg. Il doit être composé d’un matériau compatible avec l’échantillon. Si une référence externe est utilisée, elle doit être traitée de la même manière que l’échantillon. </w:t>
      </w:r>
    </w:p>
    <w:p w14:paraId="0A90B5DE"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28.4.3.2.3</w:t>
      </w:r>
      <w:r w:rsidRPr="005F0E87">
        <w:rPr>
          <w:rFonts w:eastAsiaTheme="minorHAnsi"/>
          <w:lang w:val="fr-FR" w:eastAsia="en-US"/>
        </w:rPr>
        <w:tab/>
        <w:t>Le flux de chaleur de l’échantillon est enregistré en continu en fonction du temps (mesure différentielle) par un enregistreur ou un ordinateur. »</w:t>
      </w:r>
    </w:p>
    <w:p w14:paraId="6C9DA9D6" w14:textId="41D2FE85"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28.4.3.3</w:t>
      </w:r>
      <w:r w:rsidRPr="005F0E87">
        <w:rPr>
          <w:rFonts w:eastAsiaTheme="minorHAnsi"/>
          <w:lang w:val="fr-FR" w:eastAsia="en-US"/>
        </w:rPr>
        <w:tab/>
        <w:t xml:space="preserve">Modifier </w:t>
      </w:r>
      <w:r w:rsidR="009E3D57">
        <w:rPr>
          <w:rFonts w:eastAsiaTheme="minorHAnsi"/>
          <w:lang w:val="fr-FR" w:eastAsia="en-US"/>
        </w:rPr>
        <w:t xml:space="preserve">la section </w:t>
      </w:r>
      <w:r w:rsidRPr="005F0E87">
        <w:rPr>
          <w:rFonts w:eastAsiaTheme="minorHAnsi"/>
          <w:lang w:val="fr-FR" w:eastAsia="en-US"/>
        </w:rPr>
        <w:t>comme suit :</w:t>
      </w:r>
    </w:p>
    <w:p w14:paraId="77896CAD"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 28.4.3.3</w:t>
      </w:r>
      <w:r w:rsidRPr="005F0E87">
        <w:rPr>
          <w:rFonts w:eastAsiaTheme="minorHAnsi"/>
          <w:lang w:val="fr-FR" w:eastAsia="en-US"/>
        </w:rPr>
        <w:tab/>
      </w:r>
      <w:r w:rsidRPr="005F0E87">
        <w:rPr>
          <w:rFonts w:eastAsiaTheme="minorHAnsi"/>
          <w:i/>
          <w:iCs/>
          <w:lang w:val="fr-FR" w:eastAsia="en-US"/>
        </w:rPr>
        <w:t>Mode opératoire</w:t>
      </w:r>
    </w:p>
    <w:p w14:paraId="6E1B2573"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28.4.3.3.1</w:t>
      </w:r>
      <w:r w:rsidRPr="005F0E87">
        <w:rPr>
          <w:rFonts w:eastAsiaTheme="minorHAnsi"/>
          <w:lang w:val="fr-FR" w:eastAsia="en-US"/>
        </w:rPr>
        <w:tab/>
        <w:t>Étalonnage</w:t>
      </w:r>
    </w:p>
    <w:p w14:paraId="2278AFAE"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ab/>
        <w:t>Avant de pouvoir effectuer une mesure, il faut déterminer le signal résiduel et la sensibilité du fluxmètre thermique par la procédure d’étalonnage applicable à l’équipement utilisé, comprenant la plage de température de la mesure.</w:t>
      </w:r>
    </w:p>
    <w:p w14:paraId="0AF86647"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28.4.3.3.2</w:t>
      </w:r>
      <w:r w:rsidRPr="005F0E87">
        <w:rPr>
          <w:rFonts w:eastAsiaTheme="minorHAnsi"/>
          <w:lang w:val="fr-FR" w:eastAsia="en-US"/>
        </w:rPr>
        <w:tab/>
        <w:t xml:space="preserve">Épreuve </w:t>
      </w:r>
    </w:p>
    <w:p w14:paraId="767870E1" w14:textId="77777777" w:rsidR="005F0E87" w:rsidRPr="005F0E87" w:rsidRDefault="005F0E87" w:rsidP="00C82A88">
      <w:pPr>
        <w:tabs>
          <w:tab w:val="left" w:pos="2268"/>
        </w:tabs>
        <w:spacing w:after="120"/>
        <w:ind w:left="1134" w:right="1134"/>
        <w:jc w:val="both"/>
        <w:rPr>
          <w:rFonts w:eastAsiaTheme="minorHAnsi"/>
          <w:lang w:eastAsia="en-US"/>
        </w:rPr>
      </w:pPr>
      <w:r w:rsidRPr="005F0E87">
        <w:rPr>
          <w:rFonts w:eastAsiaTheme="minorHAnsi"/>
          <w:lang w:val="fr-FR" w:eastAsia="en-US"/>
        </w:rPr>
        <w:tab/>
        <w:t>Procéder comme suit :</w:t>
      </w:r>
    </w:p>
    <w:p w14:paraId="058F65B2" w14:textId="77777777" w:rsidR="005F0E87" w:rsidRPr="005F0E87" w:rsidRDefault="005F0E87" w:rsidP="00D54A69">
      <w:pPr>
        <w:spacing w:after="120"/>
        <w:ind w:left="2835" w:right="1134" w:hanging="567"/>
        <w:jc w:val="both"/>
        <w:rPr>
          <w:rFonts w:eastAsiaTheme="minorHAnsi"/>
          <w:lang w:eastAsia="en-US"/>
        </w:rPr>
      </w:pPr>
      <w:r w:rsidRPr="005F0E87">
        <w:rPr>
          <w:rFonts w:eastAsiaTheme="minorHAnsi"/>
          <w:lang w:val="fr-FR" w:eastAsia="en-US"/>
        </w:rPr>
        <w:t>a)</w:t>
      </w:r>
      <w:r w:rsidRPr="005F0E87">
        <w:rPr>
          <w:rFonts w:eastAsiaTheme="minorHAnsi"/>
          <w:lang w:val="fr-FR" w:eastAsia="en-US"/>
        </w:rPr>
        <w:tab/>
        <w:t>Régler l’appareil à la température d’épreuve voulue. La température choisie doit suffire à donner un taux de production de chaleur de 5 mW à 1 000 mW par kg de matière ou, pour les citernes, un taux de production maximal de chaleur maximal compris entre 1 et 100 mW/kg ;</w:t>
      </w:r>
    </w:p>
    <w:p w14:paraId="693D1E2D" w14:textId="77777777" w:rsidR="005F0E87" w:rsidRPr="005F0E87" w:rsidRDefault="005F0E87" w:rsidP="00D54A69">
      <w:pPr>
        <w:spacing w:after="120"/>
        <w:ind w:left="2835" w:right="1134" w:hanging="567"/>
        <w:jc w:val="both"/>
        <w:rPr>
          <w:rFonts w:eastAsiaTheme="minorHAnsi"/>
          <w:lang w:eastAsia="en-US"/>
        </w:rPr>
      </w:pPr>
      <w:r w:rsidRPr="005F0E87">
        <w:rPr>
          <w:rFonts w:eastAsiaTheme="minorHAnsi"/>
          <w:lang w:val="fr-FR" w:eastAsia="en-US"/>
        </w:rPr>
        <w:t>b)</w:t>
      </w:r>
      <w:r w:rsidRPr="005F0E87">
        <w:rPr>
          <w:rFonts w:eastAsiaTheme="minorHAnsi"/>
          <w:lang w:val="fr-FR" w:eastAsia="en-US"/>
        </w:rPr>
        <w:tab/>
        <w:t>Introduire dans le porte-échantillon l’échantillon pesé et une quantité représentative de matériau d’emballage (s’il est métallique) et l’insérer dans l’appareil ;</w:t>
      </w:r>
    </w:p>
    <w:p w14:paraId="68BB8D3F" w14:textId="77777777" w:rsidR="005F0E87" w:rsidRPr="005F0E87" w:rsidRDefault="005F0E87" w:rsidP="00D54A69">
      <w:pPr>
        <w:spacing w:after="120"/>
        <w:ind w:left="2835" w:right="1134" w:hanging="567"/>
        <w:jc w:val="both"/>
        <w:rPr>
          <w:rFonts w:eastAsiaTheme="minorHAnsi"/>
          <w:lang w:eastAsia="en-US"/>
        </w:rPr>
      </w:pPr>
      <w:r w:rsidRPr="005F0E87">
        <w:rPr>
          <w:rFonts w:eastAsiaTheme="minorHAnsi"/>
          <w:lang w:val="fr-FR" w:eastAsia="en-US"/>
        </w:rPr>
        <w:t>c)</w:t>
      </w:r>
      <w:r w:rsidRPr="005F0E87">
        <w:rPr>
          <w:rFonts w:eastAsiaTheme="minorHAnsi"/>
          <w:lang w:val="fr-FR" w:eastAsia="en-US"/>
        </w:rPr>
        <w:tab/>
        <w:t>Commencer la mesure du taux de production de chaleur. La durée de chaque épreuve dépend de la température d’épreuve et du taux de production de chaleur. La durée de mesure indiquée dans la figure 28.4.3.1 peut être utilisée comme ligne directrice, à moins qu’elle n’aboutisse à des valeurs irréalistes (par exemple, plus de 1 000 heures). Ces temps de mesure sont calculés afin de parvenir à un certain degré de conversion de la matière qui permette de prendre en compte les effets autocatalytiques</w:t>
      </w:r>
      <w:r w:rsidRPr="005F0E87">
        <w:rPr>
          <w:rFonts w:eastAsiaTheme="minorHAnsi"/>
          <w:vertAlign w:val="superscript"/>
          <w:lang w:val="fr-FR" w:eastAsia="en-US"/>
        </w:rPr>
        <w:t>3 </w:t>
      </w:r>
      <w:r w:rsidRPr="005F0E87">
        <w:rPr>
          <w:rFonts w:eastAsiaTheme="minorHAnsi"/>
          <w:lang w:eastAsia="en-US"/>
        </w:rPr>
        <w:t>;</w:t>
      </w:r>
    </w:p>
    <w:p w14:paraId="7E268F1D" w14:textId="77777777" w:rsidR="005F0E87" w:rsidRPr="005F0E87" w:rsidRDefault="005F0E87" w:rsidP="00D54A69">
      <w:pPr>
        <w:spacing w:after="120"/>
        <w:ind w:left="2835" w:right="1134" w:hanging="567"/>
        <w:jc w:val="both"/>
        <w:rPr>
          <w:rFonts w:eastAsiaTheme="minorHAnsi"/>
          <w:lang w:eastAsia="en-US"/>
        </w:rPr>
      </w:pPr>
      <w:r w:rsidRPr="005F0E87">
        <w:rPr>
          <w:rFonts w:eastAsiaTheme="minorHAnsi"/>
          <w:lang w:val="fr-FR" w:eastAsia="en-US"/>
        </w:rPr>
        <w:t>d)</w:t>
      </w:r>
      <w:r w:rsidRPr="005F0E87">
        <w:rPr>
          <w:rFonts w:eastAsiaTheme="minorHAnsi"/>
          <w:lang w:val="fr-FR" w:eastAsia="en-US"/>
        </w:rPr>
        <w:tab/>
        <w:t>Au terme de chaque épreuve, il faut déterminer la variation de la masse de l’échantillon ;</w:t>
      </w:r>
    </w:p>
    <w:p w14:paraId="284D3496" w14:textId="0559F136" w:rsidR="005F0E87" w:rsidRDefault="005F0E87" w:rsidP="00D54A69">
      <w:pPr>
        <w:spacing w:after="120"/>
        <w:ind w:left="2835" w:right="1134" w:hanging="567"/>
        <w:jc w:val="both"/>
        <w:rPr>
          <w:rFonts w:eastAsiaTheme="minorHAnsi"/>
          <w:lang w:val="fr-FR" w:eastAsia="en-US"/>
        </w:rPr>
      </w:pPr>
      <w:r w:rsidRPr="005F0E87">
        <w:rPr>
          <w:rFonts w:eastAsiaTheme="minorHAnsi"/>
          <w:lang w:val="fr-FR" w:eastAsia="en-US"/>
        </w:rPr>
        <w:lastRenderedPageBreak/>
        <w:t>e)</w:t>
      </w:r>
      <w:r w:rsidRPr="005F0E87">
        <w:rPr>
          <w:rFonts w:eastAsiaTheme="minorHAnsi"/>
          <w:lang w:val="fr-FR" w:eastAsia="en-US"/>
        </w:rPr>
        <w:tab/>
        <w:t>L’épreuve est répétée avec de nouveaux échantillons à des intervalles de température de 5 °C de façon à obtenir au moins cinq résultats avec un taux de production maximal de chaleur situé entre </w:t>
      </w:r>
      <w:r w:rsidRPr="005F0E87">
        <w:rPr>
          <w:lang w:eastAsia="fr-FR"/>
        </w:rPr>
        <w:t>5 et 1 000 mW/kg ou, pour les citernes, entre 1 et 100 mW/kg.</w:t>
      </w:r>
    </w:p>
    <w:p w14:paraId="5452DE54" w14:textId="77777777" w:rsidR="00861ACC" w:rsidRPr="005F0E87" w:rsidRDefault="00861ACC" w:rsidP="00667AB2">
      <w:pPr>
        <w:keepNext/>
        <w:keepLines/>
        <w:tabs>
          <w:tab w:val="left" w:pos="2552"/>
        </w:tabs>
        <w:spacing w:after="120"/>
        <w:ind w:left="1134" w:right="1134"/>
        <w:jc w:val="center"/>
        <w:rPr>
          <w:rFonts w:eastAsiaTheme="minorHAnsi"/>
          <w:b/>
          <w:bCs/>
          <w:lang w:val="fr-FR" w:eastAsia="en-US"/>
        </w:rPr>
      </w:pPr>
      <w:r w:rsidRPr="005F0E87">
        <w:rPr>
          <w:rFonts w:eastAsiaTheme="minorHAnsi"/>
          <w:b/>
          <w:bCs/>
          <w:lang w:val="fr-FR" w:eastAsia="en-US"/>
        </w:rPr>
        <w:t>Figure 28.4.3.1</w:t>
      </w:r>
      <w:r w:rsidRPr="005F0E87">
        <w:rPr>
          <w:rFonts w:eastAsiaTheme="minorHAnsi"/>
          <w:b/>
          <w:bCs/>
          <w:lang w:val="fr-FR" w:eastAsia="en-US"/>
        </w:rPr>
        <w:tab/>
      </w:r>
      <w:r w:rsidRPr="005F0E87">
        <w:rPr>
          <w:rFonts w:eastAsiaTheme="minorHAnsi"/>
          <w:b/>
          <w:bCs/>
          <w:lang w:val="fr-FR" w:eastAsia="en-US"/>
        </w:rPr>
        <w:tab/>
        <w:t>Durée de mesure en fonction du taux de production maximal de chaleur mesuré</w:t>
      </w:r>
    </w:p>
    <w:p w14:paraId="0A282711" w14:textId="77777777" w:rsidR="00861ACC" w:rsidRPr="005F0E87" w:rsidRDefault="00861ACC" w:rsidP="00861ACC">
      <w:pPr>
        <w:spacing w:after="120"/>
        <w:ind w:left="2552" w:right="1134"/>
        <w:jc w:val="both"/>
        <w:rPr>
          <w:rFonts w:eastAsiaTheme="minorHAnsi"/>
          <w:lang w:val="fr-FR" w:eastAsia="en-US"/>
        </w:rPr>
      </w:pPr>
      <w:r w:rsidRPr="005F0E87">
        <w:rPr>
          <w:rFonts w:eastAsiaTheme="minorHAnsi"/>
          <w:noProof/>
          <w:lang w:val="fr-FR" w:eastAsia="en-US"/>
        </w:rPr>
        <w:drawing>
          <wp:inline distT="0" distB="0" distL="0" distR="0" wp14:anchorId="6C0A86F0" wp14:editId="6AE7A098">
            <wp:extent cx="3793402" cy="2041556"/>
            <wp:effectExtent l="0" t="0" r="17145" b="15875"/>
            <wp:docPr id="11" name="Chart 11">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6F75E4" w14:textId="29CBB4F1" w:rsidR="00861ACC" w:rsidRPr="005F0E87" w:rsidRDefault="00861ACC" w:rsidP="00861ACC">
      <w:pPr>
        <w:tabs>
          <w:tab w:val="left" w:pos="2268"/>
        </w:tabs>
        <w:spacing w:before="120" w:after="240"/>
        <w:ind w:left="1134" w:right="1134"/>
        <w:jc w:val="right"/>
        <w:rPr>
          <w:rFonts w:eastAsiaTheme="minorHAnsi"/>
          <w:lang w:val="fr-FR" w:eastAsia="en-US"/>
        </w:rPr>
      </w:pPr>
      <w:r w:rsidRPr="005F0E87">
        <w:rPr>
          <w:rFonts w:eastAsiaTheme="minorHAnsi"/>
          <w:lang w:val="fr-FR" w:eastAsia="en-US"/>
        </w:rPr>
        <w:t>»</w:t>
      </w:r>
    </w:p>
    <w:p w14:paraId="34E72B72" w14:textId="77777777" w:rsidR="005F0E87" w:rsidRPr="005F0E87" w:rsidRDefault="005F0E87" w:rsidP="00C82A88">
      <w:pPr>
        <w:tabs>
          <w:tab w:val="left" w:pos="2268"/>
        </w:tabs>
        <w:spacing w:after="120"/>
        <w:ind w:left="2268" w:right="1134"/>
        <w:jc w:val="both"/>
        <w:rPr>
          <w:rFonts w:eastAsiaTheme="minorHAnsi"/>
          <w:lang w:eastAsia="en-US"/>
        </w:rPr>
      </w:pPr>
      <w:r w:rsidRPr="005F0E87">
        <w:rPr>
          <w:rFonts w:eastAsiaTheme="minorHAnsi"/>
          <w:lang w:val="fr-FR" w:eastAsia="en-US"/>
        </w:rPr>
        <w:t>Ajouter une nouvelle note de bas de page « 3 » comme suit :</w:t>
      </w:r>
    </w:p>
    <w:p w14:paraId="237A7CCC" w14:textId="1548AF5B" w:rsidR="005F0E87" w:rsidRPr="005F0E87" w:rsidRDefault="005F0E87" w:rsidP="00C82A88">
      <w:pPr>
        <w:tabs>
          <w:tab w:val="left" w:pos="1843"/>
        </w:tabs>
        <w:spacing w:after="120"/>
        <w:ind w:left="1134" w:right="1134"/>
        <w:jc w:val="both"/>
        <w:rPr>
          <w:rFonts w:eastAsiaTheme="minorHAnsi"/>
          <w:b/>
          <w:bCs/>
          <w:i/>
          <w:iCs/>
          <w:sz w:val="18"/>
          <w:szCs w:val="18"/>
          <w:lang w:eastAsia="en-US"/>
        </w:rPr>
      </w:pPr>
      <w:r w:rsidRPr="005F0E87">
        <w:rPr>
          <w:rFonts w:eastAsiaTheme="minorHAnsi"/>
          <w:lang w:eastAsia="en-US"/>
        </w:rPr>
        <w:t>«</w:t>
      </w:r>
      <w:r w:rsidRPr="005F0E87">
        <w:rPr>
          <w:rFonts w:eastAsiaTheme="minorHAnsi"/>
          <w:i/>
          <w:iCs/>
          <w:lang w:val="fr-FR" w:eastAsia="en-US"/>
        </w:rPr>
        <w:t> </w:t>
      </w:r>
      <w:r w:rsidRPr="005F0E87">
        <w:rPr>
          <w:rFonts w:eastAsiaTheme="minorHAnsi"/>
          <w:b/>
          <w:bCs/>
          <w:vertAlign w:val="superscript"/>
          <w:lang w:val="fr-FR" w:eastAsia="en-US"/>
        </w:rPr>
        <w:t>3</w:t>
      </w:r>
      <w:r w:rsidRPr="005F0E87">
        <w:rPr>
          <w:rFonts w:eastAsiaTheme="minorHAnsi"/>
          <w:b/>
          <w:bCs/>
          <w:lang w:val="fr-FR" w:eastAsia="en-US"/>
        </w:rPr>
        <w:t xml:space="preserve"> </w:t>
      </w:r>
      <w:r w:rsidR="00C82A88">
        <w:rPr>
          <w:rFonts w:eastAsiaTheme="minorHAnsi"/>
          <w:i/>
          <w:iCs/>
          <w:sz w:val="18"/>
          <w:szCs w:val="18"/>
          <w:lang w:val="fr-FR" w:eastAsia="en-US"/>
        </w:rPr>
        <w:tab/>
      </w:r>
      <w:r w:rsidRPr="005F0E87">
        <w:rPr>
          <w:rFonts w:eastAsiaTheme="minorHAnsi"/>
          <w:i/>
          <w:iCs/>
          <w:sz w:val="18"/>
          <w:szCs w:val="18"/>
          <w:lang w:val="fr-FR" w:eastAsia="en-US"/>
        </w:rPr>
        <w:t>Références :</w:t>
      </w:r>
    </w:p>
    <w:p w14:paraId="2D12636B" w14:textId="77777777" w:rsidR="005F0E87" w:rsidRPr="005F0E87" w:rsidRDefault="005F0E87" w:rsidP="00C82A88">
      <w:pPr>
        <w:tabs>
          <w:tab w:val="left" w:pos="2268"/>
        </w:tabs>
        <w:spacing w:after="120"/>
        <w:ind w:left="1843" w:right="1134"/>
        <w:jc w:val="both"/>
        <w:rPr>
          <w:rFonts w:eastAsiaTheme="minorHAnsi"/>
          <w:i/>
          <w:iCs/>
          <w:sz w:val="18"/>
          <w:szCs w:val="18"/>
          <w:lang w:eastAsia="en-US"/>
        </w:rPr>
      </w:pPr>
      <w:r w:rsidRPr="005F0E87">
        <w:rPr>
          <w:rFonts w:eastAsiaTheme="minorHAnsi"/>
          <w:i/>
          <w:iCs/>
          <w:sz w:val="18"/>
          <w:szCs w:val="18"/>
          <w:lang w:eastAsia="en-US"/>
        </w:rPr>
        <w:t xml:space="preserve">1) J. L.C van Geel, Investigations </w:t>
      </w:r>
      <w:proofErr w:type="spellStart"/>
      <w:r w:rsidRPr="005F0E87">
        <w:rPr>
          <w:rFonts w:eastAsiaTheme="minorHAnsi"/>
          <w:i/>
          <w:iCs/>
          <w:sz w:val="18"/>
          <w:szCs w:val="18"/>
          <w:lang w:eastAsia="en-US"/>
        </w:rPr>
        <w:t>into</w:t>
      </w:r>
      <w:proofErr w:type="spellEnd"/>
      <w:r w:rsidRPr="005F0E87">
        <w:rPr>
          <w:rFonts w:eastAsiaTheme="minorHAnsi"/>
          <w:i/>
          <w:iCs/>
          <w:sz w:val="18"/>
          <w:szCs w:val="18"/>
          <w:lang w:eastAsia="en-US"/>
        </w:rPr>
        <w:t xml:space="preserve"> Self-Ignition Hazard of Nitrate Ester </w:t>
      </w:r>
      <w:proofErr w:type="spellStart"/>
      <w:r w:rsidRPr="005F0E87">
        <w:rPr>
          <w:rFonts w:eastAsiaTheme="minorHAnsi"/>
          <w:i/>
          <w:iCs/>
          <w:sz w:val="18"/>
          <w:szCs w:val="18"/>
          <w:lang w:eastAsia="en-US"/>
        </w:rPr>
        <w:t>Propellants</w:t>
      </w:r>
      <w:proofErr w:type="spellEnd"/>
      <w:r w:rsidRPr="005F0E87">
        <w:rPr>
          <w:rFonts w:eastAsiaTheme="minorHAnsi"/>
          <w:i/>
          <w:iCs/>
          <w:sz w:val="18"/>
          <w:szCs w:val="18"/>
          <w:lang w:eastAsia="en-US"/>
        </w:rPr>
        <w:t xml:space="preserve">. </w:t>
      </w:r>
      <w:r w:rsidRPr="005F0E87">
        <w:rPr>
          <w:rFonts w:eastAsiaTheme="minorHAnsi"/>
          <w:i/>
          <w:iCs/>
          <w:sz w:val="18"/>
          <w:szCs w:val="18"/>
          <w:lang w:val="fr-FR" w:eastAsia="en-US"/>
        </w:rPr>
        <w:t>Thèse, Université technique de Delft, Pays-Bas, 1969.</w:t>
      </w:r>
    </w:p>
    <w:p w14:paraId="357CDA63" w14:textId="77777777" w:rsidR="005F0E87" w:rsidRPr="005F0E87" w:rsidRDefault="005F0E87" w:rsidP="00C82A88">
      <w:pPr>
        <w:tabs>
          <w:tab w:val="left" w:pos="2268"/>
        </w:tabs>
        <w:spacing w:after="120"/>
        <w:ind w:left="1843" w:right="1134"/>
        <w:jc w:val="both"/>
        <w:rPr>
          <w:rFonts w:eastAsiaTheme="minorHAnsi"/>
          <w:lang w:eastAsia="en-US"/>
        </w:rPr>
      </w:pPr>
      <w:r w:rsidRPr="005F0E87">
        <w:rPr>
          <w:rFonts w:eastAsiaTheme="minorHAnsi"/>
          <w:i/>
          <w:iCs/>
          <w:sz w:val="18"/>
          <w:szCs w:val="18"/>
          <w:lang w:val="fr-FR" w:eastAsia="en-US"/>
        </w:rPr>
        <w:t xml:space="preserve">2) </w:t>
      </w:r>
      <w:proofErr w:type="spellStart"/>
      <w:r w:rsidRPr="005F0E87">
        <w:rPr>
          <w:rFonts w:eastAsiaTheme="minorHAnsi"/>
          <w:i/>
          <w:iCs/>
          <w:sz w:val="18"/>
          <w:szCs w:val="18"/>
          <w:lang w:val="fr-FR" w:eastAsia="en-US"/>
        </w:rPr>
        <w:t>Barendregt</w:t>
      </w:r>
      <w:proofErr w:type="spellEnd"/>
      <w:r w:rsidRPr="005F0E87">
        <w:rPr>
          <w:rFonts w:eastAsiaTheme="minorHAnsi"/>
          <w:i/>
          <w:iCs/>
          <w:sz w:val="18"/>
          <w:szCs w:val="18"/>
          <w:lang w:val="fr-FR" w:eastAsia="en-US"/>
        </w:rPr>
        <w:t xml:space="preserve">, R.B., Thermal Investigation of </w:t>
      </w:r>
      <w:proofErr w:type="spellStart"/>
      <w:r w:rsidRPr="005F0E87">
        <w:rPr>
          <w:rFonts w:eastAsiaTheme="minorHAnsi"/>
          <w:i/>
          <w:iCs/>
          <w:sz w:val="18"/>
          <w:szCs w:val="18"/>
          <w:lang w:val="fr-FR" w:eastAsia="en-US"/>
        </w:rPr>
        <w:t>Unstable</w:t>
      </w:r>
      <w:proofErr w:type="spellEnd"/>
      <w:r w:rsidRPr="005F0E87">
        <w:rPr>
          <w:rFonts w:eastAsiaTheme="minorHAnsi"/>
          <w:i/>
          <w:iCs/>
          <w:sz w:val="18"/>
          <w:szCs w:val="18"/>
          <w:lang w:val="fr-FR" w:eastAsia="en-US"/>
        </w:rPr>
        <w:t xml:space="preserve"> Substances, </w:t>
      </w:r>
      <w:proofErr w:type="spellStart"/>
      <w:r w:rsidRPr="005F0E87">
        <w:rPr>
          <w:rFonts w:eastAsiaTheme="minorHAnsi"/>
          <w:i/>
          <w:iCs/>
          <w:sz w:val="18"/>
          <w:szCs w:val="18"/>
          <w:lang w:val="fr-FR" w:eastAsia="en-US"/>
        </w:rPr>
        <w:t>Including</w:t>
      </w:r>
      <w:proofErr w:type="spellEnd"/>
      <w:r w:rsidRPr="005F0E87">
        <w:rPr>
          <w:rFonts w:eastAsiaTheme="minorHAnsi"/>
          <w:i/>
          <w:iCs/>
          <w:sz w:val="18"/>
          <w:szCs w:val="18"/>
          <w:lang w:val="fr-FR" w:eastAsia="en-US"/>
        </w:rPr>
        <w:t xml:space="preserve"> a </w:t>
      </w:r>
      <w:proofErr w:type="spellStart"/>
      <w:r w:rsidRPr="005F0E87">
        <w:rPr>
          <w:rFonts w:eastAsiaTheme="minorHAnsi"/>
          <w:i/>
          <w:iCs/>
          <w:sz w:val="18"/>
          <w:szCs w:val="18"/>
          <w:lang w:val="fr-FR" w:eastAsia="en-US"/>
        </w:rPr>
        <w:t>Comparison</w:t>
      </w:r>
      <w:proofErr w:type="spellEnd"/>
      <w:r w:rsidRPr="005F0E87">
        <w:rPr>
          <w:rFonts w:eastAsiaTheme="minorHAnsi"/>
          <w:i/>
          <w:iCs/>
          <w:sz w:val="18"/>
          <w:szCs w:val="18"/>
          <w:lang w:val="fr-FR" w:eastAsia="en-US"/>
        </w:rPr>
        <w:t xml:space="preserve"> of </w:t>
      </w:r>
      <w:proofErr w:type="spellStart"/>
      <w:r w:rsidRPr="005F0E87">
        <w:rPr>
          <w:rFonts w:eastAsiaTheme="minorHAnsi"/>
          <w:i/>
          <w:iCs/>
          <w:sz w:val="18"/>
          <w:szCs w:val="18"/>
          <w:lang w:val="fr-FR" w:eastAsia="en-US"/>
        </w:rPr>
        <w:t>Different</w:t>
      </w:r>
      <w:proofErr w:type="spellEnd"/>
      <w:r w:rsidRPr="005F0E87">
        <w:rPr>
          <w:rFonts w:eastAsiaTheme="minorHAnsi"/>
          <w:i/>
          <w:iCs/>
          <w:sz w:val="18"/>
          <w:szCs w:val="18"/>
          <w:lang w:val="fr-FR" w:eastAsia="en-US"/>
        </w:rPr>
        <w:t xml:space="preserve"> Thermal </w:t>
      </w:r>
      <w:proofErr w:type="spellStart"/>
      <w:r w:rsidRPr="005F0E87">
        <w:rPr>
          <w:rFonts w:eastAsiaTheme="minorHAnsi"/>
          <w:i/>
          <w:iCs/>
          <w:sz w:val="18"/>
          <w:szCs w:val="18"/>
          <w:lang w:val="fr-FR" w:eastAsia="en-US"/>
        </w:rPr>
        <w:t>Analytical</w:t>
      </w:r>
      <w:proofErr w:type="spellEnd"/>
      <w:r w:rsidRPr="005F0E87">
        <w:rPr>
          <w:rFonts w:eastAsiaTheme="minorHAnsi"/>
          <w:i/>
          <w:iCs/>
          <w:sz w:val="18"/>
          <w:szCs w:val="18"/>
          <w:lang w:val="fr-FR" w:eastAsia="en-US"/>
        </w:rPr>
        <w:t xml:space="preserve"> Techniques, Thèse, Université technique de Delft, Pays-Bas, 1981. </w:t>
      </w:r>
      <w:r w:rsidRPr="005F0E87">
        <w:rPr>
          <w:rFonts w:eastAsiaTheme="minorHAnsi"/>
          <w:lang w:eastAsia="en-US"/>
        </w:rPr>
        <w:t>»</w:t>
      </w:r>
    </w:p>
    <w:p w14:paraId="4D1F84A8" w14:textId="77777777" w:rsidR="005F0E87" w:rsidRPr="005F0E87" w:rsidRDefault="005F0E87" w:rsidP="00C82A88">
      <w:pPr>
        <w:keepNext/>
        <w:keepLines/>
        <w:tabs>
          <w:tab w:val="left" w:pos="2268"/>
        </w:tabs>
        <w:spacing w:after="120"/>
        <w:ind w:left="1134" w:right="1134"/>
        <w:jc w:val="both"/>
        <w:rPr>
          <w:rFonts w:eastAsiaTheme="minorHAnsi"/>
          <w:lang w:val="fr-FR" w:eastAsia="en-US"/>
        </w:rPr>
      </w:pPr>
      <w:r w:rsidRPr="005F0E87">
        <w:rPr>
          <w:rFonts w:eastAsiaTheme="minorHAnsi"/>
          <w:lang w:val="fr-FR" w:eastAsia="en-US"/>
        </w:rPr>
        <w:t>28.4.3.4.1 et 28.4.3.4.2</w:t>
      </w:r>
    </w:p>
    <w:p w14:paraId="4D310369" w14:textId="77777777" w:rsidR="005F0E87" w:rsidRPr="005F0E87" w:rsidRDefault="005F0E87" w:rsidP="00C82A88">
      <w:pPr>
        <w:tabs>
          <w:tab w:val="left" w:pos="2268"/>
          <w:tab w:val="left" w:pos="2552"/>
        </w:tabs>
        <w:spacing w:after="120"/>
        <w:ind w:left="2835" w:right="1134" w:hanging="1701"/>
        <w:jc w:val="both"/>
        <w:rPr>
          <w:rFonts w:eastAsiaTheme="minorHAnsi"/>
          <w:lang w:val="fr-FR" w:eastAsia="en-US"/>
        </w:rPr>
      </w:pPr>
      <w:r w:rsidRPr="005F0E87">
        <w:rPr>
          <w:rFonts w:eastAsiaTheme="minorHAnsi"/>
          <w:lang w:val="fr-FR" w:eastAsia="en-US"/>
        </w:rPr>
        <w:tab/>
        <w:t>Supprimer. Le paragraphe 28.4.3.4.3 actuel devient le 28.4.3.4.1.</w:t>
      </w:r>
    </w:p>
    <w:p w14:paraId="6C5CBFF0" w14:textId="77777777" w:rsidR="005F0E87" w:rsidRPr="005F0E87" w:rsidRDefault="005F0E87" w:rsidP="00C82A88">
      <w:pPr>
        <w:tabs>
          <w:tab w:val="left" w:pos="2268"/>
        </w:tabs>
        <w:spacing w:after="120"/>
        <w:ind w:left="2268" w:right="1134" w:hanging="1134"/>
        <w:jc w:val="both"/>
        <w:rPr>
          <w:rFonts w:eastAsiaTheme="minorHAnsi"/>
          <w:lang w:eastAsia="en-US"/>
        </w:rPr>
      </w:pPr>
      <w:r w:rsidRPr="005F0E87">
        <w:rPr>
          <w:rFonts w:eastAsiaTheme="minorHAnsi"/>
          <w:lang w:val="fr-FR" w:eastAsia="en-US"/>
        </w:rPr>
        <w:tab/>
        <w:t>Dans le paragraphe renuméroté 28.4.3.4.1, dans la deuxième phrase, remplacer « </w:t>
      </w:r>
      <w:r w:rsidRPr="005F0E87">
        <w:rPr>
          <w:lang w:eastAsia="fr-FR"/>
        </w:rPr>
        <w:t>(mW/</w:t>
      </w:r>
      <w:proofErr w:type="spellStart"/>
      <w:r w:rsidRPr="005F0E87">
        <w:rPr>
          <w:lang w:eastAsia="fr-FR"/>
        </w:rPr>
        <w:t>kg.°C</w:t>
      </w:r>
      <w:proofErr w:type="spellEnd"/>
      <w:r w:rsidRPr="005F0E87">
        <w:rPr>
          <w:lang w:eastAsia="fr-FR"/>
        </w:rPr>
        <w:t xml:space="preserve">) » par </w:t>
      </w:r>
      <w:r w:rsidRPr="00AF05D9">
        <w:rPr>
          <w:lang w:eastAsia="fr-FR"/>
        </w:rPr>
        <w:t>« (mW/K.kg) ».</w:t>
      </w:r>
    </w:p>
    <w:p w14:paraId="3D3C5080" w14:textId="77777777" w:rsidR="005F0E87" w:rsidRPr="005F0E87" w:rsidRDefault="005F0E87" w:rsidP="00C82A88">
      <w:pPr>
        <w:tabs>
          <w:tab w:val="left" w:pos="2268"/>
        </w:tabs>
        <w:spacing w:after="120"/>
        <w:ind w:left="2268" w:right="1134" w:hanging="1134"/>
        <w:jc w:val="both"/>
        <w:rPr>
          <w:rFonts w:eastAsia="SimSun"/>
          <w:lang w:eastAsia="fr-FR"/>
        </w:rPr>
      </w:pPr>
      <w:r w:rsidRPr="005F0E87">
        <w:rPr>
          <w:rFonts w:eastAsiaTheme="minorHAnsi"/>
          <w:lang w:val="fr-FR" w:eastAsia="en-US"/>
        </w:rPr>
        <w:t>28.4.3.5</w:t>
      </w:r>
      <w:r w:rsidRPr="005F0E87">
        <w:rPr>
          <w:rFonts w:eastAsiaTheme="minorHAnsi"/>
          <w:lang w:val="fr-FR" w:eastAsia="en-US"/>
        </w:rPr>
        <w:tab/>
        <w:t>Dans la ligne de titre du tableau, pour la quatrième colonne, remplacer « mW/</w:t>
      </w:r>
      <w:proofErr w:type="spellStart"/>
      <w:r w:rsidRPr="005F0E87">
        <w:rPr>
          <w:rFonts w:eastAsiaTheme="minorHAnsi"/>
          <w:lang w:val="fr-FR" w:eastAsia="en-US"/>
        </w:rPr>
        <w:t>kg.K</w:t>
      </w:r>
      <w:proofErr w:type="spellEnd"/>
      <w:r w:rsidRPr="005F0E87">
        <w:rPr>
          <w:rFonts w:eastAsiaTheme="minorHAnsi"/>
          <w:lang w:val="fr-FR" w:eastAsia="en-US"/>
        </w:rPr>
        <w:t> » par « </w:t>
      </w:r>
      <w:r w:rsidRPr="005F0E87">
        <w:rPr>
          <w:rFonts w:eastAsia="SimSun"/>
          <w:lang w:eastAsia="fr-FR"/>
        </w:rPr>
        <w:t>mW/K.kg ».</w:t>
      </w:r>
    </w:p>
    <w:p w14:paraId="4DE91125" w14:textId="77777777" w:rsidR="005F0E87" w:rsidRPr="005F0E87" w:rsidRDefault="005F0E87" w:rsidP="00C82A88">
      <w:pPr>
        <w:tabs>
          <w:tab w:val="left" w:pos="2268"/>
        </w:tabs>
        <w:spacing w:after="120"/>
        <w:ind w:left="2268" w:right="1134" w:hanging="1134"/>
        <w:jc w:val="both"/>
        <w:rPr>
          <w:rFonts w:eastAsiaTheme="minorHAnsi"/>
          <w:lang w:eastAsia="en-US"/>
        </w:rPr>
      </w:pPr>
      <w:r w:rsidRPr="005F0E87">
        <w:rPr>
          <w:rFonts w:eastAsiaTheme="minorHAnsi"/>
          <w:lang w:val="fr-FR" w:eastAsia="en-US"/>
        </w:rPr>
        <w:tab/>
        <w:t>Insérer un renvoi à une note « a » à côté du nom de toutes les matières actuellement énumérées dans le tableau et ajouter les rubriques suivantes à la fin :</w:t>
      </w:r>
    </w:p>
    <w:tbl>
      <w:tblPr>
        <w:tblW w:w="7370" w:type="dxa"/>
        <w:tblInd w:w="1134" w:type="dxa"/>
        <w:tblLayout w:type="fixed"/>
        <w:tblCellMar>
          <w:left w:w="0" w:type="dxa"/>
          <w:right w:w="0" w:type="dxa"/>
        </w:tblCellMar>
        <w:tblLook w:val="0000" w:firstRow="0" w:lastRow="0" w:firstColumn="0" w:lastColumn="0" w:noHBand="0" w:noVBand="0"/>
      </w:tblPr>
      <w:tblGrid>
        <w:gridCol w:w="2978"/>
        <w:gridCol w:w="1098"/>
        <w:gridCol w:w="1098"/>
        <w:gridCol w:w="1098"/>
        <w:gridCol w:w="1098"/>
      </w:tblGrid>
      <w:tr w:rsidR="005F0E87" w:rsidRPr="005F0E87" w14:paraId="1C01F812" w14:textId="77777777" w:rsidTr="00BD3338">
        <w:trPr>
          <w:cantSplit/>
          <w:tblHeader/>
        </w:trPr>
        <w:tc>
          <w:tcPr>
            <w:tcW w:w="2020" w:type="pct"/>
            <w:tcBorders>
              <w:top w:val="single" w:sz="4" w:space="0" w:color="auto"/>
              <w:bottom w:val="single" w:sz="12" w:space="0" w:color="auto"/>
            </w:tcBorders>
            <w:shd w:val="clear" w:color="auto" w:fill="auto"/>
            <w:vAlign w:val="bottom"/>
          </w:tcPr>
          <w:p w14:paraId="01439FB2" w14:textId="77777777" w:rsidR="005F0E87" w:rsidRPr="005F0E87" w:rsidRDefault="005F0E87" w:rsidP="005F0E87">
            <w:pPr>
              <w:suppressAutoHyphens w:val="0"/>
              <w:spacing w:before="80" w:after="80" w:line="200" w:lineRule="exact"/>
              <w:rPr>
                <w:rFonts w:eastAsiaTheme="minorHAnsi"/>
                <w:b/>
                <w:i/>
                <w:sz w:val="16"/>
                <w:lang w:val="en-GB" w:eastAsia="en-US"/>
              </w:rPr>
            </w:pPr>
            <w:r w:rsidRPr="005F0E87">
              <w:rPr>
                <w:rFonts w:eastAsiaTheme="minorHAnsi"/>
                <w:b/>
                <w:i/>
                <w:sz w:val="16"/>
                <w:lang w:val="fr-FR" w:eastAsia="en-US"/>
              </w:rPr>
              <w:t>Matière</w:t>
            </w:r>
          </w:p>
        </w:tc>
        <w:tc>
          <w:tcPr>
            <w:tcW w:w="745" w:type="pct"/>
            <w:tcBorders>
              <w:top w:val="single" w:sz="4" w:space="0" w:color="auto"/>
              <w:bottom w:val="single" w:sz="12" w:space="0" w:color="auto"/>
            </w:tcBorders>
            <w:shd w:val="clear" w:color="auto" w:fill="auto"/>
            <w:vAlign w:val="bottom"/>
          </w:tcPr>
          <w:p w14:paraId="1A522EAE"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Masse (kg)</w:t>
            </w:r>
          </w:p>
        </w:tc>
        <w:tc>
          <w:tcPr>
            <w:tcW w:w="745" w:type="pct"/>
            <w:tcBorders>
              <w:top w:val="single" w:sz="4" w:space="0" w:color="auto"/>
              <w:bottom w:val="single" w:sz="12" w:space="0" w:color="auto"/>
            </w:tcBorders>
            <w:shd w:val="clear" w:color="auto" w:fill="auto"/>
            <w:vAlign w:val="bottom"/>
          </w:tcPr>
          <w:p w14:paraId="5DD599D5"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Emballage</w:t>
            </w:r>
          </w:p>
        </w:tc>
        <w:tc>
          <w:tcPr>
            <w:tcW w:w="745" w:type="pct"/>
            <w:tcBorders>
              <w:top w:val="single" w:sz="4" w:space="0" w:color="auto"/>
              <w:bottom w:val="single" w:sz="12" w:space="0" w:color="auto"/>
            </w:tcBorders>
            <w:shd w:val="clear" w:color="auto" w:fill="auto"/>
            <w:vAlign w:val="bottom"/>
          </w:tcPr>
          <w:p w14:paraId="667B76CD" w14:textId="77777777" w:rsidR="005F0E87" w:rsidRPr="005F0E87" w:rsidRDefault="005F0E87" w:rsidP="005F0E87">
            <w:pPr>
              <w:suppressAutoHyphens w:val="0"/>
              <w:spacing w:before="80" w:after="80" w:line="200" w:lineRule="exact"/>
              <w:jc w:val="right"/>
              <w:rPr>
                <w:rFonts w:eastAsiaTheme="minorHAnsi"/>
                <w:b/>
                <w:i/>
                <w:sz w:val="16"/>
                <w:lang w:eastAsia="en-US"/>
              </w:rPr>
            </w:pPr>
            <w:r w:rsidRPr="005F0E87">
              <w:rPr>
                <w:rFonts w:eastAsiaTheme="minorHAnsi"/>
                <w:b/>
                <w:i/>
                <w:sz w:val="16"/>
                <w:lang w:val="fr-FR" w:eastAsia="en-US"/>
              </w:rPr>
              <w:t xml:space="preserve">Perte de chaleur </w:t>
            </w:r>
            <w:r w:rsidRPr="005F0E87">
              <w:rPr>
                <w:rFonts w:eastAsiaTheme="minorHAnsi"/>
                <w:b/>
                <w:i/>
                <w:sz w:val="16"/>
                <w:lang w:val="fr-FR" w:eastAsia="en-US"/>
              </w:rPr>
              <w:br/>
              <w:t xml:space="preserve">par unité </w:t>
            </w:r>
            <w:r w:rsidRPr="005F0E87">
              <w:rPr>
                <w:rFonts w:eastAsiaTheme="minorHAnsi"/>
                <w:b/>
                <w:i/>
                <w:sz w:val="16"/>
                <w:lang w:val="fr-FR" w:eastAsia="en-US"/>
              </w:rPr>
              <w:br/>
              <w:t>de masse (mW/K.kg)</w:t>
            </w:r>
          </w:p>
        </w:tc>
        <w:tc>
          <w:tcPr>
            <w:tcW w:w="746" w:type="pct"/>
            <w:tcBorders>
              <w:top w:val="single" w:sz="4" w:space="0" w:color="auto"/>
              <w:bottom w:val="single" w:sz="12" w:space="0" w:color="auto"/>
            </w:tcBorders>
            <w:shd w:val="clear" w:color="auto" w:fill="auto"/>
            <w:vAlign w:val="bottom"/>
          </w:tcPr>
          <w:p w14:paraId="298986B8"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TDAA/TPAA (°C)</w:t>
            </w:r>
          </w:p>
        </w:tc>
      </w:tr>
      <w:tr w:rsidR="005F0E87" w:rsidRPr="005F0E87" w14:paraId="4F2E0BFA" w14:textId="77777777" w:rsidTr="00BD3338">
        <w:trPr>
          <w:cantSplit/>
        </w:trPr>
        <w:tc>
          <w:tcPr>
            <w:tcW w:w="2020" w:type="pct"/>
            <w:tcBorders>
              <w:top w:val="single" w:sz="12" w:space="0" w:color="auto"/>
            </w:tcBorders>
            <w:shd w:val="clear" w:color="auto" w:fill="auto"/>
          </w:tcPr>
          <w:p w14:paraId="129678FF" w14:textId="77777777" w:rsidR="005F0E87" w:rsidRPr="005F0E87" w:rsidRDefault="005F0E87" w:rsidP="005F0E87">
            <w:pPr>
              <w:suppressAutoHyphens w:val="0"/>
              <w:spacing w:before="40" w:after="40" w:line="220" w:lineRule="exact"/>
              <w:rPr>
                <w:rFonts w:eastAsiaTheme="minorHAnsi"/>
                <w:sz w:val="18"/>
                <w:lang w:val="en-GB" w:eastAsia="en-US"/>
              </w:rPr>
            </w:pPr>
            <w:proofErr w:type="spellStart"/>
            <w:r w:rsidRPr="005F0E87">
              <w:rPr>
                <w:rFonts w:eastAsiaTheme="minorHAnsi"/>
                <w:sz w:val="18"/>
                <w:lang w:val="fr-FR" w:eastAsia="en-US"/>
              </w:rPr>
              <w:t>Peroxyneodecanoate</w:t>
            </w:r>
            <w:proofErr w:type="spellEnd"/>
            <w:r w:rsidRPr="005F0E87">
              <w:rPr>
                <w:rFonts w:eastAsiaTheme="minorHAnsi"/>
                <w:sz w:val="18"/>
                <w:lang w:val="fr-FR" w:eastAsia="en-US"/>
              </w:rPr>
              <w:t xml:space="preserve"> de </w:t>
            </w:r>
            <w:proofErr w:type="spellStart"/>
            <w:r w:rsidRPr="005F0E87">
              <w:rPr>
                <w:rFonts w:eastAsiaTheme="minorHAnsi"/>
                <w:sz w:val="18"/>
                <w:lang w:val="fr-FR" w:eastAsia="en-US"/>
              </w:rPr>
              <w:t>cumyle</w:t>
            </w:r>
            <w:proofErr w:type="spellEnd"/>
            <w:r w:rsidRPr="005F0E87">
              <w:rPr>
                <w:rFonts w:eastAsiaTheme="minorHAnsi"/>
                <w:sz w:val="18"/>
                <w:lang w:val="fr-FR" w:eastAsia="en-US"/>
              </w:rPr>
              <w:t xml:space="preserve"> (75 %)</w:t>
            </w:r>
          </w:p>
        </w:tc>
        <w:tc>
          <w:tcPr>
            <w:tcW w:w="745" w:type="pct"/>
            <w:tcBorders>
              <w:top w:val="single" w:sz="12" w:space="0" w:color="auto"/>
            </w:tcBorders>
            <w:shd w:val="clear" w:color="auto" w:fill="auto"/>
            <w:vAlign w:val="bottom"/>
          </w:tcPr>
          <w:p w14:paraId="31AC99CA"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25</w:t>
            </w:r>
          </w:p>
        </w:tc>
        <w:tc>
          <w:tcPr>
            <w:tcW w:w="745" w:type="pct"/>
            <w:tcBorders>
              <w:top w:val="single" w:sz="12" w:space="0" w:color="auto"/>
            </w:tcBorders>
            <w:shd w:val="clear" w:color="auto" w:fill="auto"/>
            <w:vAlign w:val="bottom"/>
          </w:tcPr>
          <w:p w14:paraId="4594BB57"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3H1</w:t>
            </w:r>
          </w:p>
        </w:tc>
        <w:tc>
          <w:tcPr>
            <w:tcW w:w="745" w:type="pct"/>
            <w:tcBorders>
              <w:top w:val="single" w:sz="12" w:space="0" w:color="auto"/>
            </w:tcBorders>
            <w:shd w:val="clear" w:color="auto" w:fill="auto"/>
            <w:vAlign w:val="bottom"/>
          </w:tcPr>
          <w:p w14:paraId="75E3D417"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40</w:t>
            </w:r>
          </w:p>
        </w:tc>
        <w:tc>
          <w:tcPr>
            <w:tcW w:w="746" w:type="pct"/>
            <w:tcBorders>
              <w:top w:val="single" w:sz="12" w:space="0" w:color="auto"/>
            </w:tcBorders>
            <w:shd w:val="clear" w:color="auto" w:fill="auto"/>
            <w:vAlign w:val="bottom"/>
          </w:tcPr>
          <w:p w14:paraId="404C6E3E"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10</w:t>
            </w:r>
          </w:p>
        </w:tc>
      </w:tr>
      <w:tr w:rsidR="005F0E87" w:rsidRPr="005F0E87" w14:paraId="5B800DAC" w14:textId="77777777" w:rsidTr="00BD3338">
        <w:trPr>
          <w:cantSplit/>
        </w:trPr>
        <w:tc>
          <w:tcPr>
            <w:tcW w:w="2020" w:type="pct"/>
            <w:shd w:val="clear" w:color="auto" w:fill="auto"/>
          </w:tcPr>
          <w:p w14:paraId="348E4C4A" w14:textId="77777777" w:rsidR="005F0E87" w:rsidRPr="005F0E87" w:rsidRDefault="005F0E87" w:rsidP="005F0E87">
            <w:pPr>
              <w:suppressAutoHyphens w:val="0"/>
              <w:spacing w:before="40" w:after="40" w:line="220" w:lineRule="exact"/>
              <w:rPr>
                <w:rFonts w:eastAsiaTheme="minorHAnsi"/>
                <w:sz w:val="18"/>
                <w:lang w:val="en-GB" w:eastAsia="en-US"/>
              </w:rPr>
            </w:pPr>
            <w:proofErr w:type="spellStart"/>
            <w:r w:rsidRPr="005F0E87">
              <w:rPr>
                <w:rFonts w:eastAsiaTheme="minorHAnsi"/>
                <w:sz w:val="18"/>
                <w:lang w:val="fr-FR" w:eastAsia="en-US"/>
              </w:rPr>
              <w:t>peroxynéodécanoate</w:t>
            </w:r>
            <w:proofErr w:type="spellEnd"/>
            <w:r w:rsidRPr="005F0E87">
              <w:rPr>
                <w:rFonts w:eastAsiaTheme="minorHAnsi"/>
                <w:sz w:val="18"/>
                <w:lang w:val="fr-FR" w:eastAsia="en-US"/>
              </w:rPr>
              <w:t xml:space="preserve"> de </w:t>
            </w:r>
            <w:proofErr w:type="spellStart"/>
            <w:r w:rsidRPr="005F0E87">
              <w:rPr>
                <w:rFonts w:eastAsiaTheme="minorHAnsi"/>
                <w:sz w:val="18"/>
                <w:lang w:val="fr-FR" w:eastAsia="en-US"/>
              </w:rPr>
              <w:t>tert</w:t>
            </w:r>
            <w:proofErr w:type="spellEnd"/>
            <w:r w:rsidRPr="005F0E87">
              <w:rPr>
                <w:rFonts w:eastAsiaTheme="minorHAnsi"/>
                <w:sz w:val="18"/>
                <w:lang w:val="fr-FR" w:eastAsia="en-US"/>
              </w:rPr>
              <w:t>-butyle</w:t>
            </w:r>
          </w:p>
        </w:tc>
        <w:tc>
          <w:tcPr>
            <w:tcW w:w="745" w:type="pct"/>
            <w:shd w:val="clear" w:color="auto" w:fill="auto"/>
            <w:vAlign w:val="bottom"/>
          </w:tcPr>
          <w:p w14:paraId="52117DE3"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25</w:t>
            </w:r>
          </w:p>
        </w:tc>
        <w:tc>
          <w:tcPr>
            <w:tcW w:w="745" w:type="pct"/>
            <w:shd w:val="clear" w:color="auto" w:fill="auto"/>
            <w:vAlign w:val="bottom"/>
          </w:tcPr>
          <w:p w14:paraId="0417407D"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3H1</w:t>
            </w:r>
          </w:p>
        </w:tc>
        <w:tc>
          <w:tcPr>
            <w:tcW w:w="745" w:type="pct"/>
            <w:shd w:val="clear" w:color="auto" w:fill="auto"/>
            <w:vAlign w:val="bottom"/>
          </w:tcPr>
          <w:p w14:paraId="0B11B8C8"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40</w:t>
            </w:r>
          </w:p>
        </w:tc>
        <w:tc>
          <w:tcPr>
            <w:tcW w:w="746" w:type="pct"/>
            <w:shd w:val="clear" w:color="auto" w:fill="auto"/>
            <w:vAlign w:val="bottom"/>
          </w:tcPr>
          <w:p w14:paraId="41EA7B11"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15</w:t>
            </w:r>
          </w:p>
        </w:tc>
      </w:tr>
      <w:tr w:rsidR="005F0E87" w:rsidRPr="005F0E87" w14:paraId="298DA65F" w14:textId="77777777" w:rsidTr="00BD3338">
        <w:trPr>
          <w:cantSplit/>
        </w:trPr>
        <w:tc>
          <w:tcPr>
            <w:tcW w:w="2020" w:type="pct"/>
            <w:tcBorders>
              <w:bottom w:val="single" w:sz="12" w:space="0" w:color="auto"/>
            </w:tcBorders>
            <w:shd w:val="clear" w:color="auto" w:fill="auto"/>
          </w:tcPr>
          <w:p w14:paraId="5A9958CC" w14:textId="77777777" w:rsidR="005F0E87" w:rsidRPr="005F0E87" w:rsidRDefault="005F0E87" w:rsidP="005F0E87">
            <w:pPr>
              <w:suppressAutoHyphens w:val="0"/>
              <w:spacing w:before="40" w:after="40" w:line="220" w:lineRule="exact"/>
              <w:rPr>
                <w:rFonts w:eastAsiaTheme="minorHAnsi"/>
                <w:sz w:val="18"/>
                <w:lang w:val="en-GB" w:eastAsia="en-US"/>
              </w:rPr>
            </w:pPr>
            <w:r w:rsidRPr="005F0E87">
              <w:rPr>
                <w:rFonts w:eastAsiaTheme="minorHAnsi"/>
                <w:sz w:val="18"/>
                <w:lang w:val="fr-FR" w:eastAsia="en-US"/>
              </w:rPr>
              <w:t>N-</w:t>
            </w:r>
            <w:proofErr w:type="spellStart"/>
            <w:r w:rsidRPr="005F0E87">
              <w:rPr>
                <w:rFonts w:eastAsiaTheme="minorHAnsi"/>
                <w:sz w:val="18"/>
                <w:lang w:val="fr-FR" w:eastAsia="en-US"/>
              </w:rPr>
              <w:t>Vinylformamide</w:t>
            </w:r>
            <w:proofErr w:type="spellEnd"/>
          </w:p>
        </w:tc>
        <w:tc>
          <w:tcPr>
            <w:tcW w:w="745" w:type="pct"/>
            <w:tcBorders>
              <w:bottom w:val="single" w:sz="12" w:space="0" w:color="auto"/>
            </w:tcBorders>
            <w:shd w:val="clear" w:color="auto" w:fill="auto"/>
            <w:vAlign w:val="bottom"/>
          </w:tcPr>
          <w:p w14:paraId="47F077BB"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1000</w:t>
            </w:r>
          </w:p>
        </w:tc>
        <w:tc>
          <w:tcPr>
            <w:tcW w:w="745" w:type="pct"/>
            <w:tcBorders>
              <w:bottom w:val="single" w:sz="12" w:space="0" w:color="auto"/>
            </w:tcBorders>
            <w:shd w:val="clear" w:color="auto" w:fill="auto"/>
            <w:vAlign w:val="bottom"/>
          </w:tcPr>
          <w:p w14:paraId="6F2E10CE"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31H1</w:t>
            </w:r>
          </w:p>
        </w:tc>
        <w:tc>
          <w:tcPr>
            <w:tcW w:w="745" w:type="pct"/>
            <w:tcBorders>
              <w:bottom w:val="single" w:sz="12" w:space="0" w:color="auto"/>
            </w:tcBorders>
            <w:shd w:val="clear" w:color="auto" w:fill="auto"/>
            <w:vAlign w:val="bottom"/>
          </w:tcPr>
          <w:p w14:paraId="5547A0CD"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33</w:t>
            </w:r>
          </w:p>
        </w:tc>
        <w:tc>
          <w:tcPr>
            <w:tcW w:w="746" w:type="pct"/>
            <w:tcBorders>
              <w:bottom w:val="single" w:sz="12" w:space="0" w:color="auto"/>
            </w:tcBorders>
            <w:shd w:val="clear" w:color="auto" w:fill="auto"/>
            <w:vAlign w:val="bottom"/>
          </w:tcPr>
          <w:p w14:paraId="37F0BCF4"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55</w:t>
            </w:r>
          </w:p>
        </w:tc>
      </w:tr>
    </w:tbl>
    <w:p w14:paraId="3A345A29" w14:textId="032A50F9" w:rsidR="005F0E87" w:rsidRPr="005F0E87" w:rsidRDefault="00C82A88" w:rsidP="00C82A88">
      <w:pPr>
        <w:keepNext/>
        <w:keepLines/>
        <w:spacing w:before="240" w:after="120"/>
        <w:ind w:left="2268" w:right="1134" w:hanging="1134"/>
        <w:jc w:val="both"/>
        <w:rPr>
          <w:rFonts w:eastAsiaTheme="minorHAnsi"/>
          <w:lang w:eastAsia="en-US"/>
        </w:rPr>
      </w:pPr>
      <w:r>
        <w:rPr>
          <w:rFonts w:eastAsiaTheme="minorHAnsi"/>
          <w:lang w:val="fr-FR" w:eastAsia="en-US"/>
        </w:rPr>
        <w:tab/>
      </w:r>
      <w:r w:rsidR="005F0E87" w:rsidRPr="005F0E87">
        <w:rPr>
          <w:rFonts w:eastAsiaTheme="minorHAnsi"/>
          <w:lang w:val="fr-FR" w:eastAsia="en-US"/>
        </w:rPr>
        <w:t>Ajouter la note « a » suivante sous le tableau :</w:t>
      </w:r>
    </w:p>
    <w:p w14:paraId="0573B3F6" w14:textId="0971162F" w:rsidR="005F0E87" w:rsidRPr="005F0E87" w:rsidRDefault="005F0E87" w:rsidP="005F0E87">
      <w:pPr>
        <w:spacing w:after="240"/>
        <w:ind w:left="1134" w:right="1134"/>
        <w:jc w:val="both"/>
        <w:rPr>
          <w:rFonts w:eastAsiaTheme="minorHAnsi"/>
          <w:lang w:eastAsia="en-US"/>
        </w:rPr>
      </w:pPr>
      <w:r w:rsidRPr="005F0E87">
        <w:rPr>
          <w:rFonts w:eastAsiaTheme="minorHAnsi"/>
          <w:lang w:eastAsia="en-US"/>
        </w:rPr>
        <w:t>«</w:t>
      </w:r>
      <w:r w:rsidRPr="005F0E87">
        <w:rPr>
          <w:rFonts w:eastAsiaTheme="minorHAnsi"/>
          <w:lang w:val="fr-FR" w:eastAsia="en-US"/>
        </w:rPr>
        <w:t> </w:t>
      </w:r>
      <w:r w:rsidRPr="005F0E87">
        <w:rPr>
          <w:rFonts w:eastAsiaTheme="minorHAnsi"/>
          <w:vertAlign w:val="superscript"/>
          <w:lang w:val="fr-FR" w:eastAsia="en-US"/>
        </w:rPr>
        <w:t>a</w:t>
      </w:r>
      <w:r w:rsidRPr="005F0E87">
        <w:rPr>
          <w:rFonts w:eastAsiaTheme="minorHAnsi"/>
          <w:lang w:val="fr-FR" w:eastAsia="en-US"/>
        </w:rPr>
        <w:t xml:space="preserve"> </w:t>
      </w:r>
      <w:r w:rsidR="00C82A88">
        <w:rPr>
          <w:rFonts w:eastAsiaTheme="minorHAnsi"/>
          <w:lang w:val="fr-FR" w:eastAsia="en-US"/>
        </w:rPr>
        <w:tab/>
      </w:r>
      <w:r w:rsidRPr="005F0E87">
        <w:rPr>
          <w:rFonts w:eastAsiaTheme="minorHAnsi"/>
          <w:i/>
          <w:iCs/>
          <w:lang w:val="fr-FR" w:eastAsia="en-US"/>
        </w:rPr>
        <w:t>Dans ces exemples tirés d’épreuves passées, la TDAA ou la TPAA ont été déterminées avec des pertes de chaleur supérieures à celles qui sont actuellement recommandées aux fins de la classification (voir tableau 28.4)</w:t>
      </w:r>
      <w:r w:rsidRPr="005F0E87">
        <w:rPr>
          <w:rFonts w:eastAsiaTheme="minorHAnsi"/>
          <w:lang w:val="fr-FR" w:eastAsia="en-US"/>
        </w:rPr>
        <w:t>. </w:t>
      </w:r>
      <w:r w:rsidRPr="005F0E87">
        <w:rPr>
          <w:rFonts w:eastAsiaTheme="minorHAnsi"/>
          <w:lang w:eastAsia="en-US"/>
        </w:rPr>
        <w:t>»</w:t>
      </w:r>
    </w:p>
    <w:p w14:paraId="42CB8868" w14:textId="7DDFDE98" w:rsidR="005F0E87" w:rsidRDefault="005F0E87" w:rsidP="005F0E87">
      <w:pPr>
        <w:spacing w:after="120"/>
        <w:ind w:left="1134" w:right="1134"/>
        <w:jc w:val="both"/>
        <w:rPr>
          <w:rFonts w:eastAsiaTheme="minorHAnsi"/>
          <w:lang w:val="fr-FR" w:eastAsia="en-US"/>
        </w:rPr>
      </w:pPr>
      <w:r w:rsidRPr="005F0E87">
        <w:rPr>
          <w:rFonts w:eastAsiaTheme="minorHAnsi"/>
          <w:lang w:val="fr-FR" w:eastAsia="en-US"/>
        </w:rPr>
        <w:t>Figures 28.4.3.1 et 28.4.3.2 actuelles</w:t>
      </w:r>
      <w:r w:rsidRPr="005F0E87">
        <w:rPr>
          <w:rFonts w:eastAsiaTheme="minorHAnsi"/>
          <w:lang w:val="fr-FR" w:eastAsia="en-US"/>
        </w:rPr>
        <w:tab/>
        <w:t>Supprimer.</w:t>
      </w:r>
    </w:p>
    <w:p w14:paraId="153CE5C9" w14:textId="70FD8657" w:rsidR="005F0E87" w:rsidRPr="005F0E87" w:rsidRDefault="005F0E87" w:rsidP="005F0E87">
      <w:pPr>
        <w:keepNext/>
        <w:keepLines/>
        <w:spacing w:after="120"/>
        <w:ind w:left="1134" w:right="1134"/>
        <w:jc w:val="both"/>
        <w:rPr>
          <w:rFonts w:eastAsiaTheme="minorHAnsi"/>
          <w:lang w:eastAsia="en-US"/>
        </w:rPr>
      </w:pPr>
      <w:r w:rsidRPr="005F0E87">
        <w:rPr>
          <w:rFonts w:eastAsiaTheme="minorHAnsi"/>
          <w:lang w:val="fr-FR" w:eastAsia="en-US"/>
        </w:rPr>
        <w:lastRenderedPageBreak/>
        <w:t>Ajouter la nouvelle figure 28.4.3.2 suivante :</w:t>
      </w:r>
    </w:p>
    <w:p w14:paraId="5C4807FD" w14:textId="328D9A12" w:rsidR="005F0E87" w:rsidRDefault="005F0E87" w:rsidP="005F0E87">
      <w:pPr>
        <w:keepNext/>
        <w:keepLines/>
        <w:spacing w:after="120"/>
        <w:ind w:left="1134" w:right="1134"/>
        <w:jc w:val="both"/>
        <w:rPr>
          <w:rFonts w:eastAsiaTheme="minorHAnsi"/>
          <w:b/>
          <w:bCs/>
          <w:lang w:val="fr-FR" w:eastAsia="en-US"/>
        </w:rPr>
      </w:pPr>
      <w:r w:rsidRPr="005F0E87">
        <w:rPr>
          <w:rFonts w:eastAsiaTheme="minorHAnsi"/>
          <w:b/>
          <w:bCs/>
          <w:lang w:val="fr-FR" w:eastAsia="en-US"/>
        </w:rPr>
        <w:t>« Figure 28.4.3.2</w:t>
      </w:r>
      <w:r w:rsidRPr="005F0E87">
        <w:rPr>
          <w:rFonts w:eastAsiaTheme="minorHAnsi"/>
          <w:b/>
          <w:bCs/>
          <w:lang w:val="fr-FR" w:eastAsia="en-US"/>
        </w:rPr>
        <w:tab/>
        <w:t>Exemple de détermination de la TDAA ou de la TPAA</w:t>
      </w:r>
    </w:p>
    <w:p w14:paraId="5267690C" w14:textId="078749BB" w:rsidR="005F0E87" w:rsidRPr="005F0E87" w:rsidRDefault="005F0E87" w:rsidP="005F0E87">
      <w:pPr>
        <w:spacing w:after="120"/>
        <w:ind w:left="1134" w:right="1134"/>
        <w:jc w:val="right"/>
        <w:rPr>
          <w:rFonts w:eastAsiaTheme="minorHAnsi"/>
          <w:b/>
          <w:bCs/>
          <w:lang w:val="en-GB" w:eastAsia="en-US"/>
        </w:rPr>
      </w:pPr>
      <w:r w:rsidRPr="005F0E87">
        <w:rPr>
          <w:rFonts w:eastAsiaTheme="minorHAnsi"/>
          <w:lang w:eastAsia="en-US"/>
        </w:rPr>
        <w:t xml:space="preserve"> </w:t>
      </w:r>
      <w:r w:rsidR="00CB3B4F" w:rsidRPr="005F0E87">
        <w:rPr>
          <w:rFonts w:eastAsiaTheme="minorHAnsi"/>
          <w:lang w:val="en-GB" w:eastAsia="en-US"/>
        </w:rPr>
        <w:object w:dxaOrig="5997" w:dyaOrig="5135" w14:anchorId="31858C5F">
          <v:shape id="_x0000_i1027" type="#_x0000_t75" style="width:330pt;height:282pt" o:ole="">
            <v:imagedata r:id="rId23" o:title=""/>
          </v:shape>
          <o:OLEObject Type="Embed" ProgID="Visio.Drawing.15" ShapeID="_x0000_i1027" DrawAspect="Content" ObjectID="_1678082083" r:id="rId24"/>
        </w:objec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7"/>
        <w:gridCol w:w="14"/>
        <w:gridCol w:w="2755"/>
        <w:gridCol w:w="93"/>
        <w:gridCol w:w="666"/>
        <w:gridCol w:w="8"/>
        <w:gridCol w:w="3028"/>
        <w:gridCol w:w="19"/>
      </w:tblGrid>
      <w:tr w:rsidR="005F0E87" w:rsidRPr="005F0E87" w14:paraId="0F8AAFEC" w14:textId="77777777" w:rsidTr="00BD3338">
        <w:trPr>
          <w:gridAfter w:val="1"/>
          <w:wAfter w:w="19" w:type="dxa"/>
          <w:trHeight w:hRule="exact" w:val="113"/>
        </w:trPr>
        <w:tc>
          <w:tcPr>
            <w:tcW w:w="801" w:type="dxa"/>
            <w:gridSpan w:val="2"/>
            <w:tcBorders>
              <w:top w:val="single" w:sz="12" w:space="0" w:color="auto"/>
            </w:tcBorders>
            <w:shd w:val="clear" w:color="auto" w:fill="auto"/>
          </w:tcPr>
          <w:p w14:paraId="6435E007" w14:textId="77777777" w:rsidR="005F0E87" w:rsidRPr="005F0E87" w:rsidRDefault="005F0E87" w:rsidP="005F0E87">
            <w:pPr>
              <w:spacing w:before="40" w:after="120"/>
              <w:ind w:right="113"/>
              <w:rPr>
                <w:lang w:val="en-US"/>
              </w:rPr>
            </w:pPr>
          </w:p>
        </w:tc>
        <w:tc>
          <w:tcPr>
            <w:tcW w:w="2848" w:type="dxa"/>
            <w:gridSpan w:val="2"/>
            <w:tcBorders>
              <w:top w:val="single" w:sz="12" w:space="0" w:color="auto"/>
            </w:tcBorders>
            <w:shd w:val="clear" w:color="auto" w:fill="auto"/>
          </w:tcPr>
          <w:p w14:paraId="01E05140" w14:textId="77777777" w:rsidR="005F0E87" w:rsidRPr="005F0E87" w:rsidRDefault="005F0E87" w:rsidP="005F0E87">
            <w:pPr>
              <w:spacing w:before="40" w:after="120"/>
              <w:ind w:right="113"/>
              <w:rPr>
                <w:lang w:val="en-US"/>
              </w:rPr>
            </w:pPr>
          </w:p>
        </w:tc>
        <w:tc>
          <w:tcPr>
            <w:tcW w:w="666" w:type="dxa"/>
            <w:tcBorders>
              <w:top w:val="single" w:sz="12" w:space="0" w:color="auto"/>
            </w:tcBorders>
            <w:shd w:val="clear" w:color="auto" w:fill="auto"/>
          </w:tcPr>
          <w:p w14:paraId="1599BC86" w14:textId="77777777" w:rsidR="005F0E87" w:rsidRPr="005F0E87" w:rsidRDefault="005F0E87" w:rsidP="005F0E87">
            <w:pPr>
              <w:spacing w:before="40" w:after="120"/>
              <w:ind w:right="113"/>
              <w:rPr>
                <w:lang w:val="en-US"/>
              </w:rPr>
            </w:pPr>
          </w:p>
        </w:tc>
        <w:tc>
          <w:tcPr>
            <w:tcW w:w="3036" w:type="dxa"/>
            <w:gridSpan w:val="2"/>
            <w:tcBorders>
              <w:top w:val="single" w:sz="12" w:space="0" w:color="auto"/>
            </w:tcBorders>
            <w:shd w:val="clear" w:color="auto" w:fill="auto"/>
          </w:tcPr>
          <w:p w14:paraId="45E223F8" w14:textId="77777777" w:rsidR="005F0E87" w:rsidRPr="005F0E87" w:rsidRDefault="005F0E87" w:rsidP="005F0E87">
            <w:pPr>
              <w:spacing w:before="40" w:after="120"/>
              <w:ind w:right="113"/>
              <w:rPr>
                <w:iCs/>
                <w:lang w:val="en-US"/>
              </w:rPr>
            </w:pPr>
          </w:p>
        </w:tc>
      </w:tr>
      <w:tr w:rsidR="005F0E87" w:rsidRPr="005F0E87" w14:paraId="4CCC1D05" w14:textId="77777777" w:rsidTr="00BD3338">
        <w:tc>
          <w:tcPr>
            <w:tcW w:w="787" w:type="dxa"/>
            <w:shd w:val="clear" w:color="auto" w:fill="auto"/>
          </w:tcPr>
          <w:p w14:paraId="568BA782" w14:textId="77777777" w:rsidR="005F0E87" w:rsidRPr="005F0E87" w:rsidRDefault="005F0E87" w:rsidP="005F0E87">
            <w:pPr>
              <w:spacing w:before="40" w:after="120"/>
              <w:ind w:right="113"/>
              <w:rPr>
                <w:sz w:val="18"/>
                <w:szCs w:val="18"/>
                <w:lang w:val="en-US"/>
              </w:rPr>
            </w:pPr>
            <w:r w:rsidRPr="005F0E87">
              <w:rPr>
                <w:noProof/>
                <w:sz w:val="18"/>
                <w:szCs w:val="18"/>
                <w:lang w:val="en-US"/>
              </w:rPr>
              <mc:AlternateContent>
                <mc:Choice Requires="wps">
                  <w:drawing>
                    <wp:anchor distT="0" distB="0" distL="114300" distR="114300" simplePos="0" relativeHeight="251693056" behindDoc="0" locked="0" layoutInCell="1" allowOverlap="1" wp14:anchorId="711C98ED" wp14:editId="7123A598">
                      <wp:simplePos x="0" y="0"/>
                      <wp:positionH relativeFrom="column">
                        <wp:posOffset>20498</wp:posOffset>
                      </wp:positionH>
                      <wp:positionV relativeFrom="paragraph">
                        <wp:posOffset>71158</wp:posOffset>
                      </wp:positionV>
                      <wp:extent cx="521435" cy="0"/>
                      <wp:effectExtent l="0" t="0" r="0" b="0"/>
                      <wp:wrapNone/>
                      <wp:docPr id="9" name="Straight Connector 3"/>
                      <wp:cNvGraphicFramePr/>
                      <a:graphic xmlns:a="http://schemas.openxmlformats.org/drawingml/2006/main">
                        <a:graphicData uri="http://schemas.microsoft.com/office/word/2010/wordprocessingShape">
                          <wps:wsp>
                            <wps:cNvCnPr/>
                            <wps:spPr>
                              <a:xfrm>
                                <a:off x="0" y="0"/>
                                <a:ext cx="521435" cy="0"/>
                              </a:xfrm>
                              <a:prstGeom prst="line">
                                <a:avLst/>
                              </a:prstGeom>
                              <a:noFill/>
                              <a:ln w="19050" cap="flat" cmpd="sng" algn="ctr">
                                <a:solidFill>
                                  <a:sysClr val="windowText" lastClr="000000"/>
                                </a:solidFill>
                                <a:prstDash val="lgDashDot"/>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E9B0BBB" id="Straight Connector 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" strokecolor="windowText" strokeweight="1.5pt">
                      <v:stroke dashstyle="longDashDot"/>
                    </v:line>
                  </w:pict>
                </mc:Fallback>
              </mc:AlternateContent>
            </w:r>
          </w:p>
        </w:tc>
        <w:tc>
          <w:tcPr>
            <w:tcW w:w="2769" w:type="dxa"/>
            <w:gridSpan w:val="2"/>
            <w:shd w:val="clear" w:color="auto" w:fill="auto"/>
          </w:tcPr>
          <w:p w14:paraId="46A5F799" w14:textId="77777777" w:rsidR="005F0E87" w:rsidRPr="005F0E87" w:rsidRDefault="005F0E87" w:rsidP="005F0E87">
            <w:pPr>
              <w:spacing w:before="40" w:after="120"/>
              <w:ind w:right="113"/>
              <w:rPr>
                <w:sz w:val="18"/>
                <w:szCs w:val="18"/>
              </w:rPr>
            </w:pPr>
            <w:r w:rsidRPr="005F0E87">
              <w:rPr>
                <w:sz w:val="18"/>
                <w:szCs w:val="18"/>
                <w:lang w:val="fr-FR"/>
              </w:rPr>
              <w:t>Courbe de production de chaleur</w:t>
            </w:r>
          </w:p>
        </w:tc>
        <w:tc>
          <w:tcPr>
            <w:tcW w:w="767" w:type="dxa"/>
            <w:gridSpan w:val="3"/>
            <w:shd w:val="clear" w:color="auto" w:fill="auto"/>
          </w:tcPr>
          <w:p w14:paraId="68188C76" w14:textId="77777777" w:rsidR="005F0E87" w:rsidRPr="005F0E87" w:rsidRDefault="005F0E87" w:rsidP="005F0E87">
            <w:pPr>
              <w:spacing w:before="40" w:after="120"/>
              <w:ind w:right="113"/>
              <w:rPr>
                <w:sz w:val="18"/>
                <w:szCs w:val="18"/>
              </w:rPr>
            </w:pPr>
            <w:r w:rsidRPr="005F0E87">
              <w:rPr>
                <w:noProof/>
                <w:sz w:val="18"/>
                <w:szCs w:val="18"/>
                <w:lang w:val="en-US"/>
              </w:rPr>
              <mc:AlternateContent>
                <mc:Choice Requires="wps">
                  <w:drawing>
                    <wp:anchor distT="0" distB="0" distL="114300" distR="114300" simplePos="0" relativeHeight="251694080" behindDoc="0" locked="0" layoutInCell="1" allowOverlap="1" wp14:anchorId="7F94AED4" wp14:editId="0603E98A">
                      <wp:simplePos x="0" y="0"/>
                      <wp:positionH relativeFrom="column">
                        <wp:posOffset>-5253</wp:posOffset>
                      </wp:positionH>
                      <wp:positionV relativeFrom="paragraph">
                        <wp:posOffset>72101</wp:posOffset>
                      </wp:positionV>
                      <wp:extent cx="394854"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94854" cy="0"/>
                              </a:xfrm>
                              <a:prstGeom prst="line">
                                <a:avLst/>
                              </a:prstGeom>
                              <a:noFill/>
                              <a:ln w="19050" cap="flat" cmpd="sng" algn="ctr">
                                <a:solidFill>
                                  <a:sysClr val="windowText" lastClr="000000"/>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B7107E2" id="Straight Connector 1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pt" to="3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" strokecolor="windowText" strokeweight="1.5pt"/>
                  </w:pict>
                </mc:Fallback>
              </mc:AlternateContent>
            </w:r>
          </w:p>
        </w:tc>
        <w:tc>
          <w:tcPr>
            <w:tcW w:w="3047" w:type="dxa"/>
            <w:gridSpan w:val="2"/>
            <w:shd w:val="clear" w:color="auto" w:fill="auto"/>
          </w:tcPr>
          <w:p w14:paraId="10D16994" w14:textId="7BFD5457" w:rsidR="005F0E87" w:rsidRPr="005F0E87" w:rsidRDefault="005F0E87" w:rsidP="005F0E87">
            <w:pPr>
              <w:spacing w:before="40" w:after="120"/>
              <w:ind w:right="113"/>
              <w:rPr>
                <w:sz w:val="18"/>
                <w:szCs w:val="18"/>
              </w:rPr>
            </w:pPr>
            <w:r w:rsidRPr="005F0E87">
              <w:rPr>
                <w:sz w:val="18"/>
                <w:szCs w:val="18"/>
                <w:lang w:val="fr-FR"/>
              </w:rPr>
              <w:t xml:space="preserve">Courbe de perte de chaleur </w:t>
            </w:r>
            <w:r w:rsidRPr="005F0E87">
              <w:rPr>
                <w:sz w:val="18"/>
                <w:szCs w:val="18"/>
                <w:lang w:val="fr-FR"/>
              </w:rPr>
              <w:br/>
              <w:t xml:space="preserve">L = 0,06 </w:t>
            </w:r>
            <w:r w:rsidRPr="005F0E87">
              <w:rPr>
                <w:lang w:val="fr-FR"/>
              </w:rPr>
              <w:t>W/K.kg</w:t>
            </w:r>
          </w:p>
        </w:tc>
      </w:tr>
      <w:tr w:rsidR="005F0E87" w:rsidRPr="005F0E87" w14:paraId="4066B7F6" w14:textId="77777777" w:rsidTr="00BD3338">
        <w:tc>
          <w:tcPr>
            <w:tcW w:w="787" w:type="dxa"/>
            <w:tcBorders>
              <w:bottom w:val="single" w:sz="12" w:space="0" w:color="auto"/>
            </w:tcBorders>
            <w:shd w:val="clear" w:color="auto" w:fill="auto"/>
          </w:tcPr>
          <w:p w14:paraId="4D8222E1" w14:textId="77777777" w:rsidR="005F0E87" w:rsidRPr="005F0E87" w:rsidRDefault="005F0E87" w:rsidP="005F0E87">
            <w:pPr>
              <w:spacing w:before="40" w:after="120"/>
              <w:ind w:right="113"/>
              <w:rPr>
                <w:sz w:val="18"/>
                <w:szCs w:val="18"/>
                <w:lang w:val="en-US"/>
              </w:rPr>
            </w:pPr>
            <w:r w:rsidRPr="005F0E87">
              <w:rPr>
                <w:sz w:val="18"/>
                <w:szCs w:val="18"/>
                <w:lang w:val="fr-FR"/>
              </w:rPr>
              <w:t>(A)</w:t>
            </w:r>
          </w:p>
        </w:tc>
        <w:tc>
          <w:tcPr>
            <w:tcW w:w="2769" w:type="dxa"/>
            <w:gridSpan w:val="2"/>
            <w:tcBorders>
              <w:bottom w:val="single" w:sz="12" w:space="0" w:color="auto"/>
            </w:tcBorders>
            <w:shd w:val="clear" w:color="auto" w:fill="auto"/>
          </w:tcPr>
          <w:p w14:paraId="1480F851" w14:textId="77777777" w:rsidR="005F0E87" w:rsidRPr="005F0E87" w:rsidRDefault="005F0E87" w:rsidP="005F0E87">
            <w:pPr>
              <w:spacing w:before="40" w:after="120"/>
              <w:ind w:right="113"/>
              <w:rPr>
                <w:sz w:val="18"/>
                <w:szCs w:val="18"/>
              </w:rPr>
            </w:pPr>
            <w:r w:rsidRPr="005F0E87">
              <w:rPr>
                <w:sz w:val="18"/>
                <w:szCs w:val="18"/>
                <w:lang w:val="fr-FR"/>
              </w:rPr>
              <w:t xml:space="preserve">Température ambiante critique </w:t>
            </w:r>
            <w:r w:rsidRPr="005F0E87">
              <w:rPr>
                <w:sz w:val="18"/>
                <w:szCs w:val="18"/>
                <w:lang w:val="fr-FR"/>
              </w:rPr>
              <w:br/>
              <w:t>(au point d’intersection de la ligne de perte de chaleur et de l’axe des abscisses)</w:t>
            </w:r>
          </w:p>
        </w:tc>
        <w:tc>
          <w:tcPr>
            <w:tcW w:w="767" w:type="dxa"/>
            <w:gridSpan w:val="3"/>
            <w:tcBorders>
              <w:bottom w:val="single" w:sz="12" w:space="0" w:color="auto"/>
            </w:tcBorders>
            <w:shd w:val="clear" w:color="auto" w:fill="auto"/>
          </w:tcPr>
          <w:p w14:paraId="32C30874" w14:textId="77777777" w:rsidR="005F0E87" w:rsidRPr="005F0E87" w:rsidRDefault="005F0E87" w:rsidP="005F0E87">
            <w:pPr>
              <w:spacing w:before="40" w:after="120"/>
              <w:ind w:right="113"/>
              <w:rPr>
                <w:sz w:val="18"/>
                <w:szCs w:val="18"/>
                <w:lang w:val="en-US"/>
              </w:rPr>
            </w:pPr>
            <w:r w:rsidRPr="005F0E87">
              <w:rPr>
                <w:sz w:val="18"/>
                <w:szCs w:val="18"/>
                <w:lang w:val="fr-FR"/>
              </w:rPr>
              <w:t>(B)</w:t>
            </w:r>
          </w:p>
        </w:tc>
        <w:tc>
          <w:tcPr>
            <w:tcW w:w="3047" w:type="dxa"/>
            <w:gridSpan w:val="2"/>
            <w:tcBorders>
              <w:bottom w:val="single" w:sz="12" w:space="0" w:color="auto"/>
            </w:tcBorders>
            <w:shd w:val="clear" w:color="auto" w:fill="auto"/>
          </w:tcPr>
          <w:p w14:paraId="7F28197C" w14:textId="77777777" w:rsidR="005F0E87" w:rsidRPr="005F0E87" w:rsidRDefault="005F0E87" w:rsidP="005F0E87">
            <w:pPr>
              <w:spacing w:before="40" w:after="120"/>
              <w:ind w:right="113"/>
              <w:rPr>
                <w:sz w:val="18"/>
                <w:szCs w:val="18"/>
              </w:rPr>
            </w:pPr>
            <w:r w:rsidRPr="005F0E87">
              <w:rPr>
                <w:sz w:val="18"/>
                <w:szCs w:val="18"/>
                <w:lang w:val="fr-FR"/>
              </w:rPr>
              <w:t>TDAA ou TPAA (température ambiante critique, arrondie au multiple de 5 °C le plus proche par valeur supérieure)</w:t>
            </w:r>
          </w:p>
        </w:tc>
      </w:tr>
    </w:tbl>
    <w:p w14:paraId="3FAC3368" w14:textId="6B62F6CE" w:rsidR="005F0E87" w:rsidRPr="005F0E87" w:rsidRDefault="005F0E87" w:rsidP="005F0E87">
      <w:pPr>
        <w:spacing w:before="240" w:after="240"/>
        <w:ind w:left="1134" w:right="1134"/>
        <w:jc w:val="right"/>
        <w:rPr>
          <w:rFonts w:eastAsiaTheme="minorHAnsi"/>
          <w:lang w:eastAsia="en-US"/>
        </w:rPr>
      </w:pPr>
      <w:r w:rsidRPr="005F0E87">
        <w:rPr>
          <w:rFonts w:eastAsiaTheme="minorHAnsi"/>
          <w:lang w:val="fr-FR" w:eastAsia="en-US"/>
        </w:rPr>
        <w:t> »</w:t>
      </w:r>
    </w:p>
    <w:p w14:paraId="4C3CEADB" w14:textId="4584D634"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28.4.4.1.1</w:t>
      </w:r>
      <w:r w:rsidRPr="005F0E87">
        <w:rPr>
          <w:rFonts w:eastAsiaTheme="minorHAnsi"/>
          <w:lang w:val="fr-FR" w:eastAsia="en-US"/>
        </w:rPr>
        <w:tab/>
        <w:t>Dans la première phrase, insérer « ou une polymérisation » après « décomposition isotherme » et modifier la dernière phrase comme suit : « La méthode peut être utilisée pour déterminer la TDAA ou la TPAA d’une matière liquide dans son emballage, y compris les GRV et les petites citernes (jusqu’à 2 m</w:t>
      </w:r>
      <w:r w:rsidRPr="005F0E87">
        <w:rPr>
          <w:rFonts w:eastAsiaTheme="minorHAnsi"/>
          <w:vertAlign w:val="superscript"/>
          <w:lang w:val="fr-FR" w:eastAsia="en-US"/>
        </w:rPr>
        <w:t>3</w:t>
      </w:r>
      <w:r w:rsidRPr="005F0E87">
        <w:rPr>
          <w:rFonts w:eastAsiaTheme="minorHAnsi"/>
          <w:lang w:val="fr-FR" w:eastAsia="en-US"/>
        </w:rPr>
        <w:t>) ainsi que d’une matière solide dans son emballage jusqu’à 50 kg. »</w:t>
      </w:r>
      <w:r w:rsidR="009E69A2">
        <w:rPr>
          <w:rFonts w:eastAsiaTheme="minorHAnsi"/>
          <w:lang w:val="fr-FR" w:eastAsia="en-US"/>
        </w:rPr>
        <w:t>.</w:t>
      </w:r>
    </w:p>
    <w:p w14:paraId="580AB7BD" w14:textId="77777777"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28.4.4.2.2</w:t>
      </w:r>
      <w:r w:rsidRPr="005F0E87">
        <w:rPr>
          <w:rFonts w:eastAsiaTheme="minorHAnsi"/>
          <w:lang w:val="fr-FR" w:eastAsia="en-US"/>
        </w:rPr>
        <w:tab/>
        <w:t>Sans objet en français.</w:t>
      </w:r>
    </w:p>
    <w:p w14:paraId="2E37A1E2" w14:textId="7CC60E30"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28.4.4.2.3</w:t>
      </w:r>
      <w:r w:rsidRPr="005F0E87">
        <w:rPr>
          <w:rFonts w:eastAsiaTheme="minorHAnsi"/>
          <w:lang w:val="fr-FR" w:eastAsia="en-US"/>
        </w:rPr>
        <w:tab/>
        <w:t>Dans la première phrase, remplacer « on utilise » par « on peut utiliser » et « 1,5 à 2,0 mm » par « 1,5 mm à 2,0 mm ».</w:t>
      </w:r>
    </w:p>
    <w:p w14:paraId="274A14E0" w14:textId="28890ECF" w:rsidR="005F0E87" w:rsidRPr="005F0E87" w:rsidRDefault="005F0E87" w:rsidP="00C82A88">
      <w:pPr>
        <w:keepNext/>
        <w:keepLines/>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 xml:space="preserve">Modifier </w:t>
      </w:r>
      <w:r w:rsidR="00BF2C63">
        <w:rPr>
          <w:rFonts w:eastAsiaTheme="minorHAnsi"/>
          <w:lang w:val="fr-FR" w:eastAsia="en-US"/>
        </w:rPr>
        <w:t>les deux dernières phrases</w:t>
      </w:r>
      <w:r w:rsidR="00791525">
        <w:rPr>
          <w:rFonts w:eastAsiaTheme="minorHAnsi"/>
          <w:lang w:val="fr-FR" w:eastAsia="en-US"/>
        </w:rPr>
        <w:t xml:space="preserve"> pour lire</w:t>
      </w:r>
      <w:r w:rsidRPr="005F0E87">
        <w:rPr>
          <w:rFonts w:eastAsiaTheme="minorHAnsi"/>
          <w:lang w:val="fr-FR" w:eastAsia="en-US"/>
        </w:rPr>
        <w:t xml:space="preserve"> comme suit :</w:t>
      </w:r>
    </w:p>
    <w:p w14:paraId="600F8A93" w14:textId="31E6263E" w:rsidR="005F0E87" w:rsidRPr="005F0E87" w:rsidRDefault="005F0E87" w:rsidP="00C82A88">
      <w:pPr>
        <w:spacing w:after="120"/>
        <w:ind w:left="1134" w:right="1134"/>
        <w:jc w:val="both"/>
        <w:rPr>
          <w:rFonts w:eastAsiaTheme="minorHAnsi"/>
          <w:lang w:eastAsia="en-US"/>
        </w:rPr>
      </w:pPr>
      <w:r w:rsidRPr="005F0E87">
        <w:rPr>
          <w:rFonts w:eastAsiaTheme="minorHAnsi"/>
          <w:lang w:val="fr-FR" w:eastAsia="en-US"/>
        </w:rPr>
        <w:t>« La température de l’air dans la chambre métallique à double paroi doit être réglée de manière telle que la température voulue d’un échantillon liquide inerte contenu dans le vase de Dewar puisse être maintenue à ±1 °C pendant 10 jours au maximum. La température de l’air dans la chambre métallique à double paroi et la température de l’échantillon dans le vase de Dewar doivent être mesurées et enregistrées. »</w:t>
      </w:r>
    </w:p>
    <w:p w14:paraId="4F4401E4" w14:textId="138D1FCD"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28.4.4.2.4</w:t>
      </w:r>
      <w:r w:rsidRPr="005F0E87">
        <w:rPr>
          <w:rFonts w:eastAsiaTheme="minorHAnsi"/>
          <w:lang w:val="fr-FR" w:eastAsia="en-US"/>
        </w:rPr>
        <w:tab/>
        <w:t>Modifier la troisième phrase comme suit : « La température de l’air dans l’étuve et la température de l’échantillon dans le vase de Dewar doivent être mesurées et enregistrées. »</w:t>
      </w:r>
      <w:r w:rsidR="0062229C">
        <w:rPr>
          <w:rFonts w:eastAsiaTheme="minorHAnsi"/>
          <w:lang w:val="fr-FR" w:eastAsia="en-US"/>
        </w:rPr>
        <w:t>.</w:t>
      </w:r>
    </w:p>
    <w:p w14:paraId="7F097585" w14:textId="2809C1E8"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lastRenderedPageBreak/>
        <w:t>28.4.4.2.5</w:t>
      </w:r>
      <w:r w:rsidRPr="005F0E87">
        <w:rPr>
          <w:rFonts w:eastAsiaTheme="minorHAnsi"/>
          <w:lang w:val="fr-FR" w:eastAsia="en-US"/>
        </w:rPr>
        <w:tab/>
        <w:t>Ajouter la phrase suivante à la fin du paragraphe : « La température de l’air dans la chambre et la température de l’échantillon dans le vase de Dewar doivent être mesurées et enregistrées. »</w:t>
      </w:r>
      <w:r w:rsidR="0062229C">
        <w:rPr>
          <w:rFonts w:eastAsiaTheme="minorHAnsi"/>
          <w:lang w:val="fr-FR" w:eastAsia="en-US"/>
        </w:rPr>
        <w:t>.</w:t>
      </w:r>
    </w:p>
    <w:p w14:paraId="28EE6C86" w14:textId="1960B13B"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28.4.4.2.6</w:t>
      </w:r>
      <w:r w:rsidRPr="005F0E87">
        <w:rPr>
          <w:rFonts w:eastAsiaTheme="minorHAnsi"/>
          <w:lang w:val="fr-FR" w:eastAsia="en-US"/>
        </w:rPr>
        <w:tab/>
        <w:t>Modifier la première phrase comme suit : « Les vases de Dewar utilisés, y compris leur système de fermeture, doivent avoir des caractéristiques de perte de chaleur représentatives de la taille maximale de l’emballage étudié (voir également le tableau 28.4). »</w:t>
      </w:r>
      <w:r w:rsidR="0062229C">
        <w:rPr>
          <w:rFonts w:eastAsiaTheme="minorHAnsi"/>
          <w:lang w:val="fr-FR" w:eastAsia="en-US"/>
        </w:rPr>
        <w:t>.</w:t>
      </w:r>
    </w:p>
    <w:p w14:paraId="5DC6183C" w14:textId="2D7BF702"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Modifier la deuxième phrase pour lire : « </w:t>
      </w:r>
      <w:bookmarkStart w:id="12" w:name="_Hlk65570954"/>
      <w:r w:rsidRPr="005F0E87">
        <w:rPr>
          <w:rFonts w:eastAsiaTheme="minorHAnsi"/>
          <w:lang w:val="fr-FR" w:eastAsia="en-US"/>
        </w:rPr>
        <w:t>La fermeture du vase de Dewar doit être constituée en un matériau inerte.</w:t>
      </w:r>
      <w:bookmarkEnd w:id="12"/>
      <w:r w:rsidRPr="005F0E87">
        <w:rPr>
          <w:rFonts w:eastAsiaTheme="minorHAnsi"/>
          <w:lang w:val="fr-FR" w:eastAsia="en-US"/>
        </w:rPr>
        <w:t> »</w:t>
      </w:r>
      <w:r w:rsidR="0062229C">
        <w:rPr>
          <w:rFonts w:eastAsiaTheme="minorHAnsi"/>
          <w:lang w:val="fr-FR" w:eastAsia="en-US"/>
        </w:rPr>
        <w:t>.</w:t>
      </w:r>
    </w:p>
    <w:p w14:paraId="139CA18C" w14:textId="07BFC1A6"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Modifier le début de la quatrième phrase comme suit : « Un exemple de système de fermeture » et insérer « et des matières solides mouillées à l’eau » après « moyennement volatils. »</w:t>
      </w:r>
      <w:r w:rsidR="0062229C">
        <w:rPr>
          <w:rFonts w:eastAsiaTheme="minorHAnsi"/>
          <w:lang w:val="fr-FR" w:eastAsia="en-US"/>
        </w:rPr>
        <w:t>.</w:t>
      </w:r>
    </w:p>
    <w:p w14:paraId="7AEE32F9" w14:textId="6274C070"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Modifier la cinquième phrase comme suit : « Les échantillons qui sont hautement volatils à la température d’épreuve doivent être mis à l’essai dans un récipient résistant à la pression constitué en un matériau compatible avec l’échantillon et muni d’une soupape de décompression. »</w:t>
      </w:r>
      <w:r w:rsidR="0062229C">
        <w:rPr>
          <w:rFonts w:eastAsiaTheme="minorHAnsi"/>
          <w:lang w:val="fr-FR" w:eastAsia="en-US"/>
        </w:rPr>
        <w:t>.</w:t>
      </w:r>
    </w:p>
    <w:p w14:paraId="1F2686BA" w14:textId="34077F4D" w:rsidR="005F0E87" w:rsidRPr="005F0E87" w:rsidRDefault="005F0E87" w:rsidP="00C82A88">
      <w:pPr>
        <w:spacing w:after="120"/>
        <w:ind w:left="2268" w:right="1134" w:hanging="1134"/>
        <w:jc w:val="both"/>
        <w:rPr>
          <w:rFonts w:eastAsiaTheme="minorHAnsi"/>
          <w:lang w:eastAsia="en-US"/>
        </w:rPr>
      </w:pPr>
      <w:r w:rsidRPr="005F0E87">
        <w:rPr>
          <w:rFonts w:eastAsiaTheme="minorHAnsi"/>
          <w:lang w:val="fr-FR" w:eastAsia="en-US"/>
        </w:rPr>
        <w:t>28.4.4.2.7</w:t>
      </w:r>
      <w:r w:rsidRPr="005F0E87">
        <w:rPr>
          <w:rFonts w:eastAsiaTheme="minorHAnsi"/>
          <w:lang w:val="fr-FR" w:eastAsia="en-US"/>
        </w:rPr>
        <w:tab/>
        <w:t>Remplacer la deuxième phrase par le libellé suivant : « De petits ajustements peuvent être apportés aux caractéristiques de perte de chaleur du vase de Dewar, en modifiant le dispositif de fermeture. »</w:t>
      </w:r>
      <w:r w:rsidR="0062229C">
        <w:rPr>
          <w:rFonts w:eastAsiaTheme="minorHAnsi"/>
          <w:lang w:val="fr-FR" w:eastAsia="en-US"/>
        </w:rPr>
        <w:t>.</w:t>
      </w:r>
    </w:p>
    <w:p w14:paraId="240B423F" w14:textId="77777777" w:rsidR="005F0E87" w:rsidRPr="005F0E87" w:rsidRDefault="005F0E87" w:rsidP="00C82A88">
      <w:pPr>
        <w:spacing w:after="120"/>
        <w:ind w:left="2268" w:right="1134" w:hanging="1134"/>
        <w:jc w:val="both"/>
        <w:rPr>
          <w:rFonts w:eastAsiaTheme="minorHAnsi"/>
          <w:lang w:eastAsia="en-US"/>
        </w:rPr>
      </w:pPr>
      <w:r w:rsidRPr="005F0E87">
        <w:rPr>
          <w:rFonts w:eastAsiaTheme="minorHAnsi"/>
          <w:lang w:eastAsia="en-US"/>
        </w:rPr>
        <w:tab/>
      </w:r>
      <w:r w:rsidRPr="005F0E87">
        <w:rPr>
          <w:rFonts w:eastAsiaTheme="minorHAnsi"/>
          <w:lang w:eastAsia="en-US"/>
        </w:rPr>
        <w:tab/>
      </w:r>
      <w:r w:rsidRPr="005F0E87">
        <w:rPr>
          <w:rFonts w:eastAsiaTheme="minorHAnsi"/>
          <w:lang w:val="fr-FR" w:eastAsia="en-US"/>
        </w:rPr>
        <w:t>Dans la dernière phrase, remplacer « 0,5 litre » par « 0,3 litre ».</w:t>
      </w:r>
    </w:p>
    <w:p w14:paraId="5EF938F6" w14:textId="04566C98"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28.4.4.2.8</w:t>
      </w:r>
      <w:r w:rsidRPr="005F0E87">
        <w:rPr>
          <w:rFonts w:eastAsiaTheme="minorHAnsi"/>
          <w:lang w:val="fr-FR" w:eastAsia="en-US"/>
        </w:rPr>
        <w:tab/>
        <w:t>Modifier l</w:t>
      </w:r>
      <w:r w:rsidR="00CA7F17">
        <w:rPr>
          <w:rFonts w:eastAsiaTheme="minorHAnsi"/>
          <w:lang w:val="fr-FR" w:eastAsia="en-US"/>
        </w:rPr>
        <w:t xml:space="preserve">es deux </w:t>
      </w:r>
      <w:r w:rsidRPr="005F0E87">
        <w:rPr>
          <w:rFonts w:eastAsiaTheme="minorHAnsi"/>
          <w:lang w:val="fr-FR" w:eastAsia="en-US"/>
        </w:rPr>
        <w:t>première</w:t>
      </w:r>
      <w:r w:rsidR="00CA7F17">
        <w:rPr>
          <w:rFonts w:eastAsiaTheme="minorHAnsi"/>
          <w:lang w:val="fr-FR" w:eastAsia="en-US"/>
        </w:rPr>
        <w:t>s</w:t>
      </w:r>
      <w:r w:rsidRPr="005F0E87">
        <w:rPr>
          <w:rFonts w:eastAsiaTheme="minorHAnsi"/>
          <w:lang w:val="fr-FR" w:eastAsia="en-US"/>
        </w:rPr>
        <w:t xml:space="preserve"> phrase</w:t>
      </w:r>
      <w:r w:rsidR="00CA7F17">
        <w:rPr>
          <w:rFonts w:eastAsiaTheme="minorHAnsi"/>
          <w:lang w:val="fr-FR" w:eastAsia="en-US"/>
        </w:rPr>
        <w:t>s</w:t>
      </w:r>
      <w:r w:rsidRPr="005F0E87">
        <w:rPr>
          <w:rFonts w:eastAsiaTheme="minorHAnsi"/>
          <w:lang w:val="fr-FR" w:eastAsia="en-US"/>
        </w:rPr>
        <w:t xml:space="preserve"> comme suit : « Les vases de Dewar ayant un volume de 300 à 500 ml, remplis à 80 % d’une matière liquide, avec une perte de chaleur conforme à celle indiquée dans le tableau 28.4 </w:t>
      </w:r>
      <w:r w:rsidRPr="005F0E87">
        <w:rPr>
          <w:lang w:eastAsia="fr-FR"/>
        </w:rPr>
        <w:t>doivent être utilisés</w:t>
      </w:r>
      <w:r w:rsidRPr="005F0E87">
        <w:rPr>
          <w:rFonts w:eastAsiaTheme="minorHAnsi"/>
          <w:lang w:val="fr-FR" w:eastAsia="en-US"/>
        </w:rPr>
        <w:t>. Pour les colis de plus grande taille, les GRV ou les petites citernes, des vases de Dewar de plus grandes dimensions avec une plus faible perte de chaleur par unité de masse doivent être utilisés (voir tableau 28.4). »</w:t>
      </w:r>
      <w:r w:rsidR="00086EFF">
        <w:rPr>
          <w:rFonts w:eastAsiaTheme="minorHAnsi"/>
          <w:lang w:val="fr-FR" w:eastAsia="en-US"/>
        </w:rPr>
        <w:t>.</w:t>
      </w:r>
    </w:p>
    <w:p w14:paraId="1A0B198D" w14:textId="3DCCBD1C"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ab/>
      </w:r>
      <w:r w:rsidRPr="005F0E87">
        <w:rPr>
          <w:rFonts w:eastAsiaTheme="minorHAnsi"/>
          <w:lang w:val="fr-FR" w:eastAsia="en-US"/>
        </w:rPr>
        <w:tab/>
        <w:t>Supprimer la dernière phrase</w:t>
      </w:r>
      <w:r w:rsidRPr="00BF3035">
        <w:rPr>
          <w:rFonts w:eastAsiaTheme="minorHAnsi"/>
          <w:lang w:val="fr-FR" w:eastAsia="en-US"/>
        </w:rPr>
        <w:t>.</w:t>
      </w:r>
      <w:r w:rsidRPr="005F0E87">
        <w:rPr>
          <w:rFonts w:eastAsiaTheme="minorHAnsi"/>
          <w:lang w:val="fr-FR" w:eastAsia="en-US"/>
        </w:rPr>
        <w:t xml:space="preserve"> </w:t>
      </w:r>
    </w:p>
    <w:p w14:paraId="36DFE414" w14:textId="1EAB750E"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28.4.4.3.1</w:t>
      </w:r>
      <w:r w:rsidRPr="005F0E87">
        <w:rPr>
          <w:rFonts w:eastAsiaTheme="minorHAnsi"/>
          <w:lang w:val="fr-FR" w:eastAsia="en-US"/>
        </w:rPr>
        <w:tab/>
        <w:t xml:space="preserve">La première modification est sans objet en français. </w:t>
      </w:r>
      <w:r w:rsidR="00FE307D">
        <w:rPr>
          <w:rFonts w:eastAsiaTheme="minorHAnsi"/>
          <w:lang w:val="fr-FR" w:eastAsia="en-US"/>
        </w:rPr>
        <w:t>Remplacer</w:t>
      </w:r>
      <w:r w:rsidR="00FE307D" w:rsidRPr="005F0E87">
        <w:rPr>
          <w:rFonts w:eastAsiaTheme="minorHAnsi"/>
          <w:lang w:val="fr-FR" w:eastAsia="en-US"/>
        </w:rPr>
        <w:t xml:space="preserve"> </w:t>
      </w:r>
      <w:r w:rsidRPr="005F0E87">
        <w:rPr>
          <w:rFonts w:eastAsiaTheme="minorHAnsi"/>
          <w:lang w:val="fr-FR" w:eastAsia="en-US"/>
        </w:rPr>
        <w:t xml:space="preserve">la quatrième phrase </w:t>
      </w:r>
      <w:r w:rsidR="00AD7E1D">
        <w:rPr>
          <w:rFonts w:eastAsiaTheme="minorHAnsi"/>
          <w:lang w:val="fr-FR" w:eastAsia="en-US"/>
        </w:rPr>
        <w:t xml:space="preserve">pour lire </w:t>
      </w:r>
      <w:r w:rsidRPr="005F0E87">
        <w:rPr>
          <w:rFonts w:eastAsiaTheme="minorHAnsi"/>
          <w:lang w:val="fr-FR" w:eastAsia="en-US"/>
        </w:rPr>
        <w:t>comme suit : « Dans le cas d’un vase de Dewar cylindrique, la sonde à température est insérée dans le premier tiers de la partie centrale du vase de Dewar à partir du fond du vase. »</w:t>
      </w:r>
      <w:r w:rsidR="0062229C">
        <w:rPr>
          <w:rFonts w:eastAsiaTheme="minorHAnsi"/>
          <w:lang w:val="fr-FR" w:eastAsia="en-US"/>
        </w:rPr>
        <w:t>.</w:t>
      </w:r>
    </w:p>
    <w:p w14:paraId="463DB366" w14:textId="77777777"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28.4.4.3.2</w:t>
      </w:r>
      <w:r w:rsidRPr="005F0E87">
        <w:rPr>
          <w:rFonts w:eastAsiaTheme="minorHAnsi"/>
          <w:lang w:val="fr-FR" w:eastAsia="en-US"/>
        </w:rPr>
        <w:tab/>
        <w:t>Dans l’avant-dernière phrase, remplacer « si cela arrive plus tôt » par « selon ce qui se produit en premier ». Supprimer la dernière phrase (« Noter le temps … température maximale »).</w:t>
      </w:r>
    </w:p>
    <w:p w14:paraId="48182B9E" w14:textId="01D13B66"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28.4.4.3.4</w:t>
      </w:r>
      <w:r w:rsidRPr="005F0E87">
        <w:rPr>
          <w:rFonts w:eastAsiaTheme="minorHAnsi"/>
          <w:lang w:val="fr-FR" w:eastAsia="en-US"/>
        </w:rPr>
        <w:tab/>
        <w:t>Supprimer la première phrase (« Répéter ... de 5</w:t>
      </w:r>
      <w:r w:rsidR="001B1324">
        <w:rPr>
          <w:rFonts w:eastAsiaTheme="minorHAnsi"/>
          <w:lang w:val="fr-FR" w:eastAsia="en-US"/>
        </w:rPr>
        <w:t> </w:t>
      </w:r>
      <w:r w:rsidRPr="005F0E87">
        <w:rPr>
          <w:rFonts w:eastAsiaTheme="minorHAnsi"/>
          <w:lang w:val="fr-FR" w:eastAsia="en-US"/>
        </w:rPr>
        <w:t>°C »). Modifier la nouvelle première phrase comme suit : « Si la matière est soumise à l’épreuve pour savoir si elle nécessite une température de régulation, exécuter suffisamment d’essais, par intervalles de 5 °C, en utilisant de nouveaux échantillons, pour déterminer la TDAA ou la TPAA au multiple de 5 °C le plus proche ou pour déterminer si la TDAA ou la TPAA est égale ou inférieure à la température applicable indiquée dans le tableau 28.2. »</w:t>
      </w:r>
      <w:r w:rsidR="00065BEA">
        <w:rPr>
          <w:rFonts w:eastAsiaTheme="minorHAnsi"/>
          <w:lang w:val="fr-FR" w:eastAsia="en-US"/>
        </w:rPr>
        <w:t>.</w:t>
      </w:r>
    </w:p>
    <w:p w14:paraId="624E24E3" w14:textId="2B6F0492"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28.4.4.4.1</w:t>
      </w:r>
      <w:r w:rsidRPr="005F0E87">
        <w:rPr>
          <w:rFonts w:eastAsiaTheme="minorHAnsi"/>
          <w:lang w:val="fr-FR" w:eastAsia="en-US"/>
        </w:rPr>
        <w:tab/>
        <w:t>Modifier la première phrase comme suit : « La TDAA ou la TPAA est déclarée comme température de chambre d’épreuve la moins élevée à laquelle la température de l’échantillon dépasse la température de la chambre d’épreuve d’au moins 6 °C au cours de la période de sept jours qui sert de cadre aux épreuves (voir 28.4.4.3.2). » Dans la seconde phrase, supprimer « d’épreuve » après « chambre ».</w:t>
      </w:r>
    </w:p>
    <w:p w14:paraId="6AEA0628" w14:textId="77777777" w:rsidR="005F0E87" w:rsidRPr="005F0E87" w:rsidRDefault="005F0E87" w:rsidP="005F0E87">
      <w:pPr>
        <w:spacing w:after="120"/>
        <w:ind w:left="2268" w:right="1134" w:hanging="1134"/>
        <w:jc w:val="both"/>
        <w:rPr>
          <w:rFonts w:eastAsiaTheme="minorHAnsi"/>
          <w:lang w:val="fr-FR" w:eastAsia="en-US"/>
        </w:rPr>
      </w:pPr>
      <w:r w:rsidRPr="005F0E87">
        <w:rPr>
          <w:rFonts w:eastAsiaTheme="minorHAnsi"/>
          <w:lang w:val="fr-FR" w:eastAsia="en-US"/>
        </w:rPr>
        <w:t>28.4.4.5</w:t>
      </w:r>
      <w:r w:rsidRPr="005F0E87">
        <w:rPr>
          <w:rFonts w:eastAsiaTheme="minorHAnsi"/>
          <w:lang w:eastAsia="en-US"/>
        </w:rPr>
        <w:t xml:space="preserve"> </w:t>
      </w:r>
      <w:r w:rsidRPr="005F0E87">
        <w:rPr>
          <w:rFonts w:eastAsiaTheme="minorHAnsi"/>
          <w:lang w:val="fr-FR" w:eastAsia="en-US"/>
        </w:rPr>
        <w:tab/>
        <w:t>Dans la ligne de titre du tableau, pour la troisième colonne, remplacer « mW/</w:t>
      </w:r>
      <w:proofErr w:type="spellStart"/>
      <w:r w:rsidRPr="005F0E87">
        <w:rPr>
          <w:rFonts w:eastAsiaTheme="minorHAnsi"/>
          <w:lang w:val="fr-FR" w:eastAsia="en-US"/>
        </w:rPr>
        <w:t>kg.K</w:t>
      </w:r>
      <w:proofErr w:type="spellEnd"/>
      <w:r w:rsidRPr="005F0E87">
        <w:rPr>
          <w:rFonts w:eastAsiaTheme="minorHAnsi"/>
          <w:lang w:val="fr-FR" w:eastAsia="en-US"/>
        </w:rPr>
        <w:t xml:space="preserve"> » par « mW/K.kg ».</w:t>
      </w:r>
    </w:p>
    <w:p w14:paraId="2EFB29BD" w14:textId="6C874FF7" w:rsidR="005F0E87" w:rsidRPr="005F0E87" w:rsidRDefault="005F0E87" w:rsidP="005F0E87">
      <w:pPr>
        <w:spacing w:after="120"/>
        <w:ind w:left="2268" w:right="1134" w:hanging="1134"/>
        <w:jc w:val="both"/>
        <w:rPr>
          <w:rFonts w:eastAsiaTheme="minorHAnsi"/>
          <w:lang w:eastAsia="en-US"/>
        </w:rPr>
      </w:pPr>
      <w:r w:rsidRPr="005F0E87">
        <w:rPr>
          <w:rFonts w:eastAsiaTheme="minorHAnsi"/>
          <w:lang w:val="fr-FR" w:eastAsia="en-US"/>
        </w:rPr>
        <w:tab/>
        <w:t xml:space="preserve">Ajouter un renvoi à une nouvelle note « c » après le nom de toutes les matières actuellement énumérées dans le tableau, à l’exception de </w:t>
      </w:r>
      <w:r w:rsidR="00442839">
        <w:rPr>
          <w:rFonts w:eastAsiaTheme="minorHAnsi"/>
          <w:lang w:val="fr-FR" w:eastAsia="en-US"/>
        </w:rPr>
        <w:t>« </w:t>
      </w:r>
      <w:r w:rsidR="00442839" w:rsidRPr="00442839">
        <w:rPr>
          <w:rFonts w:eastAsiaTheme="minorHAnsi"/>
          <w:lang w:val="fr-FR" w:eastAsia="en-US"/>
        </w:rPr>
        <w:t>Azo-2,2' bis (</w:t>
      </w:r>
      <w:proofErr w:type="spellStart"/>
      <w:r w:rsidR="00442839" w:rsidRPr="00442839">
        <w:rPr>
          <w:rFonts w:eastAsiaTheme="minorHAnsi"/>
          <w:lang w:val="fr-FR" w:eastAsia="en-US"/>
        </w:rPr>
        <w:t>isobutyronitrile</w:t>
      </w:r>
      <w:proofErr w:type="spellEnd"/>
      <w:r w:rsidR="00442839" w:rsidRPr="00442839">
        <w:rPr>
          <w:rFonts w:eastAsiaTheme="minorHAnsi"/>
          <w:lang w:val="fr-FR" w:eastAsia="en-US"/>
        </w:rPr>
        <w:t>)</w:t>
      </w:r>
      <w:r w:rsidR="00442839">
        <w:rPr>
          <w:rFonts w:eastAsiaTheme="minorHAnsi"/>
          <w:lang w:val="fr-FR" w:eastAsia="en-US"/>
        </w:rPr>
        <w:t> »</w:t>
      </w:r>
      <w:r w:rsidRPr="005F0E87">
        <w:rPr>
          <w:rFonts w:eastAsiaTheme="minorHAnsi"/>
          <w:lang w:val="fr-FR" w:eastAsia="en-US"/>
        </w:rPr>
        <w:t>.</w:t>
      </w:r>
    </w:p>
    <w:p w14:paraId="747CFF37" w14:textId="7D35BB15" w:rsidR="005F0E87" w:rsidRPr="005F0E87" w:rsidRDefault="005F0E87" w:rsidP="005F0E87">
      <w:pPr>
        <w:spacing w:after="120"/>
        <w:ind w:left="2268" w:right="1134" w:hanging="1134"/>
        <w:jc w:val="both"/>
        <w:rPr>
          <w:rFonts w:eastAsiaTheme="minorHAnsi"/>
          <w:lang w:val="fr-FR" w:eastAsia="en-US"/>
        </w:rPr>
      </w:pPr>
      <w:r w:rsidRPr="005F0E87">
        <w:rPr>
          <w:rFonts w:eastAsiaTheme="minorHAnsi"/>
          <w:lang w:val="fr-FR" w:eastAsia="en-US"/>
        </w:rPr>
        <w:lastRenderedPageBreak/>
        <w:tab/>
      </w:r>
      <w:r w:rsidR="005A1281">
        <w:rPr>
          <w:rFonts w:eastAsiaTheme="minorHAnsi"/>
          <w:lang w:val="fr-FR" w:eastAsia="en-US"/>
        </w:rPr>
        <w:t>Pour</w:t>
      </w:r>
      <w:r w:rsidRPr="005F0E87">
        <w:rPr>
          <w:rFonts w:eastAsiaTheme="minorHAnsi"/>
          <w:lang w:val="fr-FR" w:eastAsia="en-US"/>
        </w:rPr>
        <w:t xml:space="preserve"> </w:t>
      </w:r>
      <w:r w:rsidR="005A1281" w:rsidRPr="005A1281">
        <w:rPr>
          <w:rFonts w:eastAsiaTheme="minorHAnsi"/>
          <w:lang w:val="fr-FR" w:eastAsia="en-US"/>
        </w:rPr>
        <w:t>Azo-2,2' bis (</w:t>
      </w:r>
      <w:proofErr w:type="spellStart"/>
      <w:r w:rsidR="005A1281" w:rsidRPr="005A1281">
        <w:rPr>
          <w:rFonts w:eastAsiaTheme="minorHAnsi"/>
          <w:lang w:val="fr-FR" w:eastAsia="en-US"/>
        </w:rPr>
        <w:t>isobutyronitrile</w:t>
      </w:r>
      <w:proofErr w:type="spellEnd"/>
      <w:r w:rsidR="005A1281" w:rsidRPr="005A1281">
        <w:rPr>
          <w:rFonts w:eastAsiaTheme="minorHAnsi"/>
          <w:lang w:val="fr-FR" w:eastAsia="en-US"/>
        </w:rPr>
        <w:t>)</w:t>
      </w:r>
      <w:r w:rsidRPr="005F0E87">
        <w:rPr>
          <w:rFonts w:eastAsiaTheme="minorHAnsi"/>
          <w:lang w:val="fr-FR" w:eastAsia="en-US"/>
        </w:rPr>
        <w:t>, remplacer « 0,18 » par « 0,28 » et « 62 » par « 27 ».</w:t>
      </w:r>
    </w:p>
    <w:p w14:paraId="7A57CCB9" w14:textId="5D0F14F4" w:rsidR="005F0E87" w:rsidRPr="005F0E87" w:rsidRDefault="00C82A88" w:rsidP="00C82A88">
      <w:pPr>
        <w:keepNext/>
        <w:keepLines/>
        <w:tabs>
          <w:tab w:val="left" w:pos="2268"/>
        </w:tabs>
        <w:spacing w:after="120"/>
        <w:ind w:left="1134" w:right="1134"/>
        <w:jc w:val="both"/>
        <w:rPr>
          <w:rFonts w:eastAsiaTheme="minorHAnsi"/>
          <w:lang w:eastAsia="en-US"/>
        </w:rPr>
      </w:pPr>
      <w:r>
        <w:rPr>
          <w:rFonts w:eastAsiaTheme="minorHAnsi"/>
          <w:lang w:val="fr-FR" w:eastAsia="en-US"/>
        </w:rPr>
        <w:tab/>
      </w:r>
      <w:r w:rsidR="005F0E87" w:rsidRPr="005F0E87">
        <w:rPr>
          <w:rFonts w:eastAsiaTheme="minorHAnsi"/>
          <w:lang w:val="fr-FR" w:eastAsia="en-US"/>
        </w:rPr>
        <w:t>Ajouter les nouvelles rubriques suivantes à la fin de la liste actuelle :</w:t>
      </w:r>
    </w:p>
    <w:tbl>
      <w:tblPr>
        <w:tblW w:w="7370" w:type="dxa"/>
        <w:tblInd w:w="1134" w:type="dxa"/>
        <w:tblLayout w:type="fixed"/>
        <w:tblCellMar>
          <w:left w:w="0" w:type="dxa"/>
          <w:right w:w="0" w:type="dxa"/>
        </w:tblCellMar>
        <w:tblLook w:val="0000" w:firstRow="0" w:lastRow="0" w:firstColumn="0" w:lastColumn="0" w:noHBand="0" w:noVBand="0"/>
      </w:tblPr>
      <w:tblGrid>
        <w:gridCol w:w="3544"/>
        <w:gridCol w:w="1275"/>
        <w:gridCol w:w="1275"/>
        <w:gridCol w:w="1276"/>
      </w:tblGrid>
      <w:tr w:rsidR="005F0E87" w:rsidRPr="005F0E87" w14:paraId="02889701" w14:textId="77777777" w:rsidTr="00BD3338">
        <w:trPr>
          <w:cantSplit/>
          <w:tblHeader/>
        </w:trPr>
        <w:tc>
          <w:tcPr>
            <w:tcW w:w="2404" w:type="pct"/>
            <w:tcBorders>
              <w:top w:val="single" w:sz="4" w:space="0" w:color="auto"/>
              <w:bottom w:val="single" w:sz="12" w:space="0" w:color="auto"/>
            </w:tcBorders>
            <w:shd w:val="clear" w:color="auto" w:fill="auto"/>
            <w:vAlign w:val="bottom"/>
          </w:tcPr>
          <w:p w14:paraId="1555DD34" w14:textId="77777777" w:rsidR="005F0E87" w:rsidRPr="005F0E87" w:rsidRDefault="005F0E87" w:rsidP="005F0E87">
            <w:pPr>
              <w:suppressAutoHyphens w:val="0"/>
              <w:spacing w:before="80" w:after="80" w:line="200" w:lineRule="exact"/>
              <w:rPr>
                <w:rFonts w:eastAsiaTheme="minorHAnsi"/>
                <w:b/>
                <w:i/>
                <w:sz w:val="16"/>
                <w:lang w:val="en-GB" w:eastAsia="en-US"/>
              </w:rPr>
            </w:pPr>
            <w:r w:rsidRPr="005F0E87">
              <w:rPr>
                <w:rFonts w:eastAsiaTheme="minorHAnsi"/>
                <w:b/>
                <w:i/>
                <w:sz w:val="16"/>
                <w:lang w:val="fr-FR" w:eastAsia="en-US"/>
              </w:rPr>
              <w:t>Matière</w:t>
            </w:r>
          </w:p>
        </w:tc>
        <w:tc>
          <w:tcPr>
            <w:tcW w:w="865" w:type="pct"/>
            <w:tcBorders>
              <w:top w:val="single" w:sz="4" w:space="0" w:color="auto"/>
              <w:bottom w:val="single" w:sz="12" w:space="0" w:color="auto"/>
            </w:tcBorders>
            <w:shd w:val="clear" w:color="auto" w:fill="auto"/>
            <w:vAlign w:val="bottom"/>
          </w:tcPr>
          <w:p w14:paraId="1A13E172"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Masse de l’échantillon (kg)</w:t>
            </w:r>
          </w:p>
        </w:tc>
        <w:tc>
          <w:tcPr>
            <w:tcW w:w="865" w:type="pct"/>
            <w:tcBorders>
              <w:top w:val="single" w:sz="4" w:space="0" w:color="auto"/>
              <w:bottom w:val="single" w:sz="12" w:space="0" w:color="auto"/>
            </w:tcBorders>
            <w:shd w:val="clear" w:color="auto" w:fill="auto"/>
            <w:vAlign w:val="bottom"/>
          </w:tcPr>
          <w:p w14:paraId="07BC85D2" w14:textId="4A484DB6" w:rsidR="005F0E87" w:rsidRPr="005F0E87" w:rsidRDefault="005F0E87" w:rsidP="005F0E87">
            <w:pPr>
              <w:suppressAutoHyphens w:val="0"/>
              <w:spacing w:before="80" w:after="80" w:line="200" w:lineRule="exact"/>
              <w:jc w:val="right"/>
              <w:rPr>
                <w:rFonts w:eastAsiaTheme="minorHAnsi"/>
                <w:b/>
                <w:i/>
                <w:sz w:val="16"/>
                <w:lang w:eastAsia="en-US"/>
              </w:rPr>
            </w:pPr>
            <w:r w:rsidRPr="005F0E87">
              <w:rPr>
                <w:rFonts w:eastAsiaTheme="minorHAnsi"/>
                <w:b/>
                <w:i/>
                <w:sz w:val="16"/>
                <w:lang w:val="fr-FR" w:eastAsia="en-US"/>
              </w:rPr>
              <w:t xml:space="preserve">Perte de chaleur </w:t>
            </w:r>
            <w:r w:rsidRPr="005F0E87">
              <w:rPr>
                <w:rFonts w:eastAsiaTheme="minorHAnsi"/>
                <w:b/>
                <w:i/>
                <w:sz w:val="16"/>
                <w:lang w:val="fr-FR" w:eastAsia="en-US"/>
              </w:rPr>
              <w:br/>
              <w:t xml:space="preserve">du </w:t>
            </w:r>
            <w:r w:rsidR="00D85642">
              <w:rPr>
                <w:rFonts w:eastAsiaTheme="minorHAnsi"/>
                <w:b/>
                <w:i/>
                <w:sz w:val="16"/>
                <w:lang w:val="fr-FR" w:eastAsia="en-US"/>
              </w:rPr>
              <w:t xml:space="preserve">vase de </w:t>
            </w:r>
            <w:r w:rsidRPr="005F0E87">
              <w:rPr>
                <w:rFonts w:eastAsiaTheme="minorHAnsi"/>
                <w:b/>
                <w:i/>
                <w:sz w:val="16"/>
                <w:lang w:val="fr-FR" w:eastAsia="en-US"/>
              </w:rPr>
              <w:t>Dewar (mW/K.kg)</w:t>
            </w:r>
          </w:p>
        </w:tc>
        <w:tc>
          <w:tcPr>
            <w:tcW w:w="866" w:type="pct"/>
            <w:tcBorders>
              <w:top w:val="single" w:sz="4" w:space="0" w:color="auto"/>
              <w:bottom w:val="single" w:sz="12" w:space="0" w:color="auto"/>
            </w:tcBorders>
            <w:shd w:val="clear" w:color="auto" w:fill="auto"/>
            <w:vAlign w:val="bottom"/>
          </w:tcPr>
          <w:p w14:paraId="66666DA1" w14:textId="77777777" w:rsidR="005F0E87" w:rsidRPr="005F0E87" w:rsidRDefault="005F0E87" w:rsidP="005F0E87">
            <w:pPr>
              <w:suppressAutoHyphens w:val="0"/>
              <w:spacing w:before="80" w:after="80" w:line="200" w:lineRule="exact"/>
              <w:jc w:val="right"/>
              <w:rPr>
                <w:rFonts w:eastAsiaTheme="minorHAnsi"/>
                <w:b/>
                <w:i/>
                <w:sz w:val="16"/>
                <w:lang w:val="en-GB" w:eastAsia="en-US"/>
              </w:rPr>
            </w:pPr>
            <w:r w:rsidRPr="005F0E87">
              <w:rPr>
                <w:rFonts w:eastAsiaTheme="minorHAnsi"/>
                <w:b/>
                <w:i/>
                <w:sz w:val="16"/>
                <w:lang w:val="fr-FR" w:eastAsia="en-US"/>
              </w:rPr>
              <w:t xml:space="preserve">TDAA/TPAA </w:t>
            </w:r>
            <w:r w:rsidRPr="005F0E87">
              <w:rPr>
                <w:rFonts w:eastAsiaTheme="minorHAnsi"/>
                <w:b/>
                <w:i/>
                <w:sz w:val="16"/>
                <w:lang w:val="fr-FR" w:eastAsia="en-US"/>
              </w:rPr>
              <w:br/>
              <w:t>(°C)</w:t>
            </w:r>
          </w:p>
        </w:tc>
      </w:tr>
      <w:tr w:rsidR="005F0E87" w:rsidRPr="005F0E87" w14:paraId="1319D49F" w14:textId="77777777" w:rsidTr="00BD3338">
        <w:trPr>
          <w:cantSplit/>
        </w:trPr>
        <w:tc>
          <w:tcPr>
            <w:tcW w:w="2404" w:type="pct"/>
            <w:tcBorders>
              <w:top w:val="single" w:sz="12" w:space="0" w:color="auto"/>
            </w:tcBorders>
            <w:shd w:val="clear" w:color="auto" w:fill="auto"/>
          </w:tcPr>
          <w:p w14:paraId="4D15A8DA" w14:textId="77777777" w:rsidR="005F0E87" w:rsidRPr="005F0E87" w:rsidRDefault="005F0E87" w:rsidP="005F0E87">
            <w:pPr>
              <w:suppressAutoHyphens w:val="0"/>
              <w:spacing w:before="40" w:after="40" w:line="220" w:lineRule="exact"/>
              <w:rPr>
                <w:rFonts w:eastAsiaTheme="minorHAnsi"/>
                <w:sz w:val="18"/>
                <w:lang w:eastAsia="en-US"/>
              </w:rPr>
            </w:pPr>
            <w:r w:rsidRPr="005F0E87">
              <w:rPr>
                <w:rFonts w:eastAsiaTheme="minorHAnsi"/>
                <w:sz w:val="18"/>
                <w:lang w:val="fr-FR" w:eastAsia="en-US"/>
              </w:rPr>
              <w:t xml:space="preserve">Peroxyde de </w:t>
            </w:r>
            <w:proofErr w:type="spellStart"/>
            <w:r w:rsidRPr="005F0E87">
              <w:rPr>
                <w:rFonts w:eastAsiaTheme="minorHAnsi"/>
                <w:sz w:val="18"/>
                <w:lang w:val="fr-FR" w:eastAsia="en-US"/>
              </w:rPr>
              <w:t>dilauroyle</w:t>
            </w:r>
            <w:proofErr w:type="spellEnd"/>
            <w:r w:rsidRPr="005F0E87">
              <w:rPr>
                <w:rFonts w:eastAsiaTheme="minorHAnsi"/>
                <w:sz w:val="18"/>
                <w:lang w:val="fr-FR" w:eastAsia="en-US"/>
              </w:rPr>
              <w:t>, techniquement pur</w:t>
            </w:r>
          </w:p>
        </w:tc>
        <w:tc>
          <w:tcPr>
            <w:tcW w:w="865" w:type="pct"/>
            <w:tcBorders>
              <w:top w:val="single" w:sz="12" w:space="0" w:color="auto"/>
            </w:tcBorders>
            <w:shd w:val="clear" w:color="auto" w:fill="auto"/>
            <w:vAlign w:val="bottom"/>
          </w:tcPr>
          <w:p w14:paraId="52FB8279"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0,16</w:t>
            </w:r>
          </w:p>
        </w:tc>
        <w:tc>
          <w:tcPr>
            <w:tcW w:w="865" w:type="pct"/>
            <w:tcBorders>
              <w:top w:val="single" w:sz="12" w:space="0" w:color="auto"/>
            </w:tcBorders>
            <w:shd w:val="clear" w:color="auto" w:fill="auto"/>
            <w:vAlign w:val="bottom"/>
          </w:tcPr>
          <w:p w14:paraId="15C92D2F"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26</w:t>
            </w:r>
          </w:p>
        </w:tc>
        <w:tc>
          <w:tcPr>
            <w:tcW w:w="866" w:type="pct"/>
            <w:tcBorders>
              <w:top w:val="single" w:sz="12" w:space="0" w:color="auto"/>
            </w:tcBorders>
            <w:shd w:val="clear" w:color="auto" w:fill="auto"/>
            <w:vAlign w:val="bottom"/>
          </w:tcPr>
          <w:p w14:paraId="61D713A7"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50</w:t>
            </w:r>
          </w:p>
        </w:tc>
      </w:tr>
      <w:tr w:rsidR="005F0E87" w:rsidRPr="005F0E87" w14:paraId="1500DCFC" w14:textId="77777777" w:rsidTr="00BD3338">
        <w:trPr>
          <w:cantSplit/>
        </w:trPr>
        <w:tc>
          <w:tcPr>
            <w:tcW w:w="2404" w:type="pct"/>
            <w:shd w:val="clear" w:color="auto" w:fill="auto"/>
          </w:tcPr>
          <w:p w14:paraId="60FEA144" w14:textId="77777777" w:rsidR="005F0E87" w:rsidRPr="005F0E87" w:rsidRDefault="005F0E87" w:rsidP="005F0E87">
            <w:pPr>
              <w:suppressAutoHyphens w:val="0"/>
              <w:spacing w:before="40" w:after="40" w:line="220" w:lineRule="exact"/>
              <w:rPr>
                <w:rFonts w:eastAsiaTheme="minorHAnsi"/>
                <w:sz w:val="18"/>
                <w:lang w:eastAsia="en-US"/>
              </w:rPr>
            </w:pPr>
            <w:r w:rsidRPr="005F0E87">
              <w:rPr>
                <w:rFonts w:eastAsiaTheme="minorHAnsi"/>
                <w:sz w:val="18"/>
                <w:lang w:val="fr-FR" w:eastAsia="en-US"/>
              </w:rPr>
              <w:t xml:space="preserve">Peroxyde de </w:t>
            </w:r>
            <w:proofErr w:type="spellStart"/>
            <w:r w:rsidRPr="005F0E87">
              <w:rPr>
                <w:rFonts w:eastAsiaTheme="minorHAnsi"/>
                <w:sz w:val="18"/>
                <w:lang w:val="fr-FR" w:eastAsia="en-US"/>
              </w:rPr>
              <w:t>didecanoyle</w:t>
            </w:r>
            <w:proofErr w:type="spellEnd"/>
            <w:r w:rsidRPr="005F0E87">
              <w:rPr>
                <w:rFonts w:eastAsiaTheme="minorHAnsi"/>
                <w:sz w:val="18"/>
                <w:lang w:val="fr-FR" w:eastAsia="en-US"/>
              </w:rPr>
              <w:t>, techniquement pur</w:t>
            </w:r>
          </w:p>
        </w:tc>
        <w:tc>
          <w:tcPr>
            <w:tcW w:w="865" w:type="pct"/>
            <w:shd w:val="clear" w:color="auto" w:fill="auto"/>
            <w:vAlign w:val="bottom"/>
          </w:tcPr>
          <w:p w14:paraId="237D8ED0"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0,20</w:t>
            </w:r>
          </w:p>
        </w:tc>
        <w:tc>
          <w:tcPr>
            <w:tcW w:w="865" w:type="pct"/>
            <w:shd w:val="clear" w:color="auto" w:fill="auto"/>
            <w:vAlign w:val="bottom"/>
          </w:tcPr>
          <w:p w14:paraId="22DC84A0"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28</w:t>
            </w:r>
          </w:p>
        </w:tc>
        <w:tc>
          <w:tcPr>
            <w:tcW w:w="866" w:type="pct"/>
            <w:shd w:val="clear" w:color="auto" w:fill="auto"/>
            <w:vAlign w:val="bottom"/>
          </w:tcPr>
          <w:p w14:paraId="00D8B769"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40</w:t>
            </w:r>
          </w:p>
        </w:tc>
      </w:tr>
      <w:tr w:rsidR="005F0E87" w:rsidRPr="005F0E87" w14:paraId="4B45A960" w14:textId="77777777" w:rsidTr="00BD3338">
        <w:trPr>
          <w:cantSplit/>
        </w:trPr>
        <w:tc>
          <w:tcPr>
            <w:tcW w:w="2404" w:type="pct"/>
            <w:tcBorders>
              <w:bottom w:val="single" w:sz="12" w:space="0" w:color="auto"/>
            </w:tcBorders>
            <w:shd w:val="clear" w:color="auto" w:fill="auto"/>
          </w:tcPr>
          <w:p w14:paraId="5D2A7EF8" w14:textId="77777777" w:rsidR="005F0E87" w:rsidRPr="005F0E87" w:rsidRDefault="005F0E87" w:rsidP="005F0E87">
            <w:pPr>
              <w:suppressAutoHyphens w:val="0"/>
              <w:spacing w:before="40" w:after="40" w:line="220" w:lineRule="exact"/>
              <w:rPr>
                <w:rFonts w:eastAsiaTheme="minorHAnsi"/>
                <w:sz w:val="18"/>
                <w:lang w:val="en-GB" w:eastAsia="en-US"/>
              </w:rPr>
            </w:pPr>
            <w:r w:rsidRPr="005F0E87">
              <w:rPr>
                <w:rFonts w:eastAsiaTheme="minorHAnsi"/>
                <w:sz w:val="18"/>
                <w:lang w:val="fr-FR" w:eastAsia="en-US"/>
              </w:rPr>
              <w:t>N-</w:t>
            </w:r>
            <w:proofErr w:type="spellStart"/>
            <w:r w:rsidRPr="005F0E87">
              <w:rPr>
                <w:rFonts w:eastAsiaTheme="minorHAnsi"/>
                <w:sz w:val="18"/>
                <w:lang w:val="fr-FR" w:eastAsia="en-US"/>
              </w:rPr>
              <w:t>Vinylformamide</w:t>
            </w:r>
            <w:proofErr w:type="spellEnd"/>
          </w:p>
        </w:tc>
        <w:tc>
          <w:tcPr>
            <w:tcW w:w="865" w:type="pct"/>
            <w:tcBorders>
              <w:bottom w:val="single" w:sz="12" w:space="0" w:color="auto"/>
            </w:tcBorders>
            <w:shd w:val="clear" w:color="auto" w:fill="auto"/>
            <w:vAlign w:val="bottom"/>
          </w:tcPr>
          <w:p w14:paraId="4255EA1D"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0,40</w:t>
            </w:r>
          </w:p>
        </w:tc>
        <w:tc>
          <w:tcPr>
            <w:tcW w:w="865" w:type="pct"/>
            <w:tcBorders>
              <w:bottom w:val="single" w:sz="12" w:space="0" w:color="auto"/>
            </w:tcBorders>
            <w:shd w:val="clear" w:color="auto" w:fill="auto"/>
            <w:vAlign w:val="bottom"/>
          </w:tcPr>
          <w:p w14:paraId="75033FFC"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33</w:t>
            </w:r>
          </w:p>
        </w:tc>
        <w:tc>
          <w:tcPr>
            <w:tcW w:w="866" w:type="pct"/>
            <w:tcBorders>
              <w:bottom w:val="single" w:sz="12" w:space="0" w:color="auto"/>
            </w:tcBorders>
            <w:shd w:val="clear" w:color="auto" w:fill="auto"/>
            <w:vAlign w:val="bottom"/>
          </w:tcPr>
          <w:p w14:paraId="18BAA481" w14:textId="77777777" w:rsidR="005F0E87" w:rsidRPr="005F0E87" w:rsidRDefault="005F0E87" w:rsidP="005F0E87">
            <w:pPr>
              <w:suppressAutoHyphens w:val="0"/>
              <w:spacing w:before="40" w:after="40" w:line="220" w:lineRule="exact"/>
              <w:jc w:val="right"/>
              <w:rPr>
                <w:rFonts w:eastAsiaTheme="minorHAnsi"/>
                <w:sz w:val="18"/>
                <w:lang w:val="en-GB" w:eastAsia="en-US"/>
              </w:rPr>
            </w:pPr>
            <w:r w:rsidRPr="005F0E87">
              <w:rPr>
                <w:rFonts w:eastAsiaTheme="minorHAnsi"/>
                <w:sz w:val="18"/>
                <w:lang w:val="fr-FR" w:eastAsia="en-US"/>
              </w:rPr>
              <w:t>55</w:t>
            </w:r>
          </w:p>
        </w:tc>
      </w:tr>
    </w:tbl>
    <w:p w14:paraId="4A7FB0C6" w14:textId="225F3618" w:rsidR="005F0E87" w:rsidRPr="005F0E87" w:rsidRDefault="00C82A88" w:rsidP="00C82A88">
      <w:pPr>
        <w:keepNext/>
        <w:keepLines/>
        <w:tabs>
          <w:tab w:val="left" w:pos="2268"/>
        </w:tabs>
        <w:spacing w:before="240" w:after="120"/>
        <w:ind w:left="1134" w:right="1134"/>
        <w:jc w:val="both"/>
        <w:rPr>
          <w:rFonts w:eastAsiaTheme="minorHAnsi"/>
          <w:lang w:eastAsia="en-US"/>
        </w:rPr>
      </w:pPr>
      <w:r>
        <w:rPr>
          <w:rFonts w:eastAsiaTheme="minorHAnsi"/>
          <w:lang w:val="fr-FR" w:eastAsia="en-US"/>
        </w:rPr>
        <w:tab/>
      </w:r>
      <w:r w:rsidR="005F0E87" w:rsidRPr="005F0E87">
        <w:rPr>
          <w:rFonts w:eastAsiaTheme="minorHAnsi"/>
          <w:lang w:val="fr-FR" w:eastAsia="en-US"/>
        </w:rPr>
        <w:t>Ajouter la note « c » suivante sous le tableau :</w:t>
      </w:r>
    </w:p>
    <w:p w14:paraId="1FAD8129" w14:textId="52DA2C49" w:rsidR="005F0E87" w:rsidRPr="005F0E87" w:rsidRDefault="005F0E87" w:rsidP="005F0E87">
      <w:pPr>
        <w:spacing w:after="120"/>
        <w:ind w:left="1134" w:right="1134"/>
        <w:jc w:val="both"/>
        <w:rPr>
          <w:rFonts w:eastAsiaTheme="minorHAnsi"/>
          <w:i/>
          <w:iCs/>
          <w:lang w:eastAsia="en-US"/>
        </w:rPr>
      </w:pPr>
      <w:r w:rsidRPr="005F0E87">
        <w:rPr>
          <w:rFonts w:eastAsiaTheme="minorHAnsi"/>
          <w:lang w:eastAsia="en-US"/>
        </w:rPr>
        <w:t>« </w:t>
      </w:r>
      <w:r w:rsidRPr="005F0E87">
        <w:rPr>
          <w:rFonts w:eastAsiaTheme="minorHAnsi"/>
          <w:b/>
          <w:bCs/>
          <w:vertAlign w:val="superscript"/>
          <w:lang w:val="fr-FR" w:eastAsia="en-US"/>
        </w:rPr>
        <w:t>c.</w:t>
      </w:r>
      <w:r w:rsidRPr="005F0E87">
        <w:rPr>
          <w:rFonts w:eastAsiaTheme="minorHAnsi"/>
          <w:lang w:val="fr-FR" w:eastAsia="en-US"/>
        </w:rPr>
        <w:t xml:space="preserve"> </w:t>
      </w:r>
      <w:r w:rsidRPr="005F0E87">
        <w:rPr>
          <w:rFonts w:eastAsiaTheme="minorHAnsi"/>
          <w:i/>
          <w:iCs/>
          <w:lang w:val="fr-FR" w:eastAsia="en-US"/>
        </w:rPr>
        <w:t>Dans ces exemples tirés d’épreuves passées, la TDAA ou la TPAA ont été déterminées avec des pertes de chaleur supérieures à celles qui sont actuellement recommandées aux fins de la classification (voir tableau 28.4). </w:t>
      </w:r>
      <w:r w:rsidRPr="005F0E87">
        <w:rPr>
          <w:rFonts w:eastAsiaTheme="minorHAnsi"/>
          <w:lang w:eastAsia="en-US"/>
        </w:rPr>
        <w:t>»</w:t>
      </w:r>
    </w:p>
    <w:p w14:paraId="3F501029" w14:textId="7CBD11F2" w:rsidR="006F2360" w:rsidRDefault="006F2360" w:rsidP="006F2360">
      <w:pPr>
        <w:pStyle w:val="H1G"/>
        <w:rPr>
          <w:rFonts w:eastAsiaTheme="minorHAnsi"/>
          <w:lang w:val="fr-FR" w:eastAsia="en-US"/>
        </w:rPr>
      </w:pPr>
      <w:r>
        <w:rPr>
          <w:rFonts w:eastAsiaTheme="minorHAnsi"/>
          <w:lang w:val="fr-FR" w:eastAsia="en-US"/>
        </w:rPr>
        <w:tab/>
      </w:r>
      <w:r>
        <w:rPr>
          <w:rFonts w:eastAsiaTheme="minorHAnsi"/>
          <w:lang w:val="fr-FR" w:eastAsia="en-US"/>
        </w:rPr>
        <w:tab/>
      </w:r>
      <w:r w:rsidRPr="006F2360">
        <w:rPr>
          <w:rFonts w:eastAsiaTheme="minorHAnsi"/>
          <w:lang w:val="fr-FR" w:eastAsia="en-US"/>
        </w:rPr>
        <w:t>Section 33</w:t>
      </w:r>
    </w:p>
    <w:p w14:paraId="52BB9FB6" w14:textId="77777777" w:rsidR="00932CAE" w:rsidRPr="006F2360" w:rsidRDefault="00932CAE" w:rsidP="00932CAE">
      <w:pPr>
        <w:pStyle w:val="SingleTxtG"/>
        <w:tabs>
          <w:tab w:val="left" w:pos="2268"/>
        </w:tabs>
        <w:ind w:left="2268" w:hanging="1134"/>
        <w:rPr>
          <w:lang w:val="fr-FR" w:eastAsia="en-US"/>
        </w:rPr>
      </w:pPr>
      <w:r>
        <w:rPr>
          <w:lang w:val="fr-FR" w:eastAsia="en-US"/>
        </w:rPr>
        <w:t>33.2.4.2</w:t>
      </w:r>
      <w:r>
        <w:rPr>
          <w:lang w:val="fr-FR" w:eastAsia="en-US"/>
        </w:rPr>
        <w:tab/>
        <w:t>Dans la première phrase, après « 20 mm de largeur » ajouter « intérieure ».</w:t>
      </w:r>
    </w:p>
    <w:p w14:paraId="437D943F" w14:textId="122603CE" w:rsidR="006F2360" w:rsidRDefault="00321B71" w:rsidP="00321B71">
      <w:pPr>
        <w:pStyle w:val="SingleTxtG"/>
        <w:tabs>
          <w:tab w:val="left" w:pos="2268"/>
        </w:tabs>
        <w:ind w:left="2268" w:hanging="1134"/>
        <w:rPr>
          <w:lang w:val="fr-FR" w:eastAsia="en-US"/>
        </w:rPr>
      </w:pPr>
      <w:r w:rsidRPr="00321B71">
        <w:rPr>
          <w:lang w:val="fr-FR" w:eastAsia="en-US"/>
        </w:rPr>
        <w:t>Figure 33.2.4.1</w:t>
      </w:r>
      <w:r>
        <w:rPr>
          <w:lang w:val="fr-FR" w:eastAsia="en-US"/>
        </w:rPr>
        <w:tab/>
      </w:r>
      <w:r w:rsidR="006E402F" w:rsidRPr="006E402F">
        <w:rPr>
          <w:lang w:val="fr-FR" w:eastAsia="en-US"/>
        </w:rPr>
        <w:t>Remplacez l'encart A par la figure ci-dessous</w:t>
      </w:r>
      <w:r w:rsidR="004A4E0A">
        <w:rPr>
          <w:lang w:val="fr-FR" w:eastAsia="en-US"/>
        </w:rPr>
        <w:t> </w:t>
      </w:r>
      <w:r w:rsidR="006E402F" w:rsidRPr="006E402F">
        <w:rPr>
          <w:lang w:val="fr-FR" w:eastAsia="en-US"/>
        </w:rPr>
        <w:t>:</w:t>
      </w:r>
    </w:p>
    <w:p w14:paraId="766F5C23" w14:textId="65E28AA9" w:rsidR="002C102B" w:rsidRPr="002C102B" w:rsidRDefault="00250C81" w:rsidP="002C102B">
      <w:pPr>
        <w:keepNext/>
        <w:keepLines/>
        <w:kinsoku/>
        <w:overflowPunct/>
        <w:autoSpaceDE/>
        <w:autoSpaceDN/>
        <w:adjustRightInd/>
        <w:snapToGrid/>
        <w:spacing w:after="120" w:line="240" w:lineRule="auto"/>
        <w:ind w:right="39"/>
        <w:jc w:val="center"/>
        <w:rPr>
          <w:lang w:val="en-US" w:eastAsia="en-US"/>
        </w:rPr>
      </w:pPr>
      <w:r w:rsidRPr="00917C7B">
        <w:rPr>
          <w:noProof/>
        </w:rPr>
        <w:drawing>
          <wp:inline distT="0" distB="0" distL="0" distR="0" wp14:anchorId="3EEE62DD" wp14:editId="5A53A096">
            <wp:extent cx="3592350" cy="2353694"/>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t="7230" b="7230"/>
                    <a:stretch/>
                  </pic:blipFill>
                  <pic:spPr bwMode="auto">
                    <a:xfrm>
                      <a:off x="0" y="0"/>
                      <a:ext cx="3617083" cy="2369899"/>
                    </a:xfrm>
                    <a:prstGeom prst="rect">
                      <a:avLst/>
                    </a:prstGeom>
                    <a:ln>
                      <a:noFill/>
                    </a:ln>
                    <a:extLst>
                      <a:ext uri="{53640926-AAD7-44D8-BBD7-CCE9431645EC}">
                        <a14:shadowObscured xmlns:a14="http://schemas.microsoft.com/office/drawing/2010/main"/>
                      </a:ext>
                    </a:extLst>
                  </pic:spPr>
                </pic:pic>
              </a:graphicData>
            </a:graphic>
          </wp:inline>
        </w:drawing>
      </w:r>
    </w:p>
    <w:p w14:paraId="563F86A7" w14:textId="5083635B" w:rsidR="00B36AAA" w:rsidRPr="00491BD9" w:rsidRDefault="00B36AAA" w:rsidP="00B36AAA">
      <w:pPr>
        <w:pStyle w:val="H1G"/>
        <w:rPr>
          <w:rFonts w:eastAsiaTheme="minorHAnsi"/>
          <w:lang w:val="fr-FR" w:eastAsia="en-US"/>
        </w:rPr>
      </w:pPr>
      <w:r w:rsidRPr="00491BD9">
        <w:rPr>
          <w:rFonts w:eastAsiaTheme="minorHAnsi"/>
          <w:lang w:val="fr-FR" w:eastAsia="en-US"/>
        </w:rPr>
        <w:tab/>
      </w:r>
      <w:r w:rsidRPr="00491BD9">
        <w:rPr>
          <w:rFonts w:eastAsiaTheme="minorHAnsi"/>
          <w:lang w:val="fr-FR" w:eastAsia="en-US"/>
        </w:rPr>
        <w:tab/>
        <w:t>Section 34</w:t>
      </w:r>
    </w:p>
    <w:p w14:paraId="5E1D8A89" w14:textId="77777777" w:rsidR="00B36AAA" w:rsidRPr="00491BD9" w:rsidRDefault="00B36AAA" w:rsidP="00B36AAA">
      <w:pPr>
        <w:pStyle w:val="SingleTxtG"/>
        <w:rPr>
          <w:rFonts w:eastAsiaTheme="minorHAnsi"/>
          <w:lang w:val="fr-FR" w:eastAsia="en-US"/>
        </w:rPr>
      </w:pPr>
      <w:r w:rsidRPr="00491BD9">
        <w:rPr>
          <w:rFonts w:eastAsiaTheme="minorHAnsi"/>
          <w:lang w:val="fr-FR" w:eastAsia="en-US"/>
        </w:rPr>
        <w:t>34.4.1.2.6 et 34.4.3.2.3</w:t>
      </w:r>
      <w:r w:rsidRPr="00491BD9">
        <w:rPr>
          <w:rFonts w:eastAsiaTheme="minorHAnsi"/>
          <w:lang w:val="fr-FR" w:eastAsia="en-US"/>
        </w:rPr>
        <w:tab/>
        <w:t>Ajouter le nouveau Nota suivant à la fin :</w:t>
      </w:r>
    </w:p>
    <w:p w14:paraId="2E5889C1" w14:textId="48EBF685" w:rsidR="00B36AAA" w:rsidRPr="00491BD9" w:rsidRDefault="00B36AAA" w:rsidP="0046139D">
      <w:pPr>
        <w:pStyle w:val="SingleTxtG"/>
        <w:rPr>
          <w:rFonts w:eastAsiaTheme="minorHAnsi"/>
          <w:lang w:val="fr-FR" w:eastAsia="en-US"/>
        </w:rPr>
      </w:pPr>
      <w:r w:rsidRPr="00491BD9">
        <w:rPr>
          <w:rFonts w:eastAsiaTheme="minorHAnsi"/>
          <w:lang w:val="fr-FR" w:eastAsia="en-US"/>
        </w:rPr>
        <w:t>«</w:t>
      </w:r>
      <w:r w:rsidR="00C82A88">
        <w:rPr>
          <w:rFonts w:eastAsiaTheme="minorHAnsi"/>
          <w:lang w:val="fr-FR" w:eastAsia="en-US"/>
        </w:rPr>
        <w:t> </w:t>
      </w:r>
      <w:r w:rsidRPr="00491BD9">
        <w:rPr>
          <w:rFonts w:eastAsiaTheme="minorHAnsi"/>
          <w:b/>
          <w:bCs/>
          <w:i/>
          <w:iCs/>
          <w:lang w:val="fr-FR" w:eastAsia="en-US"/>
        </w:rPr>
        <w:t>NOTA</w:t>
      </w:r>
      <w:r w:rsidR="00C82A88">
        <w:rPr>
          <w:rFonts w:eastAsiaTheme="minorHAnsi"/>
          <w:b/>
          <w:bCs/>
          <w:i/>
          <w:iCs/>
          <w:lang w:val="fr-FR" w:eastAsia="en-US"/>
        </w:rPr>
        <w:t> </w:t>
      </w:r>
      <w:r w:rsidRPr="00491BD9">
        <w:rPr>
          <w:rFonts w:eastAsiaTheme="minorHAnsi"/>
          <w:b/>
          <w:bCs/>
          <w:i/>
          <w:iCs/>
          <w:lang w:val="fr-FR" w:eastAsia="en-US"/>
        </w:rPr>
        <w:t>:</w:t>
      </w:r>
      <w:r w:rsidRPr="00491BD9">
        <w:rPr>
          <w:rFonts w:eastAsiaTheme="minorHAnsi"/>
          <w:i/>
          <w:iCs/>
          <w:lang w:val="fr-FR" w:eastAsia="en-US"/>
        </w:rPr>
        <w:t xml:space="preserve"> Dans le cas d’une matière enrobée afin de réduire ou d’éliminer ses propriétés comburantes comportant une teneur importante (&gt;</w:t>
      </w:r>
      <w:r w:rsidR="0046139D">
        <w:rPr>
          <w:rFonts w:eastAsiaTheme="minorHAnsi"/>
          <w:i/>
          <w:iCs/>
          <w:lang w:val="fr-FR" w:eastAsia="en-US"/>
        </w:rPr>
        <w:t> </w:t>
      </w:r>
      <w:r w:rsidRPr="00491BD9">
        <w:rPr>
          <w:rFonts w:eastAsiaTheme="minorHAnsi"/>
          <w:i/>
          <w:iCs/>
          <w:lang w:val="fr-FR" w:eastAsia="en-US"/>
        </w:rPr>
        <w:t>10</w:t>
      </w:r>
      <w:r w:rsidR="0046139D">
        <w:rPr>
          <w:rFonts w:eastAsiaTheme="minorHAnsi"/>
          <w:i/>
          <w:iCs/>
          <w:lang w:val="fr-FR" w:eastAsia="en-US"/>
        </w:rPr>
        <w:t> </w:t>
      </w:r>
      <w:r w:rsidRPr="00491BD9">
        <w:rPr>
          <w:rFonts w:eastAsiaTheme="minorHAnsi"/>
          <w:i/>
          <w:iCs/>
          <w:lang w:val="fr-FR" w:eastAsia="en-US"/>
        </w:rPr>
        <w:t>% en masse) de particules d’un diamètre inférieur à 500 μm, deux séries d’épreuves devraient être effectuées</w:t>
      </w:r>
      <w:r w:rsidR="00C82A88">
        <w:rPr>
          <w:rFonts w:eastAsiaTheme="minorHAnsi"/>
          <w:i/>
          <w:iCs/>
          <w:lang w:val="fr-FR" w:eastAsia="en-US"/>
        </w:rPr>
        <w:t> </w:t>
      </w:r>
      <w:r w:rsidRPr="00491BD9">
        <w:rPr>
          <w:rFonts w:eastAsiaTheme="minorHAnsi"/>
          <w:i/>
          <w:iCs/>
          <w:lang w:val="fr-FR" w:eastAsia="en-US"/>
        </w:rPr>
        <w:t>: la première avec la matière telle qu’elle est présentée, et la seconde avec des particules d’une taille inférieure à 500 μm obtenues par tamisage de la matière telle qu’elle est présentée. La matière ne doit pas être broyée avant d’être tamisée ou soumise à l’épreuve. Le classement final devrait être fondé sur les résultats d’épreuves selon les critères de classement les plus stricts.</w:t>
      </w:r>
      <w:r w:rsidR="00C82A88">
        <w:rPr>
          <w:rFonts w:eastAsiaTheme="minorHAnsi"/>
          <w:lang w:val="fr-FR" w:eastAsia="en-US"/>
        </w:rPr>
        <w:t> </w:t>
      </w:r>
      <w:r w:rsidRPr="00491BD9">
        <w:rPr>
          <w:rFonts w:eastAsiaTheme="minorHAnsi"/>
          <w:lang w:val="fr-FR" w:eastAsia="en-US"/>
        </w:rPr>
        <w:t>»</w:t>
      </w:r>
    </w:p>
    <w:p w14:paraId="695601F8" w14:textId="77777777" w:rsidR="00932CAE" w:rsidRPr="00491BD9" w:rsidRDefault="00932CAE" w:rsidP="00932CAE">
      <w:pPr>
        <w:pStyle w:val="H1G"/>
        <w:rPr>
          <w:lang w:val="fr-FR"/>
        </w:rPr>
      </w:pPr>
      <w:r w:rsidRPr="00491BD9">
        <w:rPr>
          <w:lang w:val="fr-FR"/>
        </w:rPr>
        <w:tab/>
      </w:r>
      <w:r w:rsidRPr="00491BD9">
        <w:rPr>
          <w:lang w:val="fr-FR"/>
        </w:rPr>
        <w:tab/>
        <w:t>Section 37</w:t>
      </w:r>
    </w:p>
    <w:p w14:paraId="2396649B" w14:textId="77777777" w:rsidR="00932CAE" w:rsidRPr="00491BD9" w:rsidRDefault="00932CAE" w:rsidP="00932CAE">
      <w:pPr>
        <w:pStyle w:val="SingleTxtG"/>
        <w:rPr>
          <w:lang w:val="fr-FR"/>
        </w:rPr>
      </w:pPr>
      <w:r w:rsidRPr="00491BD9">
        <w:rPr>
          <w:lang w:val="fr-FR"/>
        </w:rPr>
        <w:t>37.4.1</w:t>
      </w:r>
      <w:r w:rsidRPr="00491BD9">
        <w:rPr>
          <w:lang w:val="fr-FR"/>
        </w:rPr>
        <w:tab/>
      </w:r>
      <w:r w:rsidRPr="00491BD9">
        <w:rPr>
          <w:lang w:val="fr-FR"/>
        </w:rPr>
        <w:tab/>
        <w:t>Supprimer.</w:t>
      </w:r>
    </w:p>
    <w:p w14:paraId="6542602B" w14:textId="77777777" w:rsidR="00932CAE" w:rsidRPr="00491BD9" w:rsidRDefault="00932CAE" w:rsidP="00932CAE">
      <w:pPr>
        <w:pStyle w:val="SingleTxtG"/>
        <w:rPr>
          <w:lang w:val="fr-FR"/>
        </w:rPr>
      </w:pPr>
      <w:r w:rsidRPr="00491BD9">
        <w:rPr>
          <w:lang w:val="fr-FR"/>
        </w:rPr>
        <w:t>37.4.1.1 (existant)</w:t>
      </w:r>
      <w:r w:rsidRPr="00491BD9">
        <w:rPr>
          <w:lang w:val="fr-FR"/>
        </w:rPr>
        <w:tab/>
        <w:t>Renuméroter en tant que 37.4.1.</w:t>
      </w:r>
    </w:p>
    <w:p w14:paraId="7142D3E6" w14:textId="77777777" w:rsidR="00932CAE" w:rsidRPr="00491BD9" w:rsidRDefault="00932CAE" w:rsidP="00932CAE">
      <w:pPr>
        <w:pStyle w:val="SingleTxtG"/>
        <w:rPr>
          <w:lang w:val="fr-FR"/>
        </w:rPr>
      </w:pPr>
      <w:r w:rsidRPr="00491BD9">
        <w:rPr>
          <w:lang w:val="fr-FR"/>
        </w:rPr>
        <w:t>37.4.1.1</w:t>
      </w:r>
      <w:r w:rsidRPr="00491BD9">
        <w:rPr>
          <w:lang w:val="fr-FR"/>
        </w:rPr>
        <w:tab/>
        <w:t>Ajouter le nouveau 37.4.1.1 suivant :</w:t>
      </w:r>
    </w:p>
    <w:p w14:paraId="2BC804AF" w14:textId="77777777" w:rsidR="00932CAE" w:rsidRPr="00491BD9" w:rsidRDefault="00932CAE" w:rsidP="00932CAE">
      <w:pPr>
        <w:pStyle w:val="SingleTxtG"/>
        <w:rPr>
          <w:lang w:val="fr-FR"/>
        </w:rPr>
      </w:pPr>
      <w:r w:rsidRPr="00491BD9">
        <w:rPr>
          <w:lang w:val="fr-FR"/>
        </w:rPr>
        <w:lastRenderedPageBreak/>
        <w:t>« </w:t>
      </w:r>
      <w:r w:rsidRPr="00491BD9">
        <w:rPr>
          <w:b/>
          <w:bCs/>
          <w:lang w:val="fr-FR"/>
        </w:rPr>
        <w:t>37.4.1.1</w:t>
      </w:r>
      <w:r w:rsidRPr="00491BD9">
        <w:rPr>
          <w:b/>
          <w:bCs/>
          <w:lang w:val="fr-FR"/>
        </w:rPr>
        <w:tab/>
      </w:r>
      <w:r w:rsidRPr="00491BD9">
        <w:rPr>
          <w:b/>
          <w:bCs/>
          <w:i/>
          <w:iCs/>
          <w:lang w:val="fr-FR"/>
        </w:rPr>
        <w:t>Introduction</w:t>
      </w:r>
    </w:p>
    <w:p w14:paraId="3368773B" w14:textId="6A6C32A0" w:rsidR="00932CAE" w:rsidRPr="00491BD9" w:rsidRDefault="00932CAE" w:rsidP="00932CAE">
      <w:pPr>
        <w:pStyle w:val="SingleTxtG"/>
        <w:ind w:firstLine="1134"/>
        <w:rPr>
          <w:lang w:val="fr-FR"/>
        </w:rPr>
      </w:pPr>
      <w:r w:rsidRPr="00491BD9">
        <w:rPr>
          <w:lang w:val="fr-FR"/>
        </w:rPr>
        <w:t>Cette épreuve est utilisée pour déterminer les propriétés corrosives des liquides et des solides qui peuvent se liquéfier en tant que matière corrosive pour les métaux, groupe d’emballage III/catégorie 1. »</w:t>
      </w:r>
    </w:p>
    <w:p w14:paraId="6D8CC8B7" w14:textId="77777777" w:rsidR="00932CAE" w:rsidRPr="00491BD9" w:rsidRDefault="00932CAE" w:rsidP="004A4E0A">
      <w:pPr>
        <w:pStyle w:val="SingleTxtG"/>
        <w:spacing w:before="120"/>
        <w:rPr>
          <w:iCs/>
          <w:lang w:val="fr-FR"/>
        </w:rPr>
      </w:pPr>
      <w:r w:rsidRPr="00491BD9">
        <w:rPr>
          <w:iCs/>
          <w:lang w:val="fr-FR"/>
        </w:rPr>
        <w:t>Renuméroter les paragraphes 37.4.2, 37.4.3, 37.4.4, 37.4.4.1 et 37.4.4.2 en tant que 37.4.1.2, 37.4.1.3, 37.4.1.4, 37.4.1.4.1 et 37.4.1.4.2 respectivement</w:t>
      </w:r>
      <w:r>
        <w:rPr>
          <w:iCs/>
          <w:lang w:val="fr-FR"/>
        </w:rPr>
        <w:t xml:space="preserve">. </w:t>
      </w:r>
      <w:r w:rsidRPr="00491BD9">
        <w:rPr>
          <w:iCs/>
          <w:lang w:val="fr-FR"/>
        </w:rPr>
        <w:t xml:space="preserve">Renuméroter </w:t>
      </w:r>
      <w:r>
        <w:rPr>
          <w:iCs/>
          <w:lang w:val="fr-FR"/>
        </w:rPr>
        <w:t>les figures 37.4.2.1 et 37.4.2.2 en tant que 37.4.1.1 et 37.4.1.2 respectivement</w:t>
      </w:r>
      <w:r w:rsidRPr="00491BD9">
        <w:rPr>
          <w:iCs/>
          <w:lang w:val="fr-FR"/>
        </w:rPr>
        <w:t xml:space="preserve"> et modifier les références croisées dans la section 37.4 en conséquence.</w:t>
      </w:r>
      <w:r>
        <w:rPr>
          <w:iCs/>
          <w:lang w:val="fr-FR"/>
        </w:rPr>
        <w:t xml:space="preserve"> </w:t>
      </w:r>
      <w:r w:rsidRPr="00491BD9">
        <w:rPr>
          <w:iCs/>
          <w:lang w:val="fr-FR"/>
        </w:rPr>
        <w:t xml:space="preserve">Renuméroter </w:t>
      </w:r>
      <w:r>
        <w:rPr>
          <w:iCs/>
          <w:lang w:val="fr-FR"/>
        </w:rPr>
        <w:t>les tableaux 37.4.4.1 et 37.4.4.2 en tant que 37.4.1.1 et 37.4.1.2 respectivement.</w:t>
      </w:r>
    </w:p>
    <w:p w14:paraId="21B0CA89" w14:textId="77777777" w:rsidR="00932CAE" w:rsidRPr="00491BD9" w:rsidRDefault="00932CAE" w:rsidP="00932CAE">
      <w:pPr>
        <w:pStyle w:val="SingleTxtG"/>
        <w:keepNext/>
        <w:spacing w:before="120"/>
        <w:rPr>
          <w:lang w:val="fr-FR"/>
        </w:rPr>
      </w:pPr>
      <w:r w:rsidRPr="00491BD9">
        <w:rPr>
          <w:lang w:val="fr-FR"/>
        </w:rPr>
        <w:t xml:space="preserve">37.4.2 (renuméroté 37.4.1.2) b) </w:t>
      </w:r>
      <w:r w:rsidRPr="00491BD9">
        <w:rPr>
          <w:lang w:val="fr-FR"/>
        </w:rPr>
        <w:tab/>
        <w:t>Modifier pour lire comme suit :</w:t>
      </w:r>
    </w:p>
    <w:p w14:paraId="1656B659" w14:textId="25E1D88B" w:rsidR="00932CAE" w:rsidRPr="00D45815" w:rsidRDefault="00932CAE" w:rsidP="004A4E0A">
      <w:pPr>
        <w:pStyle w:val="SingleTxtG"/>
        <w:keepNext/>
        <w:spacing w:before="120"/>
        <w:ind w:left="1701" w:hanging="567"/>
        <w:rPr>
          <w:lang w:val="en-GB"/>
        </w:rPr>
      </w:pPr>
      <w:r w:rsidRPr="00D45815">
        <w:rPr>
          <w:lang w:val="en-GB"/>
        </w:rPr>
        <w:t>« b)</w:t>
      </w:r>
      <w:r w:rsidRPr="00D45815">
        <w:rPr>
          <w:lang w:val="en-GB"/>
        </w:rPr>
        <w:tab/>
      </w:r>
      <w:proofErr w:type="spellStart"/>
      <w:r w:rsidRPr="00D45815">
        <w:rPr>
          <w:lang w:val="en-GB"/>
        </w:rPr>
        <w:t>Acier</w:t>
      </w:r>
      <w:proofErr w:type="spellEnd"/>
      <w:r w:rsidRPr="00D45815">
        <w:rPr>
          <w:lang w:val="en-GB"/>
        </w:rPr>
        <w:t xml:space="preserve"> des types S235JR+CR (1.0037, </w:t>
      </w:r>
      <w:proofErr w:type="spellStart"/>
      <w:r w:rsidRPr="00D45815">
        <w:rPr>
          <w:lang w:val="en-GB"/>
        </w:rPr>
        <w:t>respectivement</w:t>
      </w:r>
      <w:proofErr w:type="spellEnd"/>
      <w:r w:rsidRPr="00D45815">
        <w:rPr>
          <w:lang w:val="en-GB"/>
        </w:rPr>
        <w:t xml:space="preserve"> St 37-2), S275J2G3+CR (1.0144, </w:t>
      </w:r>
      <w:proofErr w:type="spellStart"/>
      <w:r w:rsidRPr="00D45815">
        <w:rPr>
          <w:lang w:val="en-GB"/>
        </w:rPr>
        <w:t>respectivement</w:t>
      </w:r>
      <w:proofErr w:type="spellEnd"/>
      <w:r w:rsidRPr="00D45815">
        <w:rPr>
          <w:lang w:val="en-GB"/>
        </w:rPr>
        <w:t xml:space="preserve"> St 44-3), ISO 3574, UNS (Unified Numbering System) G10200 </w:t>
      </w:r>
      <w:proofErr w:type="spellStart"/>
      <w:r w:rsidRPr="00D45815">
        <w:rPr>
          <w:lang w:val="en-GB"/>
        </w:rPr>
        <w:t>ou</w:t>
      </w:r>
      <w:proofErr w:type="spellEnd"/>
      <w:r w:rsidRPr="00D45815">
        <w:rPr>
          <w:lang w:val="en-GB"/>
        </w:rPr>
        <w:t xml:space="preserve"> SAE 1020. »</w:t>
      </w:r>
    </w:p>
    <w:p w14:paraId="2D1317B6" w14:textId="77777777" w:rsidR="00932CAE" w:rsidRPr="00491BD9" w:rsidRDefault="00932CAE" w:rsidP="00932CAE">
      <w:pPr>
        <w:pStyle w:val="H1G"/>
        <w:rPr>
          <w:lang w:val="fr-FR"/>
        </w:rPr>
      </w:pPr>
      <w:r w:rsidRPr="00D45815">
        <w:rPr>
          <w:lang w:val="en-GB"/>
        </w:rPr>
        <w:tab/>
      </w:r>
      <w:r w:rsidRPr="00D45815">
        <w:rPr>
          <w:lang w:val="en-GB"/>
        </w:rPr>
        <w:tab/>
      </w:r>
      <w:r w:rsidRPr="00491BD9">
        <w:rPr>
          <w:lang w:val="fr-FR"/>
        </w:rPr>
        <w:t>Section 38</w:t>
      </w:r>
    </w:p>
    <w:p w14:paraId="508179C2" w14:textId="77777777" w:rsidR="00932CAE" w:rsidRPr="00491BD9" w:rsidRDefault="00932CAE" w:rsidP="00932CAE">
      <w:pPr>
        <w:pStyle w:val="SingleTxtG"/>
        <w:spacing w:before="120"/>
        <w:ind w:left="2268" w:hanging="1134"/>
        <w:rPr>
          <w:lang w:val="fr-FR"/>
        </w:rPr>
      </w:pPr>
      <w:r w:rsidRPr="00491BD9">
        <w:rPr>
          <w:lang w:val="fr-FR"/>
        </w:rPr>
        <w:t>38.3.3 d)</w:t>
      </w:r>
      <w:r w:rsidRPr="00491BD9">
        <w:rPr>
          <w:lang w:val="fr-FR"/>
        </w:rPr>
        <w:tab/>
        <w:t>Dans le dernier paragraphe, après « d’une autre batterie », ajouter « , d’un véhicule ».</w:t>
      </w:r>
    </w:p>
    <w:p w14:paraId="44A959FD" w14:textId="77777777" w:rsidR="00932CAE" w:rsidRPr="00491BD9" w:rsidRDefault="00932CAE" w:rsidP="00932CAE">
      <w:pPr>
        <w:pStyle w:val="SingleTxtG"/>
        <w:spacing w:before="120"/>
        <w:rPr>
          <w:lang w:val="fr-FR"/>
        </w:rPr>
      </w:pPr>
      <w:r w:rsidRPr="00491BD9">
        <w:rPr>
          <w:lang w:val="fr-FR"/>
        </w:rPr>
        <w:t>38.3.3 g)</w:t>
      </w:r>
      <w:r w:rsidRPr="00491BD9">
        <w:rPr>
          <w:lang w:val="fr-FR"/>
        </w:rPr>
        <w:tab/>
        <w:t>Ajouter les nouveaux paragraphes suivants à la fin :</w:t>
      </w:r>
    </w:p>
    <w:p w14:paraId="2FEE0724" w14:textId="77777777" w:rsidR="00932CAE" w:rsidRPr="00491BD9" w:rsidRDefault="00932CAE" w:rsidP="00932CAE">
      <w:pPr>
        <w:pStyle w:val="SingleTxtG"/>
        <w:spacing w:before="120"/>
        <w:rPr>
          <w:lang w:val="fr-FR"/>
        </w:rPr>
      </w:pPr>
      <w:r w:rsidRPr="00491BD9">
        <w:rPr>
          <w:lang w:val="fr-FR"/>
        </w:rPr>
        <w:t>« Pour les batteries assemblées ne comportant pas de dispositif de protection contre les surcharges qui sont conçues pour être utilisées seulement en tant qu’élément d’une autre batterie, d’un équipement ou d’un véhicule conférant une telle protection :</w:t>
      </w:r>
    </w:p>
    <w:p w14:paraId="5994CDD0" w14:textId="77777777" w:rsidR="00932CAE" w:rsidRPr="00491BD9" w:rsidRDefault="00932CAE" w:rsidP="00932CAE">
      <w:pPr>
        <w:pStyle w:val="SingleTxtG"/>
        <w:spacing w:before="120"/>
        <w:rPr>
          <w:lang w:val="fr-FR"/>
        </w:rPr>
      </w:pPr>
      <w:r w:rsidRPr="00491BD9">
        <w:rPr>
          <w:lang w:val="fr-FR"/>
        </w:rPr>
        <w:t>-</w:t>
      </w:r>
      <w:r w:rsidRPr="00491BD9">
        <w:rPr>
          <w:lang w:val="fr-FR"/>
        </w:rPr>
        <w:tab/>
        <w:t>Le dispositif de protection contre les surcharges doit être vérifié au niveau de la batterie, de l’équipement ou du véhicule, selon le cas ; et</w:t>
      </w:r>
    </w:p>
    <w:p w14:paraId="3CA88752" w14:textId="77777777" w:rsidR="00932CAE" w:rsidRPr="00491BD9" w:rsidRDefault="00932CAE" w:rsidP="00932CAE">
      <w:pPr>
        <w:pStyle w:val="SingleTxtG"/>
        <w:spacing w:before="120"/>
        <w:rPr>
          <w:lang w:val="fr-FR"/>
        </w:rPr>
      </w:pPr>
      <w:r w:rsidRPr="00491BD9">
        <w:rPr>
          <w:lang w:val="fr-FR"/>
        </w:rPr>
        <w:t>-</w:t>
      </w:r>
      <w:r w:rsidRPr="00491BD9">
        <w:rPr>
          <w:lang w:val="fr-FR"/>
        </w:rPr>
        <w:tab/>
        <w:t>L’utilisation de systèmes de charge dépourvus de dispositif de protection contre les surcharges doit être empêchée par un système physique ou par des contrôles des processus. ».</w:t>
      </w:r>
    </w:p>
    <w:p w14:paraId="3CBF5E46" w14:textId="77777777" w:rsidR="00B36AAA" w:rsidRPr="00491BD9" w:rsidRDefault="00B36AAA" w:rsidP="00B36AAA">
      <w:pPr>
        <w:tabs>
          <w:tab w:val="left" w:pos="2268"/>
        </w:tabs>
        <w:kinsoku/>
        <w:overflowPunct/>
        <w:autoSpaceDE/>
        <w:adjustRightInd/>
        <w:snapToGrid/>
        <w:spacing w:after="120"/>
        <w:ind w:left="1134" w:right="1134"/>
        <w:jc w:val="both"/>
        <w:rPr>
          <w:lang w:val="fr-FR" w:eastAsia="en-US"/>
        </w:rPr>
      </w:pPr>
      <w:r w:rsidRPr="00491BD9">
        <w:rPr>
          <w:lang w:val="fr-FR" w:eastAsia="en-US"/>
        </w:rPr>
        <w:t>38.3.5</w:t>
      </w:r>
      <w:r w:rsidRPr="00491BD9">
        <w:rPr>
          <w:lang w:val="fr-FR" w:eastAsia="en-US"/>
        </w:rPr>
        <w:tab/>
        <w:t>Modifier l’alinéa j) du résumé du procès-verbal d’épreuve pour lire comme suit :</w:t>
      </w:r>
    </w:p>
    <w:p w14:paraId="14908151" w14:textId="39AED987" w:rsidR="00B36AAA" w:rsidRPr="00491BD9" w:rsidRDefault="00B36AAA" w:rsidP="00B36AAA">
      <w:pPr>
        <w:tabs>
          <w:tab w:val="left" w:pos="2268"/>
        </w:tabs>
        <w:kinsoku/>
        <w:overflowPunct/>
        <w:autoSpaceDE/>
        <w:adjustRightInd/>
        <w:snapToGrid/>
        <w:spacing w:after="120"/>
        <w:ind w:left="1134" w:right="1134"/>
        <w:jc w:val="both"/>
        <w:rPr>
          <w:lang w:val="fr-FR" w:eastAsia="en-US"/>
        </w:rPr>
      </w:pPr>
      <w:r w:rsidRPr="00491BD9">
        <w:rPr>
          <w:lang w:val="fr-FR" w:eastAsia="en-US"/>
        </w:rPr>
        <w:t>« j)</w:t>
      </w:r>
      <w:r w:rsidRPr="00491BD9">
        <w:rPr>
          <w:lang w:val="fr-FR" w:eastAsia="en-US"/>
        </w:rPr>
        <w:tab/>
      </w:r>
      <w:r w:rsidRPr="00491BD9">
        <w:rPr>
          <w:rFonts w:eastAsiaTheme="minorHAnsi"/>
          <w:lang w:val="fr-FR" w:eastAsia="en-US"/>
        </w:rPr>
        <w:t>Comme indication de la validité des informations fournies : nom et qualité de la personne responsable. »</w:t>
      </w:r>
    </w:p>
    <w:p w14:paraId="3A182F25" w14:textId="77777777" w:rsidR="00B36AAA" w:rsidRPr="00491BD9" w:rsidRDefault="00B36AAA" w:rsidP="00B36AAA">
      <w:pPr>
        <w:pStyle w:val="H1G"/>
        <w:rPr>
          <w:lang w:val="fr-FR"/>
        </w:rPr>
      </w:pPr>
      <w:r w:rsidRPr="00491BD9">
        <w:rPr>
          <w:lang w:val="fr-FR"/>
        </w:rPr>
        <w:tab/>
      </w:r>
      <w:r w:rsidRPr="00491BD9">
        <w:rPr>
          <w:lang w:val="fr-FR"/>
        </w:rPr>
        <w:tab/>
        <w:t>Section 41</w:t>
      </w:r>
    </w:p>
    <w:p w14:paraId="4CD580E6" w14:textId="77777777" w:rsidR="00B36AAA" w:rsidRPr="00491BD9" w:rsidRDefault="00B36AAA" w:rsidP="00B36AAA">
      <w:pPr>
        <w:pStyle w:val="SingleTxtG"/>
        <w:tabs>
          <w:tab w:val="left" w:pos="2268"/>
        </w:tabs>
        <w:rPr>
          <w:lang w:val="fr-FR"/>
        </w:rPr>
      </w:pPr>
      <w:r w:rsidRPr="00491BD9">
        <w:rPr>
          <w:lang w:val="fr-FR"/>
        </w:rPr>
        <w:t>41.1.3</w:t>
      </w:r>
      <w:r w:rsidRPr="00491BD9">
        <w:rPr>
          <w:lang w:val="fr-FR"/>
        </w:rPr>
        <w:tab/>
        <w:t>Ajouter le nouveau paragraphe suivant :</w:t>
      </w:r>
    </w:p>
    <w:p w14:paraId="35BEC4F5" w14:textId="77777777" w:rsidR="00B36AAA" w:rsidRPr="00491BD9" w:rsidRDefault="00B36AAA" w:rsidP="00B36AAA">
      <w:pPr>
        <w:pStyle w:val="SingleTxtG"/>
        <w:tabs>
          <w:tab w:val="left" w:pos="2268"/>
        </w:tabs>
        <w:rPr>
          <w:lang w:val="fr-FR"/>
        </w:rPr>
      </w:pPr>
      <w:r w:rsidRPr="00491BD9">
        <w:rPr>
          <w:lang w:val="fr-FR"/>
        </w:rPr>
        <w:t>« 41.1.3</w:t>
      </w:r>
      <w:r w:rsidRPr="00491BD9">
        <w:rPr>
          <w:lang w:val="fr-FR"/>
        </w:rPr>
        <w:tab/>
        <w:t>La citerne mobile ou le CGEM soumis à l’essai dynamique de résistance aux impacts longitudinaux doivent être secs avant le début de l’essai. Si la capacité du laboratoire ou de l’organisme de vérification à repérer les sources de fuite potentielles est altérée par les conditions météorologiques, par exemple en cas de pluie ou de neige, l’essai de résistance aux impacts doit être interrompu. Il ne pourra reprendre que lorsque la citerne mobile ou le CGEM seront secs et que la pluie ou la neige aura cessé. ».</w:t>
      </w:r>
    </w:p>
    <w:p w14:paraId="1AF0DC54" w14:textId="77777777" w:rsidR="00B36AAA" w:rsidRPr="00491BD9" w:rsidRDefault="00B36AAA" w:rsidP="00B36AAA">
      <w:pPr>
        <w:pStyle w:val="H1G"/>
        <w:rPr>
          <w:rFonts w:eastAsiaTheme="minorHAnsi"/>
          <w:lang w:val="fr-FR" w:eastAsia="en-US"/>
        </w:rPr>
      </w:pPr>
      <w:r w:rsidRPr="00491BD9">
        <w:rPr>
          <w:rFonts w:eastAsiaTheme="minorHAnsi"/>
          <w:lang w:val="fr-FR" w:eastAsia="en-US"/>
        </w:rPr>
        <w:tab/>
      </w:r>
      <w:r w:rsidRPr="00491BD9">
        <w:rPr>
          <w:rFonts w:eastAsiaTheme="minorHAnsi"/>
          <w:lang w:val="fr-FR" w:eastAsia="en-US"/>
        </w:rPr>
        <w:tab/>
        <w:t>Section 51</w:t>
      </w:r>
    </w:p>
    <w:p w14:paraId="254138FE" w14:textId="77777777" w:rsidR="00B36AAA" w:rsidRPr="00491BD9" w:rsidRDefault="00B36AAA" w:rsidP="00B36AAA">
      <w:pPr>
        <w:pStyle w:val="SingleTxtG"/>
        <w:tabs>
          <w:tab w:val="left" w:pos="2268"/>
        </w:tabs>
        <w:ind w:left="2268" w:hanging="1134"/>
        <w:rPr>
          <w:lang w:val="fr-FR" w:eastAsia="en-US"/>
        </w:rPr>
      </w:pPr>
      <w:r w:rsidRPr="00491BD9">
        <w:rPr>
          <w:lang w:val="fr-FR" w:eastAsia="en-US"/>
        </w:rPr>
        <w:t>51.2.1</w:t>
      </w:r>
      <w:r w:rsidRPr="00491BD9">
        <w:rPr>
          <w:lang w:val="fr-FR" w:eastAsia="en-US"/>
        </w:rPr>
        <w:tab/>
        <w:t>Dans la note de bas de page 1, modifier la première phrase pour lire comme suit : « Une matière explosible du chapitre 2.1 du SGH considérée comme trop sensible pour être affectée à une division peut aussi être stabilisée par désensibilisation et être classée dans les matières explosibles désensibilisées, à condition qu’elle satisfasse à tous les critères énoncés au chapitre 2.17 du SGH. ».</w:t>
      </w:r>
    </w:p>
    <w:p w14:paraId="608D3C4D" w14:textId="386E24F4" w:rsidR="00101C22" w:rsidRPr="00EF7A9A" w:rsidRDefault="00EF7A9A" w:rsidP="00EF7A9A">
      <w:pPr>
        <w:spacing w:before="240"/>
        <w:jc w:val="center"/>
        <w:rPr>
          <w:u w:val="single"/>
          <w:lang w:val="fr-FR" w:eastAsia="en-US"/>
        </w:rPr>
      </w:pPr>
      <w:r>
        <w:rPr>
          <w:u w:val="single"/>
          <w:lang w:val="fr-FR" w:eastAsia="en-US"/>
        </w:rPr>
        <w:tab/>
      </w:r>
      <w:r>
        <w:rPr>
          <w:u w:val="single"/>
          <w:lang w:val="fr-FR" w:eastAsia="en-US"/>
        </w:rPr>
        <w:tab/>
      </w:r>
      <w:r>
        <w:rPr>
          <w:u w:val="single"/>
          <w:lang w:val="fr-FR" w:eastAsia="en-US"/>
        </w:rPr>
        <w:tab/>
      </w:r>
    </w:p>
    <w:p w14:paraId="49C96915" w14:textId="77777777" w:rsidR="008D1004" w:rsidRPr="00491BD9" w:rsidRDefault="008D1004" w:rsidP="00AC3823">
      <w:pPr>
        <w:rPr>
          <w:lang w:val="fr-FR"/>
        </w:rPr>
      </w:pPr>
    </w:p>
    <w:sectPr w:rsidR="008D1004" w:rsidRPr="00491BD9" w:rsidSect="00A658A1">
      <w:headerReference w:type="even" r:id="rId27"/>
      <w:headerReference w:type="default" r:id="rId28"/>
      <w:footerReference w:type="even" r:id="rId29"/>
      <w:footerReference w:type="default" r:id="rId30"/>
      <w:footerReference w:type="first" r:id="rId3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5AC60" w14:textId="77777777" w:rsidR="007325B3" w:rsidRDefault="007325B3" w:rsidP="00F95C08">
      <w:pPr>
        <w:spacing w:line="240" w:lineRule="auto"/>
      </w:pPr>
    </w:p>
  </w:endnote>
  <w:endnote w:type="continuationSeparator" w:id="0">
    <w:p w14:paraId="64BA3868" w14:textId="77777777" w:rsidR="007325B3" w:rsidRPr="00AC3823" w:rsidRDefault="007325B3" w:rsidP="00AC3823">
      <w:pPr>
        <w:pStyle w:val="Footer"/>
      </w:pPr>
    </w:p>
  </w:endnote>
  <w:endnote w:type="continuationNotice" w:id="1">
    <w:p w14:paraId="081EDDD0" w14:textId="77777777" w:rsidR="007325B3" w:rsidRDefault="007325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F885" w14:textId="77777777" w:rsidR="00A658A1" w:rsidRPr="00A658A1" w:rsidRDefault="00A658A1" w:rsidP="00A658A1">
    <w:pPr>
      <w:pStyle w:val="Footer"/>
      <w:tabs>
        <w:tab w:val="right" w:pos="9638"/>
      </w:tabs>
      <w:rPr>
        <w:sz w:val="18"/>
      </w:rPr>
    </w:pPr>
    <w:r w:rsidRPr="00A658A1">
      <w:rPr>
        <w:b/>
        <w:sz w:val="18"/>
      </w:rPr>
      <w:fldChar w:fldCharType="begin"/>
    </w:r>
    <w:r w:rsidRPr="00A658A1">
      <w:rPr>
        <w:b/>
        <w:sz w:val="18"/>
      </w:rPr>
      <w:instrText xml:space="preserve"> PAGE  \* MERGEFORMAT </w:instrText>
    </w:r>
    <w:r w:rsidRPr="00A658A1">
      <w:rPr>
        <w:b/>
        <w:sz w:val="18"/>
      </w:rPr>
      <w:fldChar w:fldCharType="separate"/>
    </w:r>
    <w:r w:rsidRPr="00A658A1">
      <w:rPr>
        <w:b/>
        <w:noProof/>
        <w:sz w:val="18"/>
      </w:rPr>
      <w:t>2</w:t>
    </w:r>
    <w:r w:rsidRPr="00A658A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8D7D" w14:textId="77777777" w:rsidR="00A658A1" w:rsidRPr="00A658A1" w:rsidRDefault="00A658A1" w:rsidP="00A658A1">
    <w:pPr>
      <w:pStyle w:val="Footer"/>
      <w:tabs>
        <w:tab w:val="right" w:pos="9638"/>
      </w:tabs>
      <w:rPr>
        <w:b/>
        <w:sz w:val="18"/>
      </w:rPr>
    </w:pPr>
    <w:r>
      <w:tab/>
    </w:r>
    <w:r w:rsidRPr="00A658A1">
      <w:rPr>
        <w:b/>
        <w:sz w:val="18"/>
      </w:rPr>
      <w:fldChar w:fldCharType="begin"/>
    </w:r>
    <w:r w:rsidRPr="00A658A1">
      <w:rPr>
        <w:b/>
        <w:sz w:val="18"/>
      </w:rPr>
      <w:instrText xml:space="preserve"> PAGE  \* MERGEFORMAT </w:instrText>
    </w:r>
    <w:r w:rsidRPr="00A658A1">
      <w:rPr>
        <w:b/>
        <w:sz w:val="18"/>
      </w:rPr>
      <w:fldChar w:fldCharType="separate"/>
    </w:r>
    <w:r w:rsidRPr="00A658A1">
      <w:rPr>
        <w:b/>
        <w:noProof/>
        <w:sz w:val="18"/>
      </w:rPr>
      <w:t>3</w:t>
    </w:r>
    <w:r w:rsidRPr="00A658A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70A3" w14:textId="77777777" w:rsidR="0068456F" w:rsidRPr="00A658A1" w:rsidRDefault="0068456F">
    <w:pPr>
      <w:pStyle w:val="Footer"/>
      <w:rPr>
        <w:sz w:val="20"/>
      </w:rPr>
    </w:pPr>
    <w:r>
      <w:rPr>
        <w:noProof/>
        <w:lang w:eastAsia="fr-CH"/>
      </w:rPr>
      <w:drawing>
        <wp:anchor distT="0" distB="0" distL="114300" distR="114300" simplePos="0" relativeHeight="251659264" behindDoc="0" locked="0" layoutInCell="1" allowOverlap="0" wp14:anchorId="6760C813" wp14:editId="06E872CC">
          <wp:simplePos x="0" y="0"/>
          <wp:positionH relativeFrom="margin">
            <wp:posOffset>5003800</wp:posOffset>
          </wp:positionH>
          <wp:positionV relativeFrom="margin">
            <wp:posOffset>9323705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71BC5" w14:textId="77777777" w:rsidR="007325B3" w:rsidRPr="00AC3823" w:rsidRDefault="007325B3" w:rsidP="00AC3823">
      <w:pPr>
        <w:pStyle w:val="Footer"/>
        <w:tabs>
          <w:tab w:val="right" w:pos="2155"/>
        </w:tabs>
        <w:spacing w:after="80" w:line="240" w:lineRule="atLeast"/>
        <w:ind w:left="680"/>
        <w:rPr>
          <w:u w:val="single"/>
        </w:rPr>
      </w:pPr>
      <w:r>
        <w:rPr>
          <w:u w:val="single"/>
        </w:rPr>
        <w:tab/>
      </w:r>
    </w:p>
  </w:footnote>
  <w:footnote w:type="continuationSeparator" w:id="0">
    <w:p w14:paraId="6FDB77E5" w14:textId="77777777" w:rsidR="007325B3" w:rsidRPr="00AC3823" w:rsidRDefault="007325B3" w:rsidP="00AC3823">
      <w:pPr>
        <w:pStyle w:val="Footer"/>
        <w:tabs>
          <w:tab w:val="right" w:pos="2155"/>
        </w:tabs>
        <w:spacing w:after="80" w:line="240" w:lineRule="atLeast"/>
        <w:ind w:left="680"/>
        <w:rPr>
          <w:u w:val="single"/>
        </w:rPr>
      </w:pPr>
      <w:r>
        <w:rPr>
          <w:u w:val="single"/>
        </w:rPr>
        <w:tab/>
      </w:r>
    </w:p>
  </w:footnote>
  <w:footnote w:type="continuationNotice" w:id="1">
    <w:p w14:paraId="215614DB" w14:textId="77777777" w:rsidR="007325B3" w:rsidRPr="00AC3823" w:rsidRDefault="007325B3">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9A84" w14:textId="412D3031" w:rsidR="00A658A1" w:rsidRPr="00A658A1" w:rsidRDefault="00095E9D">
    <w:pPr>
      <w:pStyle w:val="Header"/>
    </w:pPr>
    <w:fldSimple w:instr=" TITLE  \* MERGEFORMAT ">
      <w:r w:rsidR="0030633A">
        <w:t>ST/SG/AC.10/48/Add.2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E4D57" w14:textId="4964057C" w:rsidR="00A658A1" w:rsidRPr="00A658A1" w:rsidRDefault="00095E9D" w:rsidP="00A658A1">
    <w:pPr>
      <w:pStyle w:val="Header"/>
      <w:jc w:val="right"/>
    </w:pPr>
    <w:fldSimple w:instr=" TITLE  \* MERGEFORMAT ">
      <w:r w:rsidR="0030633A">
        <w:t>ST/SG/AC.10/48/Add.2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5B3A0A79"/>
    <w:multiLevelType w:val="hybridMultilevel"/>
    <w:tmpl w:val="F6048984"/>
    <w:lvl w:ilvl="0" w:tplc="6B80647A">
      <w:start w:val="28"/>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6"/>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2"/>
  </w:num>
  <w:num w:numId="15">
    <w:abstractNumId w:val="16"/>
  </w:num>
  <w:num w:numId="16">
    <w:abstractNumId w:val="12"/>
  </w:num>
  <w:num w:numId="17">
    <w:abstractNumId w:val="17"/>
  </w:num>
  <w:num w:numId="18">
    <w:abstractNumId w:val="15"/>
  </w:num>
  <w:num w:numId="19">
    <w:abstractNumId w:val="14"/>
  </w:num>
  <w:num w:numId="20">
    <w:abstractNumId w:val="10"/>
  </w:num>
  <w:num w:numId="21">
    <w:abstractNumId w:val="18"/>
  </w:num>
  <w:num w:numId="22">
    <w:abstractNumId w:val="19"/>
  </w:num>
  <w:num w:numId="23">
    <w:abstractNumId w:val="23"/>
  </w:num>
  <w:num w:numId="24">
    <w:abstractNumId w:val="13"/>
  </w:num>
  <w:num w:numId="25">
    <w:abstractNumId w:val="11"/>
  </w:num>
  <w:num w:numId="26">
    <w:abstractNumId w:val="21"/>
  </w:num>
  <w:num w:numId="27">
    <w:abstractNumId w:val="11"/>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attachedTemplate r:id="rId1"/>
  <w:defaultTabStop w:val="567"/>
  <w:hyphenationZone w:val="425"/>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A1"/>
    <w:rsid w:val="00017F94"/>
    <w:rsid w:val="00023842"/>
    <w:rsid w:val="000305D3"/>
    <w:rsid w:val="000334F9"/>
    <w:rsid w:val="00043C07"/>
    <w:rsid w:val="00050FE8"/>
    <w:rsid w:val="00055842"/>
    <w:rsid w:val="00060CA0"/>
    <w:rsid w:val="000633B6"/>
    <w:rsid w:val="00065BEA"/>
    <w:rsid w:val="000702E3"/>
    <w:rsid w:val="0007796D"/>
    <w:rsid w:val="00084178"/>
    <w:rsid w:val="000843A1"/>
    <w:rsid w:val="00086EFF"/>
    <w:rsid w:val="00095E9D"/>
    <w:rsid w:val="000971F1"/>
    <w:rsid w:val="000B3460"/>
    <w:rsid w:val="000B7790"/>
    <w:rsid w:val="000C0279"/>
    <w:rsid w:val="000E4E3F"/>
    <w:rsid w:val="000E6F8C"/>
    <w:rsid w:val="00101C22"/>
    <w:rsid w:val="00105454"/>
    <w:rsid w:val="00111F2F"/>
    <w:rsid w:val="00116A87"/>
    <w:rsid w:val="00132EA9"/>
    <w:rsid w:val="00140869"/>
    <w:rsid w:val="0014365E"/>
    <w:rsid w:val="00153A68"/>
    <w:rsid w:val="00166AE3"/>
    <w:rsid w:val="00167865"/>
    <w:rsid w:val="00176178"/>
    <w:rsid w:val="0018144A"/>
    <w:rsid w:val="001B1324"/>
    <w:rsid w:val="001C49BA"/>
    <w:rsid w:val="001F525A"/>
    <w:rsid w:val="00220C24"/>
    <w:rsid w:val="00223272"/>
    <w:rsid w:val="0024779E"/>
    <w:rsid w:val="00250C81"/>
    <w:rsid w:val="00262E45"/>
    <w:rsid w:val="00283190"/>
    <w:rsid w:val="002832AC"/>
    <w:rsid w:val="00294BA5"/>
    <w:rsid w:val="002A163E"/>
    <w:rsid w:val="002A64BF"/>
    <w:rsid w:val="002B59AB"/>
    <w:rsid w:val="002C102B"/>
    <w:rsid w:val="002C1CC8"/>
    <w:rsid w:val="002D7C93"/>
    <w:rsid w:val="0030633A"/>
    <w:rsid w:val="003106D2"/>
    <w:rsid w:val="00321B71"/>
    <w:rsid w:val="00343A05"/>
    <w:rsid w:val="00372E14"/>
    <w:rsid w:val="00387117"/>
    <w:rsid w:val="00391075"/>
    <w:rsid w:val="003A00C0"/>
    <w:rsid w:val="003A04DD"/>
    <w:rsid w:val="003B107D"/>
    <w:rsid w:val="003E357B"/>
    <w:rsid w:val="004049E1"/>
    <w:rsid w:val="0041195B"/>
    <w:rsid w:val="00422EE3"/>
    <w:rsid w:val="00431915"/>
    <w:rsid w:val="00441C3B"/>
    <w:rsid w:val="00442839"/>
    <w:rsid w:val="00446FE5"/>
    <w:rsid w:val="00452396"/>
    <w:rsid w:val="0046139D"/>
    <w:rsid w:val="00475658"/>
    <w:rsid w:val="00491BD9"/>
    <w:rsid w:val="004A4E0A"/>
    <w:rsid w:val="004E468C"/>
    <w:rsid w:val="00503921"/>
    <w:rsid w:val="005505B7"/>
    <w:rsid w:val="005516EE"/>
    <w:rsid w:val="0055326F"/>
    <w:rsid w:val="00560FC5"/>
    <w:rsid w:val="00573BE5"/>
    <w:rsid w:val="00582AF4"/>
    <w:rsid w:val="00584DC4"/>
    <w:rsid w:val="00585B7D"/>
    <w:rsid w:val="00586ED3"/>
    <w:rsid w:val="00596AA9"/>
    <w:rsid w:val="005A0616"/>
    <w:rsid w:val="005A1281"/>
    <w:rsid w:val="005F06D1"/>
    <w:rsid w:val="005F0E87"/>
    <w:rsid w:val="00603A6B"/>
    <w:rsid w:val="0062190B"/>
    <w:rsid w:val="0062229C"/>
    <w:rsid w:val="00622C25"/>
    <w:rsid w:val="00622F7D"/>
    <w:rsid w:val="006266D0"/>
    <w:rsid w:val="006368D5"/>
    <w:rsid w:val="00654930"/>
    <w:rsid w:val="00654C31"/>
    <w:rsid w:val="00656F3B"/>
    <w:rsid w:val="00657E65"/>
    <w:rsid w:val="00657FF0"/>
    <w:rsid w:val="00667AB2"/>
    <w:rsid w:val="006812CC"/>
    <w:rsid w:val="0068456F"/>
    <w:rsid w:val="00691BF8"/>
    <w:rsid w:val="0069428A"/>
    <w:rsid w:val="00694AAA"/>
    <w:rsid w:val="006A107C"/>
    <w:rsid w:val="006A4DE4"/>
    <w:rsid w:val="006E402F"/>
    <w:rsid w:val="006F0F25"/>
    <w:rsid w:val="006F2360"/>
    <w:rsid w:val="00705876"/>
    <w:rsid w:val="00715636"/>
    <w:rsid w:val="0071601D"/>
    <w:rsid w:val="007325B3"/>
    <w:rsid w:val="00734CFB"/>
    <w:rsid w:val="00737D00"/>
    <w:rsid w:val="00741F48"/>
    <w:rsid w:val="00746C90"/>
    <w:rsid w:val="007513FE"/>
    <w:rsid w:val="00755D57"/>
    <w:rsid w:val="007766E1"/>
    <w:rsid w:val="00784CBB"/>
    <w:rsid w:val="00791525"/>
    <w:rsid w:val="00794F4E"/>
    <w:rsid w:val="007A62E6"/>
    <w:rsid w:val="007C1C42"/>
    <w:rsid w:val="0080684C"/>
    <w:rsid w:val="00826F66"/>
    <w:rsid w:val="00833899"/>
    <w:rsid w:val="00833C9F"/>
    <w:rsid w:val="008343B4"/>
    <w:rsid w:val="00841169"/>
    <w:rsid w:val="00861ACC"/>
    <w:rsid w:val="00866C01"/>
    <w:rsid w:val="00871C75"/>
    <w:rsid w:val="008723B0"/>
    <w:rsid w:val="00874E2A"/>
    <w:rsid w:val="008776DC"/>
    <w:rsid w:val="00877B95"/>
    <w:rsid w:val="0089156D"/>
    <w:rsid w:val="008A441E"/>
    <w:rsid w:val="008B40CD"/>
    <w:rsid w:val="008C17F2"/>
    <w:rsid w:val="008D1004"/>
    <w:rsid w:val="008D3972"/>
    <w:rsid w:val="008E25B7"/>
    <w:rsid w:val="008E5FF6"/>
    <w:rsid w:val="008F2C8A"/>
    <w:rsid w:val="009066AD"/>
    <w:rsid w:val="009133FC"/>
    <w:rsid w:val="00923A30"/>
    <w:rsid w:val="00931461"/>
    <w:rsid w:val="00932CAE"/>
    <w:rsid w:val="0093309F"/>
    <w:rsid w:val="0093544F"/>
    <w:rsid w:val="00944168"/>
    <w:rsid w:val="00950315"/>
    <w:rsid w:val="00967BA4"/>
    <w:rsid w:val="009705C8"/>
    <w:rsid w:val="00970F34"/>
    <w:rsid w:val="009744DF"/>
    <w:rsid w:val="00975378"/>
    <w:rsid w:val="009763FC"/>
    <w:rsid w:val="00996D30"/>
    <w:rsid w:val="00997532"/>
    <w:rsid w:val="009A3795"/>
    <w:rsid w:val="009B4AD0"/>
    <w:rsid w:val="009C1CF4"/>
    <w:rsid w:val="009E3D57"/>
    <w:rsid w:val="009E69A2"/>
    <w:rsid w:val="009E7296"/>
    <w:rsid w:val="009F547E"/>
    <w:rsid w:val="00A11386"/>
    <w:rsid w:val="00A160B7"/>
    <w:rsid w:val="00A2039D"/>
    <w:rsid w:val="00A30353"/>
    <w:rsid w:val="00A45806"/>
    <w:rsid w:val="00A5567A"/>
    <w:rsid w:val="00A658A1"/>
    <w:rsid w:val="00A73AF1"/>
    <w:rsid w:val="00AC3823"/>
    <w:rsid w:val="00AD6CA4"/>
    <w:rsid w:val="00AD7E1D"/>
    <w:rsid w:val="00AE0849"/>
    <w:rsid w:val="00AE323C"/>
    <w:rsid w:val="00AF05D9"/>
    <w:rsid w:val="00AF4023"/>
    <w:rsid w:val="00B00181"/>
    <w:rsid w:val="00B00B0D"/>
    <w:rsid w:val="00B041C5"/>
    <w:rsid w:val="00B34B0D"/>
    <w:rsid w:val="00B36AAA"/>
    <w:rsid w:val="00B42BCE"/>
    <w:rsid w:val="00B61BC8"/>
    <w:rsid w:val="00B765F7"/>
    <w:rsid w:val="00BA0CA9"/>
    <w:rsid w:val="00BC29B5"/>
    <w:rsid w:val="00BC7143"/>
    <w:rsid w:val="00BD6B37"/>
    <w:rsid w:val="00BE3C66"/>
    <w:rsid w:val="00BF2C63"/>
    <w:rsid w:val="00BF3035"/>
    <w:rsid w:val="00C02897"/>
    <w:rsid w:val="00C10590"/>
    <w:rsid w:val="00C509AF"/>
    <w:rsid w:val="00C5243E"/>
    <w:rsid w:val="00C80930"/>
    <w:rsid w:val="00C82A88"/>
    <w:rsid w:val="00C83C88"/>
    <w:rsid w:val="00C87760"/>
    <w:rsid w:val="00C964E1"/>
    <w:rsid w:val="00C96CEE"/>
    <w:rsid w:val="00CA7F17"/>
    <w:rsid w:val="00CB3B4F"/>
    <w:rsid w:val="00CD30F0"/>
    <w:rsid w:val="00CD7A35"/>
    <w:rsid w:val="00D117F0"/>
    <w:rsid w:val="00D3439C"/>
    <w:rsid w:val="00D35F56"/>
    <w:rsid w:val="00D45815"/>
    <w:rsid w:val="00D52D11"/>
    <w:rsid w:val="00D54143"/>
    <w:rsid w:val="00D54A69"/>
    <w:rsid w:val="00D811B4"/>
    <w:rsid w:val="00D85642"/>
    <w:rsid w:val="00DB1831"/>
    <w:rsid w:val="00DB49B7"/>
    <w:rsid w:val="00DC0477"/>
    <w:rsid w:val="00DD3BFD"/>
    <w:rsid w:val="00DF6678"/>
    <w:rsid w:val="00E71DEE"/>
    <w:rsid w:val="00E726A4"/>
    <w:rsid w:val="00E8675B"/>
    <w:rsid w:val="00E87AA3"/>
    <w:rsid w:val="00E9215A"/>
    <w:rsid w:val="00ED550A"/>
    <w:rsid w:val="00EF2E22"/>
    <w:rsid w:val="00EF7A9A"/>
    <w:rsid w:val="00F01738"/>
    <w:rsid w:val="00F04B6F"/>
    <w:rsid w:val="00F1510E"/>
    <w:rsid w:val="00F20DC1"/>
    <w:rsid w:val="00F46513"/>
    <w:rsid w:val="00F517A4"/>
    <w:rsid w:val="00F54810"/>
    <w:rsid w:val="00F660DF"/>
    <w:rsid w:val="00F67082"/>
    <w:rsid w:val="00F730C8"/>
    <w:rsid w:val="00F76B4A"/>
    <w:rsid w:val="00F82665"/>
    <w:rsid w:val="00F86E90"/>
    <w:rsid w:val="00F873A4"/>
    <w:rsid w:val="00F95C08"/>
    <w:rsid w:val="00F976CD"/>
    <w:rsid w:val="00FA331D"/>
    <w:rsid w:val="00FB37E6"/>
    <w:rsid w:val="00FC5AA2"/>
    <w:rsid w:val="00FC7237"/>
    <w:rsid w:val="00FD4439"/>
    <w:rsid w:val="00FE00A3"/>
    <w:rsid w:val="00FE307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8B32F"/>
  <w15:docId w15:val="{6B14A687-93F5-42BB-82A9-9DD0E691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ZchnZchn"/>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uiPriority w:val="59"/>
    <w:rsid w:val="00584DC4"/>
    <w:pPr>
      <w:suppressAutoHyphens/>
      <w:spacing w:after="0" w:line="240" w:lineRule="atLeas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ZchnZchn">
    <w:name w:val="_ Single Txt_G Zchn Zchn"/>
    <w:link w:val="SingleTxtG"/>
    <w:rsid w:val="00950315"/>
  </w:style>
  <w:style w:type="character" w:customStyle="1" w:styleId="H1GCar">
    <w:name w:val="_ H_1_G Car"/>
    <w:link w:val="H1G"/>
    <w:locked/>
    <w:rsid w:val="00950315"/>
    <w:rPr>
      <w:b/>
      <w:sz w:val="24"/>
    </w:rPr>
  </w:style>
  <w:style w:type="character" w:customStyle="1" w:styleId="SingleTxtGChar">
    <w:name w:val="_ Single Txt_G Char"/>
    <w:qFormat/>
    <w:rsid w:val="00833C9F"/>
  </w:style>
  <w:style w:type="numbering" w:customStyle="1" w:styleId="NoList1">
    <w:name w:val="No List1"/>
    <w:next w:val="NoList"/>
    <w:uiPriority w:val="99"/>
    <w:semiHidden/>
    <w:unhideWhenUsed/>
    <w:rsid w:val="005F0E87"/>
  </w:style>
  <w:style w:type="numbering" w:styleId="111111">
    <w:name w:val="Outline List 2"/>
    <w:basedOn w:val="NoList"/>
    <w:semiHidden/>
    <w:rsid w:val="005F0E87"/>
    <w:pPr>
      <w:numPr>
        <w:numId w:val="22"/>
      </w:numPr>
    </w:pPr>
  </w:style>
  <w:style w:type="numbering" w:styleId="1ai">
    <w:name w:val="Outline List 1"/>
    <w:basedOn w:val="NoList"/>
    <w:semiHidden/>
    <w:rsid w:val="005F0E87"/>
    <w:pPr>
      <w:numPr>
        <w:numId w:val="23"/>
      </w:numPr>
    </w:pPr>
  </w:style>
  <w:style w:type="character" w:customStyle="1" w:styleId="HChGChar">
    <w:name w:val="_ H _Ch_G Char"/>
    <w:link w:val="HChG"/>
    <w:rsid w:val="005F0E87"/>
    <w:rPr>
      <w:b/>
      <w:sz w:val="28"/>
    </w:rPr>
  </w:style>
  <w:style w:type="character" w:customStyle="1" w:styleId="H1GChar">
    <w:name w:val="_ H_1_G Char"/>
    <w:locked/>
    <w:rsid w:val="005F0E87"/>
    <w:rPr>
      <w:rFonts w:ascii="Times New Roman" w:eastAsiaTheme="minorHAnsi" w:hAnsi="Times New Roman" w:cs="Times New Roman"/>
      <w:b/>
      <w:sz w:val="24"/>
      <w:szCs w:val="20"/>
      <w:lang w:eastAsia="en-US"/>
    </w:rPr>
  </w:style>
  <w:style w:type="paragraph" w:customStyle="1" w:styleId="ManualHeading2">
    <w:name w:val="Manual Heading 2"/>
    <w:basedOn w:val="Normal"/>
    <w:next w:val="Normal"/>
    <w:rsid w:val="005F0E87"/>
    <w:pPr>
      <w:keepNext/>
      <w:keepLines/>
      <w:numPr>
        <w:ilvl w:val="12"/>
      </w:numPr>
      <w:tabs>
        <w:tab w:val="left" w:pos="1418"/>
      </w:tabs>
      <w:suppressAutoHyphens w:val="0"/>
      <w:kinsoku/>
      <w:overflowPunct/>
      <w:snapToGrid/>
      <w:spacing w:line="240" w:lineRule="auto"/>
      <w:jc w:val="both"/>
    </w:pPr>
    <w:rPr>
      <w:b/>
      <w:sz w:val="22"/>
      <w:szCs w:val="22"/>
      <w:lang w:val="en-GB" w:eastAsia="fr-FR"/>
    </w:rPr>
  </w:style>
  <w:style w:type="paragraph" w:customStyle="1" w:styleId="MTabTxt">
    <w:name w:val="MTabTxt"/>
    <w:basedOn w:val="Normal"/>
    <w:link w:val="MTabTxtChar"/>
    <w:qFormat/>
    <w:rsid w:val="005F0E87"/>
    <w:pPr>
      <w:numPr>
        <w:ilvl w:val="12"/>
      </w:numPr>
      <w:kinsoku/>
      <w:overflowPunct/>
      <w:snapToGrid/>
      <w:spacing w:before="40" w:after="40" w:line="240" w:lineRule="auto"/>
    </w:pPr>
    <w:rPr>
      <w:rFonts w:eastAsia="SimSun"/>
      <w:sz w:val="22"/>
      <w:szCs w:val="22"/>
      <w:lang w:val="en-GB" w:eastAsia="fr-FR"/>
    </w:rPr>
  </w:style>
  <w:style w:type="character" w:customStyle="1" w:styleId="MTabTxtChar">
    <w:name w:val="MTabTxt Char"/>
    <w:basedOn w:val="DefaultParagraphFont"/>
    <w:link w:val="MTabTxt"/>
    <w:rsid w:val="005F0E87"/>
    <w:rPr>
      <w:rFonts w:eastAsia="SimSun"/>
      <w:sz w:val="22"/>
      <w:szCs w:val="22"/>
      <w:lang w:val="en-GB" w:eastAsia="fr-FR"/>
    </w:rPr>
  </w:style>
  <w:style w:type="paragraph" w:styleId="CommentText">
    <w:name w:val="annotation text"/>
    <w:basedOn w:val="Normal"/>
    <w:link w:val="CommentTextChar"/>
    <w:uiPriority w:val="99"/>
    <w:semiHidden/>
    <w:unhideWhenUsed/>
    <w:rsid w:val="005F0E87"/>
    <w:pPr>
      <w:spacing w:line="240" w:lineRule="auto"/>
    </w:pPr>
    <w:rPr>
      <w:rFonts w:eastAsia="SimSun"/>
      <w:lang w:val="en-GB"/>
    </w:rPr>
  </w:style>
  <w:style w:type="character" w:customStyle="1" w:styleId="CommentTextChar">
    <w:name w:val="Comment Text Char"/>
    <w:basedOn w:val="DefaultParagraphFont"/>
    <w:link w:val="CommentText"/>
    <w:uiPriority w:val="99"/>
    <w:semiHidden/>
    <w:rsid w:val="005F0E87"/>
    <w:rPr>
      <w:rFonts w:eastAsia="SimSun"/>
      <w:lang w:val="en-GB"/>
    </w:rPr>
  </w:style>
  <w:style w:type="character" w:styleId="CommentReference">
    <w:name w:val="annotation reference"/>
    <w:basedOn w:val="DefaultParagraphFont"/>
    <w:uiPriority w:val="99"/>
    <w:semiHidden/>
    <w:unhideWhenUsed/>
    <w:rsid w:val="005F0E87"/>
    <w:rPr>
      <w:sz w:val="16"/>
      <w:szCs w:val="16"/>
    </w:rPr>
  </w:style>
  <w:style w:type="paragraph" w:styleId="CommentSubject">
    <w:name w:val="annotation subject"/>
    <w:basedOn w:val="CommentText"/>
    <w:next w:val="CommentText"/>
    <w:link w:val="CommentSubjectChar"/>
    <w:uiPriority w:val="99"/>
    <w:semiHidden/>
    <w:unhideWhenUsed/>
    <w:rsid w:val="005F0E87"/>
    <w:rPr>
      <w:b/>
      <w:bCs/>
    </w:rPr>
  </w:style>
  <w:style w:type="character" w:customStyle="1" w:styleId="CommentSubjectChar">
    <w:name w:val="Comment Subject Char"/>
    <w:basedOn w:val="CommentTextChar"/>
    <w:link w:val="CommentSubject"/>
    <w:uiPriority w:val="99"/>
    <w:semiHidden/>
    <w:rsid w:val="005F0E87"/>
    <w:rPr>
      <w:rFonts w:eastAsia="SimSu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997885">
      <w:bodyDiv w:val="1"/>
      <w:marLeft w:val="0"/>
      <w:marRight w:val="0"/>
      <w:marTop w:val="0"/>
      <w:marBottom w:val="0"/>
      <w:divBdr>
        <w:top w:val="none" w:sz="0" w:space="0" w:color="auto"/>
        <w:left w:val="none" w:sz="0" w:space="0" w:color="auto"/>
        <w:bottom w:val="none" w:sz="0" w:space="0" w:color="auto"/>
        <w:right w:val="none" w:sz="0" w:space="0" w:color="auto"/>
      </w:divBdr>
    </w:div>
    <w:div w:id="155689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emf"/><Relationship Id="rId26"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package" Target="embeddings/Microsoft_Visio_Drawing2.vsd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0.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F.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d60c-my.sharepoint.com/personal/peter_schuurman_nouryon_com/Documents/IGUS/IGUS%202019/Ad%20Hoc%20Test%20series%20H/Graph%20measuring%20times%20test%20series%20H.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0D2F-422E-B94B-B6CF98FBB409}"/>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Measuring period (h)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Max. heat generation (mW/kg)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marL="162000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0.02779</cdr:x>
      <cdr:y>0.00811</cdr:y>
    </cdr:from>
    <cdr:to>
      <cdr:x>0.08792</cdr:x>
      <cdr:y>0.88915</cdr:y>
    </cdr:to>
    <cdr:sp macro="" textlink="">
      <cdr:nvSpPr>
        <cdr:cNvPr id="2" name="Zone de texte 10"/>
        <cdr:cNvSpPr txBox="1"/>
      </cdr:nvSpPr>
      <cdr:spPr>
        <a:xfrm xmlns:a="http://schemas.openxmlformats.org/drawingml/2006/main">
          <a:off x="105417" y="16547"/>
          <a:ext cx="228064" cy="179867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vert270"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Production maximale de chaleur</a:t>
          </a:r>
          <a:r>
            <a:rPr lang="fr-CH" sz="1000" b="1" i="1">
              <a:effectLst/>
              <a:latin typeface="Times New Roman" panose="02020603050405020304" pitchFamily="18" charset="0"/>
              <a:ea typeface="+mn-ea"/>
              <a:cs typeface="Times New Roman" panose="02020603050405020304" pitchFamily="18" charset="0"/>
            </a:rPr>
            <a:t> </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0.41772</cdr:x>
      <cdr:y>0.85503</cdr:y>
    </cdr:from>
    <cdr:to>
      <cdr:x>0.68864</cdr:x>
      <cdr:y>0.96232</cdr:y>
    </cdr:to>
    <cdr:sp macro="" textlink="">
      <cdr:nvSpPr>
        <cdr:cNvPr id="4" name="Zone de texte 12"/>
        <cdr:cNvSpPr txBox="1"/>
      </cdr:nvSpPr>
      <cdr:spPr>
        <a:xfrm xmlns:a="http://schemas.openxmlformats.org/drawingml/2006/main">
          <a:off x="1584356" y="1745559"/>
          <a:ext cx="1027570" cy="2190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Durée de mesure</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0.41781</cdr:x>
      <cdr:y>0.84873</cdr:y>
    </cdr:from>
    <cdr:to>
      <cdr:x>0.68873</cdr:x>
      <cdr:y>0.95602</cdr:y>
    </cdr:to>
    <cdr:sp macro="" textlink="">
      <cdr:nvSpPr>
        <cdr:cNvPr id="5" name="Zone de texte 12"/>
        <cdr:cNvSpPr txBox="1"/>
      </cdr:nvSpPr>
      <cdr:spPr>
        <a:xfrm xmlns:a="http://schemas.openxmlformats.org/drawingml/2006/main">
          <a:off x="1584696" y="1732713"/>
          <a:ext cx="1027570" cy="2190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ctr" eaLnBrk="0" hangingPunct="0">
            <a:lnSpc>
              <a:spcPts val="1200"/>
            </a:lnSpc>
            <a:spcAft>
              <a:spcPts val="0"/>
            </a:spcAft>
          </a:pPr>
          <a:r>
            <a:rPr lang="fr-CH" sz="1000">
              <a:effectLst/>
              <a:latin typeface="Times New Roman" panose="02020603050405020304" pitchFamily="18" charset="0"/>
              <a:ea typeface="+mn-ea"/>
              <a:cs typeface="Times New Roman" panose="02020603050405020304" pitchFamily="18" charset="0"/>
            </a:rPr>
            <a:t>Durée de mesure</a:t>
          </a:r>
          <a:endParaRPr lang="fr-CH"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A2F83-13D7-44BF-BE21-E6F0671BD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EEBB66-2A4F-48BF-B84A-558FC45D5278}">
  <ds:schemaRefs>
    <ds:schemaRef ds:uri="http://schemas.microsoft.com/sharepoint/v3/contenttype/forms"/>
  </ds:schemaRefs>
</ds:datastoreItem>
</file>

<file path=customXml/itemProps3.xml><?xml version="1.0" encoding="utf-8"?>
<ds:datastoreItem xmlns:ds="http://schemas.openxmlformats.org/officeDocument/2006/customXml" ds:itemID="{0A8D3EC7-544C-403D-86E8-A79A3EED99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30AE5D-3F19-428A-BF81-F3BD1337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SGAC10_F.dotm</Template>
  <TotalTime>398</TotalTime>
  <Pages>23</Pages>
  <Words>8002</Words>
  <Characters>45617</Characters>
  <Application>Microsoft Office Word</Application>
  <DocSecurity>0</DocSecurity>
  <Lines>380</Lines>
  <Paragraphs>107</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53512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ST/SG/AC.10/48/Add.2</dc:title>
  <dc:creator>Editorial</dc:creator>
  <cp:lastModifiedBy>Armando Serrano Lombillo</cp:lastModifiedBy>
  <cp:revision>195</cp:revision>
  <cp:lastPrinted>2021-03-24T08:08:00Z</cp:lastPrinted>
  <dcterms:created xsi:type="dcterms:W3CDTF">2021-02-22T12:33:00Z</dcterms:created>
  <dcterms:modified xsi:type="dcterms:W3CDTF">2021-03-24T08:08:00Z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