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RPr="00F2162B" w14:paraId="026EB115" w14:textId="77777777" w:rsidTr="2FEEAF71">
        <w:trPr>
          <w:trHeight w:val="851"/>
        </w:trPr>
        <w:tc>
          <w:tcPr>
            <w:tcW w:w="1259" w:type="dxa"/>
            <w:tcBorders>
              <w:top w:val="nil"/>
              <w:left w:val="nil"/>
              <w:bottom w:val="single" w:sz="4" w:space="0" w:color="auto"/>
              <w:right w:val="nil"/>
            </w:tcBorders>
          </w:tcPr>
          <w:p w14:paraId="684D5882" w14:textId="77777777" w:rsidR="00E52109" w:rsidRPr="002A32CB" w:rsidRDefault="00E52109" w:rsidP="004858F5"/>
        </w:tc>
        <w:tc>
          <w:tcPr>
            <w:tcW w:w="2236" w:type="dxa"/>
            <w:tcBorders>
              <w:top w:val="nil"/>
              <w:left w:val="nil"/>
              <w:bottom w:val="single" w:sz="4" w:space="0" w:color="auto"/>
              <w:right w:val="nil"/>
            </w:tcBorders>
            <w:vAlign w:val="bottom"/>
          </w:tcPr>
          <w:p w14:paraId="7A4967E3" w14:textId="77777777" w:rsidR="00E52109" w:rsidRPr="00F2162B" w:rsidRDefault="00E52109" w:rsidP="006476E1">
            <w:pPr>
              <w:spacing w:after="80" w:line="300" w:lineRule="exact"/>
              <w:rPr>
                <w:sz w:val="28"/>
                <w:szCs w:val="28"/>
              </w:rPr>
            </w:pPr>
            <w:r w:rsidRPr="00F2162B">
              <w:rPr>
                <w:sz w:val="28"/>
                <w:szCs w:val="28"/>
              </w:rPr>
              <w:t>United Nations</w:t>
            </w:r>
          </w:p>
        </w:tc>
        <w:tc>
          <w:tcPr>
            <w:tcW w:w="6144" w:type="dxa"/>
            <w:gridSpan w:val="2"/>
            <w:tcBorders>
              <w:top w:val="nil"/>
              <w:left w:val="nil"/>
              <w:bottom w:val="single" w:sz="4" w:space="0" w:color="auto"/>
              <w:right w:val="nil"/>
            </w:tcBorders>
            <w:vAlign w:val="bottom"/>
          </w:tcPr>
          <w:p w14:paraId="6D23688C" w14:textId="325F2723" w:rsidR="00E52109" w:rsidRPr="00F2162B" w:rsidRDefault="00927A11" w:rsidP="00927A11">
            <w:pPr>
              <w:suppressAutoHyphens w:val="0"/>
              <w:jc w:val="right"/>
            </w:pPr>
            <w:r w:rsidRPr="00F2162B">
              <w:rPr>
                <w:sz w:val="40"/>
              </w:rPr>
              <w:t>ST</w:t>
            </w:r>
            <w:r w:rsidRPr="00F2162B">
              <w:t>/SG/AC.10/</w:t>
            </w:r>
            <w:r w:rsidR="000F009B">
              <w:t>4</w:t>
            </w:r>
            <w:r w:rsidR="00935AE5">
              <w:t>8</w:t>
            </w:r>
            <w:r w:rsidRPr="00F2162B">
              <w:t>/Add.</w:t>
            </w:r>
            <w:r w:rsidR="00935AE5">
              <w:t>2</w:t>
            </w:r>
          </w:p>
        </w:tc>
      </w:tr>
      <w:tr w:rsidR="00E52109" w:rsidRPr="00F2162B" w14:paraId="6C6A2E41" w14:textId="77777777" w:rsidTr="2FEEAF71">
        <w:trPr>
          <w:trHeight w:val="2835"/>
        </w:trPr>
        <w:tc>
          <w:tcPr>
            <w:tcW w:w="1259" w:type="dxa"/>
            <w:tcBorders>
              <w:top w:val="single" w:sz="4" w:space="0" w:color="auto"/>
              <w:left w:val="nil"/>
              <w:bottom w:val="single" w:sz="12" w:space="0" w:color="auto"/>
              <w:right w:val="nil"/>
            </w:tcBorders>
          </w:tcPr>
          <w:p w14:paraId="6B8C2D98" w14:textId="77777777" w:rsidR="00E52109" w:rsidRPr="00F2162B" w:rsidRDefault="00E52109" w:rsidP="006476E1">
            <w:pPr>
              <w:spacing w:before="120"/>
              <w:jc w:val="center"/>
            </w:pPr>
            <w:r w:rsidRPr="00F2162B">
              <w:rPr>
                <w:noProof/>
                <w:lang w:val="fr-CH" w:eastAsia="fr-CH"/>
              </w:rPr>
              <w:drawing>
                <wp:inline distT="0" distB="0" distL="0" distR="0" wp14:anchorId="65699897" wp14:editId="1F0FD77D">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7BBE1E8C" w14:textId="77777777" w:rsidR="00E52109" w:rsidRPr="00F2162B" w:rsidRDefault="00D94B05" w:rsidP="006476E1">
            <w:pPr>
              <w:spacing w:before="120" w:line="420" w:lineRule="exact"/>
              <w:rPr>
                <w:b/>
                <w:sz w:val="40"/>
                <w:szCs w:val="40"/>
              </w:rPr>
            </w:pPr>
            <w:r w:rsidRPr="00F2162B">
              <w:rPr>
                <w:b/>
                <w:sz w:val="40"/>
                <w:szCs w:val="40"/>
              </w:rPr>
              <w:t>Secretariat</w:t>
            </w:r>
          </w:p>
        </w:tc>
        <w:tc>
          <w:tcPr>
            <w:tcW w:w="2930" w:type="dxa"/>
            <w:tcBorders>
              <w:top w:val="single" w:sz="4" w:space="0" w:color="auto"/>
              <w:left w:val="nil"/>
              <w:bottom w:val="single" w:sz="12" w:space="0" w:color="auto"/>
              <w:right w:val="nil"/>
            </w:tcBorders>
          </w:tcPr>
          <w:p w14:paraId="47A6DB38" w14:textId="77777777" w:rsidR="00D94B05" w:rsidRPr="00F2162B" w:rsidRDefault="00927A11" w:rsidP="00927A11">
            <w:pPr>
              <w:suppressAutoHyphens w:val="0"/>
              <w:spacing w:before="240" w:line="240" w:lineRule="exact"/>
            </w:pPr>
            <w:r w:rsidRPr="00F2162B">
              <w:t>Distr.: General</w:t>
            </w:r>
          </w:p>
          <w:p w14:paraId="6734BEA5" w14:textId="2F1633AF" w:rsidR="00927A11" w:rsidRPr="00F2162B" w:rsidRDefault="00C0038C" w:rsidP="00927A11">
            <w:pPr>
              <w:suppressAutoHyphens w:val="0"/>
              <w:spacing w:line="240" w:lineRule="exact"/>
            </w:pPr>
            <w:r>
              <w:t>2</w:t>
            </w:r>
            <w:r w:rsidR="00016DA9">
              <w:t>3</w:t>
            </w:r>
            <w:r>
              <w:t xml:space="preserve"> March 2021</w:t>
            </w:r>
          </w:p>
          <w:p w14:paraId="6D82AED5" w14:textId="77777777" w:rsidR="00927A11" w:rsidRPr="00F2162B" w:rsidRDefault="00F2162B" w:rsidP="00927A11">
            <w:pPr>
              <w:suppressAutoHyphens w:val="0"/>
              <w:spacing w:line="240" w:lineRule="exact"/>
            </w:pPr>
            <w:r w:rsidRPr="00F2162B">
              <w:t>English</w:t>
            </w:r>
          </w:p>
          <w:p w14:paraId="497A1AFD" w14:textId="77777777" w:rsidR="00927A11" w:rsidRPr="00F2162B" w:rsidRDefault="00927A11" w:rsidP="00927A11">
            <w:pPr>
              <w:suppressAutoHyphens w:val="0"/>
              <w:spacing w:line="240" w:lineRule="exact"/>
            </w:pPr>
            <w:r w:rsidRPr="00F2162B">
              <w:t>Original: English and French</w:t>
            </w:r>
          </w:p>
        </w:tc>
      </w:tr>
    </w:tbl>
    <w:p w14:paraId="407D655B" w14:textId="77777777" w:rsidR="00986B7B" w:rsidRPr="00F2162B" w:rsidRDefault="00986B7B" w:rsidP="00986B7B">
      <w:pPr>
        <w:spacing w:before="120"/>
        <w:rPr>
          <w:b/>
          <w:sz w:val="24"/>
          <w:szCs w:val="24"/>
        </w:rPr>
      </w:pPr>
      <w:r w:rsidRPr="00F2162B">
        <w:rPr>
          <w:b/>
          <w:sz w:val="24"/>
          <w:szCs w:val="24"/>
        </w:rPr>
        <w:t>Committee of Experts on the Transport of Dangerous Goods</w:t>
      </w:r>
      <w:r w:rsidRPr="00F2162B">
        <w:rPr>
          <w:b/>
          <w:sz w:val="24"/>
          <w:szCs w:val="24"/>
        </w:rPr>
        <w:br/>
        <w:t>and on the Globally Harmonized System of Classification</w:t>
      </w:r>
      <w:r w:rsidRPr="00F2162B">
        <w:rPr>
          <w:b/>
          <w:sz w:val="24"/>
          <w:szCs w:val="24"/>
        </w:rPr>
        <w:br/>
        <w:t>and Labelling of Chemicals</w:t>
      </w:r>
    </w:p>
    <w:p w14:paraId="5CE84B41" w14:textId="77777777" w:rsidR="00046DA6" w:rsidRDefault="00046DA6" w:rsidP="2FEEAF71">
      <w:pPr>
        <w:pStyle w:val="HChG"/>
        <w:ind w:hanging="567"/>
      </w:pPr>
      <w:bookmarkStart w:id="0" w:name="_Hlk532993721"/>
      <w:r>
        <w:rPr>
          <w:bCs/>
        </w:rPr>
        <w:tab/>
      </w:r>
      <w:r>
        <w:rPr>
          <w:bCs/>
        </w:rPr>
        <w:tab/>
      </w:r>
      <w:r>
        <w:rPr>
          <w:bCs/>
        </w:rPr>
        <w:tab/>
      </w:r>
      <w:r w:rsidRPr="2FEEAF71">
        <w:t>Report</w:t>
      </w:r>
      <w:r w:rsidRPr="00155700">
        <w:rPr>
          <w:bCs/>
        </w:rPr>
        <w:t xml:space="preserve"> </w:t>
      </w:r>
      <w:r w:rsidRPr="2FEEAF71">
        <w:t>of the Committee of Experts on the Transport of Dangerous Goods and on the Globally Harmonized System of Classification and Labelling of Chemicals on its tenth session</w:t>
      </w:r>
    </w:p>
    <w:p w14:paraId="569BECDB" w14:textId="77777777" w:rsidR="00046DA6" w:rsidRDefault="00046DA6" w:rsidP="00046DA6">
      <w:pPr>
        <w:pStyle w:val="SingleTxtG"/>
      </w:pPr>
      <w:r>
        <w:tab/>
        <w:t>held in Geneva on 11 December 2020</w:t>
      </w:r>
    </w:p>
    <w:p w14:paraId="36DA6B25" w14:textId="77777777" w:rsidR="00046DA6" w:rsidRPr="00C0038C" w:rsidRDefault="00046DA6" w:rsidP="00046DA6">
      <w:pPr>
        <w:pStyle w:val="H23G"/>
      </w:pPr>
      <w:r>
        <w:tab/>
      </w:r>
      <w:r>
        <w:tab/>
      </w:r>
      <w:r w:rsidRPr="00C0038C">
        <w:t>Addendum</w:t>
      </w:r>
    </w:p>
    <w:p w14:paraId="744D3F42" w14:textId="7873C04B" w:rsidR="00046DA6" w:rsidRPr="00FE1778" w:rsidRDefault="00046DA6" w:rsidP="00046DA6">
      <w:pPr>
        <w:pStyle w:val="H1G"/>
      </w:pPr>
      <w:r w:rsidRPr="00C0038C">
        <w:tab/>
      </w:r>
      <w:r w:rsidRPr="00C0038C">
        <w:tab/>
        <w:t>Annex II</w:t>
      </w:r>
    </w:p>
    <w:p w14:paraId="5280B87E" w14:textId="4032304B" w:rsidR="00046DA6" w:rsidRPr="00FE1778" w:rsidRDefault="00046DA6" w:rsidP="00046DA6">
      <w:pPr>
        <w:pStyle w:val="H1G"/>
      </w:pPr>
      <w:r w:rsidRPr="00FE1778">
        <w:tab/>
      </w:r>
      <w:r w:rsidRPr="00FE1778">
        <w:tab/>
        <w:t xml:space="preserve">Amendments to the </w:t>
      </w:r>
      <w:r w:rsidR="006E19A7" w:rsidRPr="006E19A7">
        <w:t>7th revised edition of the Manual of Tests and Criteria (ST/SG/AC.10/11/Rev.7)</w:t>
      </w:r>
    </w:p>
    <w:p w14:paraId="4F9E3A4E" w14:textId="77777777" w:rsidR="003021CF" w:rsidRDefault="003021CF" w:rsidP="00CA6E2F">
      <w:pPr>
        <w:pStyle w:val="SingleTxtG"/>
        <w:ind w:left="0" w:right="-142"/>
        <w:jc w:val="left"/>
      </w:pPr>
    </w:p>
    <w:p w14:paraId="3456ABA1" w14:textId="41E02953" w:rsidR="00F62BBA" w:rsidRDefault="00F62BBA" w:rsidP="003021CF">
      <w:pPr>
        <w:suppressAutoHyphens w:val="0"/>
        <w:kinsoku/>
        <w:overflowPunct/>
        <w:autoSpaceDE/>
        <w:autoSpaceDN/>
        <w:adjustRightInd/>
        <w:snapToGrid/>
        <w:spacing w:after="200" w:line="276" w:lineRule="auto"/>
      </w:pPr>
      <w:r w:rsidRPr="00F2162B">
        <w:br w:type="page"/>
      </w:r>
    </w:p>
    <w:p w14:paraId="5B7BB1E6" w14:textId="77777777" w:rsidR="00CF309D" w:rsidRDefault="00CF309D" w:rsidP="00CF309D">
      <w:pPr>
        <w:pStyle w:val="H1G"/>
      </w:pPr>
      <w:r>
        <w:lastRenderedPageBreak/>
        <w:tab/>
      </w:r>
      <w:r>
        <w:tab/>
        <w:t>General table of contents</w:t>
      </w:r>
    </w:p>
    <w:p w14:paraId="3364B506" w14:textId="77777777" w:rsidR="00CF309D" w:rsidRDefault="00CF309D" w:rsidP="00CF309D">
      <w:pPr>
        <w:pStyle w:val="SingleTxtG"/>
        <w:ind w:left="2268" w:hanging="1134"/>
      </w:pPr>
      <w:r>
        <w:t>13</w:t>
      </w:r>
      <w:r>
        <w:tab/>
        <w:t>Replace “is an unstable explosive” by “can be assigned a division”.</w:t>
      </w:r>
    </w:p>
    <w:p w14:paraId="3981734F" w14:textId="77777777" w:rsidR="00CF309D" w:rsidRDefault="00CF309D" w:rsidP="00CF309D">
      <w:pPr>
        <w:pStyle w:val="SingleTxtG"/>
        <w:ind w:left="2268" w:hanging="1134"/>
      </w:pPr>
      <w:r>
        <w:t>14</w:t>
      </w:r>
      <w:r>
        <w:tab/>
        <w:t>Replace “</w:t>
      </w:r>
      <w:r w:rsidRPr="00823B97">
        <w:t>is too dangerous for transport and classified as a GHS unstable explosive</w:t>
      </w:r>
      <w:r>
        <w:t>” by “</w:t>
      </w:r>
      <w:r w:rsidRPr="00222061">
        <w:t>can be assigned a division</w:t>
      </w:r>
      <w:r>
        <w:t>”.</w:t>
      </w:r>
    </w:p>
    <w:p w14:paraId="2028D8CF" w14:textId="77777777" w:rsidR="00CF309D" w:rsidRPr="00007C2E" w:rsidRDefault="00CF309D" w:rsidP="00CF309D">
      <w:pPr>
        <w:pStyle w:val="H1G"/>
      </w:pPr>
      <w:r>
        <w:tab/>
      </w:r>
      <w:r>
        <w:tab/>
        <w:t>Section 10</w:t>
      </w:r>
    </w:p>
    <w:p w14:paraId="5A125397" w14:textId="77777777" w:rsidR="00CF309D" w:rsidRDefault="00CF309D" w:rsidP="00CF309D">
      <w:pPr>
        <w:pStyle w:val="SingleTxtG"/>
        <w:ind w:left="2268" w:hanging="1134"/>
      </w:pPr>
      <w:r>
        <w:t>10.1.2</w:t>
      </w:r>
      <w:r>
        <w:tab/>
        <w:t>Amend to read as follows:</w:t>
      </w:r>
    </w:p>
    <w:p w14:paraId="0C1DB242" w14:textId="65653836" w:rsidR="00CF309D" w:rsidRDefault="00CF309D" w:rsidP="00CF309D">
      <w:pPr>
        <w:pStyle w:val="SingleTxtG"/>
      </w:pPr>
      <w:r>
        <w:t>“</w:t>
      </w:r>
      <w:r w:rsidR="0022498F">
        <w:t>10.1.2</w:t>
      </w:r>
      <w:r w:rsidR="0022498F">
        <w:tab/>
      </w:r>
      <w:r>
        <w:t xml:space="preserve">The GHS hazard class of explosives covers all sectors. Class 1 of the Model Regulations is a subset of this class and comprises explosives as configured for transport. </w:t>
      </w:r>
    </w:p>
    <w:p w14:paraId="6A4C3EC1" w14:textId="018E0DE9" w:rsidR="00CF309D" w:rsidRDefault="0022498F" w:rsidP="00CF309D">
      <w:pPr>
        <w:pStyle w:val="SingleTxtG"/>
      </w:pPr>
      <w:r>
        <w:tab/>
      </w:r>
      <w:r>
        <w:tab/>
      </w:r>
      <w:r>
        <w:tab/>
      </w:r>
      <w:r w:rsidR="00CF309D">
        <w:t xml:space="preserve">Goods of class 1 must be assigned to one of the six divisions, depending on the type of hazard they present (see Chapter 2.1, paragraph 2.1.1.4 of the Model Regulations) and to one of the thirteen compatibility groups that identify the kinds of explosives that are deemed to be compatible. The division, and occasionally the compatibility group, is also used as a basis for classification in the GHS hazard class for explosives (see Chapter 2.1, section 2.1.2, of the GHS). In addition, the GHS hazard class also comprises explosives that are not assigned a division. </w:t>
      </w:r>
    </w:p>
    <w:p w14:paraId="0A105579" w14:textId="36A45CDA" w:rsidR="00CF309D" w:rsidRDefault="0022498F" w:rsidP="00CF309D">
      <w:pPr>
        <w:pStyle w:val="SingleTxtG"/>
      </w:pPr>
      <w:r>
        <w:tab/>
      </w:r>
      <w:r>
        <w:tab/>
      </w:r>
      <w:r>
        <w:tab/>
      </w:r>
      <w:r w:rsidR="00CF309D">
        <w:t>Explosives that are not assigned a division are forbidden for transport.”</w:t>
      </w:r>
    </w:p>
    <w:p w14:paraId="2FABB0E4" w14:textId="7893DE3A" w:rsidR="00CF309D" w:rsidRDefault="00CF309D" w:rsidP="00CF309D">
      <w:pPr>
        <w:pStyle w:val="SingleTxtG"/>
        <w:ind w:left="2268" w:hanging="1134"/>
      </w:pPr>
      <w:r>
        <w:tab/>
        <w:t>The existing text in 10.1.2 starting with “The general scheme for...” is transferred to a new 10.1.3</w:t>
      </w:r>
      <w:r w:rsidR="00BB68BA">
        <w:t>.</w:t>
      </w:r>
    </w:p>
    <w:p w14:paraId="5BC1401E" w14:textId="7A69E0CC" w:rsidR="00C76020" w:rsidRDefault="00C76020" w:rsidP="00CF309D">
      <w:pPr>
        <w:pStyle w:val="SingleTxtG"/>
        <w:ind w:left="2268" w:hanging="1134"/>
      </w:pPr>
      <w:r>
        <w:tab/>
        <w:t>Renumber exi</w:t>
      </w:r>
      <w:r w:rsidR="00FF11DA">
        <w:t>s</w:t>
      </w:r>
      <w:r>
        <w:t xml:space="preserve">ting 10.1.3 and 10.1.4 </w:t>
      </w:r>
      <w:r w:rsidR="000D2B0D">
        <w:t>as</w:t>
      </w:r>
      <w:r>
        <w:t xml:space="preserve"> </w:t>
      </w:r>
      <w:r w:rsidR="00FF11DA">
        <w:t>10.1.4 and 10.1.5.</w:t>
      </w:r>
    </w:p>
    <w:p w14:paraId="087C54C4" w14:textId="3427E400" w:rsidR="00CF309D" w:rsidRDefault="00CF309D" w:rsidP="00CF309D">
      <w:pPr>
        <w:pStyle w:val="SingleTxtG"/>
        <w:ind w:left="2268" w:hanging="1134"/>
      </w:pPr>
      <w:r>
        <w:t>10.1.</w:t>
      </w:r>
      <w:r w:rsidR="002F36DC">
        <w:t>4 (renumbered)</w:t>
      </w:r>
      <w:r>
        <w:tab/>
        <w:t>In the first sentence, replace “as presented” by “as configured”. In the last sentence, replace “transport classifications” by “classifications in the transport configuration”.</w:t>
      </w:r>
    </w:p>
    <w:p w14:paraId="33E82F46" w14:textId="77777777" w:rsidR="00995509" w:rsidRDefault="00995509" w:rsidP="00995509">
      <w:pPr>
        <w:pStyle w:val="SingleTxtG"/>
        <w:ind w:left="2268" w:hanging="1134"/>
      </w:pPr>
      <w:r>
        <w:t>10.3.1.1</w:t>
      </w:r>
      <w:r>
        <w:tab/>
        <w:t>Amend to read as follows:</w:t>
      </w:r>
    </w:p>
    <w:p w14:paraId="6D6A5908" w14:textId="28239253" w:rsidR="00995509" w:rsidRDefault="00995509" w:rsidP="00995509">
      <w:pPr>
        <w:pStyle w:val="SingleTxtG"/>
      </w:pPr>
      <w:r>
        <w:t>“</w:t>
      </w:r>
      <w:r w:rsidR="001B41F8">
        <w:t>10.3.1.1</w:t>
      </w:r>
      <w:r w:rsidR="001B41F8">
        <w:tab/>
      </w:r>
      <w:r w:rsidRPr="004866CA">
        <w:t xml:space="preserve">The acceptance procedure is used to determine whether or not a substance or article as offered for classification is a candidate for the class of explosives. This is decided by determining whether a substance is either too insensitive for inclusion in this class or is accepted as an explosive but considered too sensitive to mechanical stimuli, heat or flame to assign a division; or whether the article or packaged article </w:t>
      </w:r>
      <w:r w:rsidR="00440EED">
        <w:t>is</w:t>
      </w:r>
      <w:r w:rsidRPr="004866CA">
        <w:t xml:space="preserve"> accepted as an explosive but considered too sensitive to impact or heat to assign a division.</w:t>
      </w:r>
      <w:r>
        <w:t>”</w:t>
      </w:r>
    </w:p>
    <w:p w14:paraId="12E3099C" w14:textId="5042D08D" w:rsidR="00CF309D" w:rsidRDefault="00CF309D" w:rsidP="00F35841">
      <w:pPr>
        <w:pStyle w:val="SingleTxtG"/>
        <w:ind w:left="2268" w:hanging="1134"/>
      </w:pPr>
      <w:r>
        <w:t>Figure 10.1</w:t>
      </w:r>
      <w:r>
        <w:tab/>
      </w:r>
      <w:r w:rsidR="00ED6F3C" w:rsidRPr="00ED6F3C">
        <w:t>In the box “CLASSIFY</w:t>
      </w:r>
      <w:r w:rsidR="00ED6F3C">
        <w:t xml:space="preserve"> </w:t>
      </w:r>
      <w:r w:rsidR="00ED6F3C" w:rsidRPr="00ED6F3C">
        <w:t>AS AN UNSTABLE EXPLOSIVE”, delete “UNSTABLE” and add a new line to read</w:t>
      </w:r>
      <w:r w:rsidR="00ED6F3C">
        <w:t xml:space="preserve"> </w:t>
      </w:r>
      <w:r w:rsidR="00ED6F3C" w:rsidRPr="00ED6F3C">
        <w:t>“No division assigned”.</w:t>
      </w:r>
    </w:p>
    <w:p w14:paraId="7D90BB81" w14:textId="77777777" w:rsidR="00CF309D" w:rsidRDefault="00CF309D" w:rsidP="00CF309D">
      <w:pPr>
        <w:pStyle w:val="SingleTxtG"/>
        <w:ind w:left="2268" w:hanging="1134"/>
      </w:pPr>
      <w:r>
        <w:t>Figure 10.2</w:t>
      </w:r>
      <w:r>
        <w:tab/>
        <w:t>In box 13, replace “unstable” by “too sensitive to assign a division”.</w:t>
      </w:r>
    </w:p>
    <w:p w14:paraId="34764138" w14:textId="77777777" w:rsidR="00CF309D" w:rsidRDefault="00CF309D" w:rsidP="00CF309D">
      <w:pPr>
        <w:pStyle w:val="SingleTxtG"/>
        <w:ind w:left="2268" w:hanging="1134"/>
      </w:pPr>
      <w:r>
        <w:tab/>
        <w:t>In box 16, replace “an unstable explosive” by “too sensitive to assign a division”.</w:t>
      </w:r>
    </w:p>
    <w:p w14:paraId="45BC0D37" w14:textId="6FCA0E12" w:rsidR="00F35841" w:rsidRDefault="00F35841" w:rsidP="00F35841">
      <w:pPr>
        <w:pStyle w:val="SingleTxtG"/>
        <w:ind w:left="2268" w:hanging="1134"/>
      </w:pPr>
      <w:r>
        <w:tab/>
        <w:t>Amend box 17 to read:</w:t>
      </w:r>
    </w:p>
    <w:p w14:paraId="5A53D4B7" w14:textId="77777777" w:rsidR="00F35841" w:rsidRDefault="00F35841" w:rsidP="00F35841">
      <w:pPr>
        <w:pStyle w:val="SingleTxtG"/>
        <w:ind w:left="2268" w:hanging="1134"/>
        <w:jc w:val="center"/>
      </w:pPr>
      <w:r>
        <w:t>“CLASSIFY AS AN EXPLOSIVE</w:t>
      </w:r>
    </w:p>
    <w:p w14:paraId="5D14533C" w14:textId="77777777" w:rsidR="00F35841" w:rsidRDefault="00F35841" w:rsidP="00F35841">
      <w:pPr>
        <w:pStyle w:val="SingleTxtG"/>
        <w:ind w:left="2268" w:hanging="1134"/>
        <w:jc w:val="center"/>
      </w:pPr>
      <w:r>
        <w:t>No division assigned”</w:t>
      </w:r>
    </w:p>
    <w:p w14:paraId="162EB340" w14:textId="77777777" w:rsidR="00CF309D" w:rsidRDefault="00CF309D" w:rsidP="00CF309D">
      <w:pPr>
        <w:pStyle w:val="SingleTxtG"/>
        <w:ind w:left="2268" w:hanging="1134"/>
      </w:pPr>
      <w:r>
        <w:tab/>
        <w:t>In box 19, replace “ACCEPT INTO THIS CLASS” by</w:t>
      </w:r>
      <w:r w:rsidRPr="0003463A">
        <w:t xml:space="preserve"> </w:t>
      </w:r>
      <w:r>
        <w:t>“</w:t>
      </w:r>
      <w:r w:rsidRPr="0003463A">
        <w:t>CLASSIFY AS AN EXPLOSIVE</w:t>
      </w:r>
      <w:r>
        <w:t>”.</w:t>
      </w:r>
    </w:p>
    <w:p w14:paraId="4BCE8F67" w14:textId="77777777" w:rsidR="00156DCA" w:rsidRDefault="00156DCA" w:rsidP="00156DCA">
      <w:pPr>
        <w:pStyle w:val="SingleTxtG"/>
        <w:ind w:left="2268" w:hanging="1134"/>
      </w:pPr>
      <w:r>
        <w:t>10.3.2.4</w:t>
      </w:r>
      <w:r>
        <w:tab/>
        <w:t>In the first sentence, replace “unstable” by “</w:t>
      </w:r>
      <w:r w:rsidRPr="00320D99">
        <w:t>too sensitive to assign a division</w:t>
      </w:r>
      <w:r>
        <w:t>”.</w:t>
      </w:r>
    </w:p>
    <w:p w14:paraId="4E603776" w14:textId="77777777" w:rsidR="00156DCA" w:rsidRDefault="00156DCA" w:rsidP="00156DCA">
      <w:pPr>
        <w:pStyle w:val="SingleTxtG"/>
        <w:ind w:left="2268" w:hanging="1134"/>
      </w:pPr>
      <w:r>
        <w:t>10.3.2.5</w:t>
      </w:r>
      <w:r>
        <w:tab/>
        <w:t>In the first sentence, replace “an unstable explosive” by “</w:t>
      </w:r>
      <w:r w:rsidRPr="00320D99">
        <w:t>too sensitive to assign a division</w:t>
      </w:r>
      <w:r>
        <w:t>”.</w:t>
      </w:r>
    </w:p>
    <w:p w14:paraId="5C3C89ED" w14:textId="77777777" w:rsidR="00156DCA" w:rsidRDefault="00156DCA" w:rsidP="00156DCA">
      <w:pPr>
        <w:pStyle w:val="SingleTxtG"/>
        <w:ind w:left="2268" w:hanging="1134"/>
      </w:pPr>
      <w:r>
        <w:t>10.4.1.1</w:t>
      </w:r>
      <w:r>
        <w:tab/>
        <w:t>Amend the first two sentences to read as follows:</w:t>
      </w:r>
    </w:p>
    <w:p w14:paraId="19841DB2" w14:textId="77777777" w:rsidR="00156DCA" w:rsidRDefault="00156DCA" w:rsidP="00156DCA">
      <w:pPr>
        <w:pStyle w:val="SingleTxtG"/>
      </w:pPr>
      <w:r>
        <w:t>“</w:t>
      </w:r>
      <w:r w:rsidRPr="00124091">
        <w:t xml:space="preserve">Unless considered too sensitive to assign a division, explosives may be assigned one of six divisions, depending on the type of hazard they present (see paragraph 2.1.1.4 of the Model </w:t>
      </w:r>
      <w:r w:rsidRPr="00124091">
        <w:lastRenderedPageBreak/>
        <w:t>Regulations and 2.1.2 of the GHS). Assigning a division is a prerequisite for the transport of explosives (see paragraph 10.1.2). The assignment procedure (figures 10.3 and 10.5) describes how to assign the division for explosive substances and articles. Explosives may also be declared from the outset to be in Division 1.1.</w:t>
      </w:r>
      <w:r>
        <w:t>”</w:t>
      </w:r>
    </w:p>
    <w:p w14:paraId="7C73EBE9" w14:textId="77777777" w:rsidR="00156DCA" w:rsidRDefault="00156DCA" w:rsidP="00156DCA">
      <w:pPr>
        <w:pStyle w:val="SingleTxtG"/>
        <w:ind w:left="2268" w:hanging="1134"/>
      </w:pPr>
      <w:r>
        <w:tab/>
        <w:t>In the next sentence, replace “assigned to” by “assigned”.</w:t>
      </w:r>
    </w:p>
    <w:p w14:paraId="062E36F8" w14:textId="77777777" w:rsidR="00156DCA" w:rsidRDefault="00156DCA" w:rsidP="00156DCA">
      <w:pPr>
        <w:pStyle w:val="SingleTxtG"/>
        <w:ind w:left="2268" w:hanging="1134"/>
      </w:pPr>
      <w:r>
        <w:tab/>
        <w:t>In the penultimate sentence, replace “</w:t>
      </w:r>
      <w:r w:rsidRPr="00DB4463">
        <w:t>2.1.1.2 (b) of the GHS</w:t>
      </w:r>
      <w:r>
        <w:t>” by “</w:t>
      </w:r>
      <w:r w:rsidRPr="00DB4463">
        <w:t>2.1.1.2</w:t>
      </w:r>
      <w:r>
        <w:t>.1</w:t>
      </w:r>
      <w:r w:rsidRPr="00DB4463">
        <w:t xml:space="preserve"> (b) of the GHS</w:t>
      </w:r>
      <w:r>
        <w:t>”.</w:t>
      </w:r>
    </w:p>
    <w:p w14:paraId="34510FC2" w14:textId="2560C78F" w:rsidR="00CF309D" w:rsidRPr="00EF4ECF" w:rsidRDefault="00CF309D" w:rsidP="00CF309D">
      <w:pPr>
        <w:pStyle w:val="SingleTxtG"/>
        <w:ind w:left="2268" w:hanging="1134"/>
      </w:pPr>
      <w:r w:rsidRPr="00EF4ECF">
        <w:t>Figure 10.4</w:t>
      </w:r>
      <w:r w:rsidRPr="00EF4ECF">
        <w:tab/>
        <w:t>In box 6</w:t>
      </w:r>
      <w:r w:rsidR="00A72AE9" w:rsidRPr="00EF4ECF">
        <w:t>, delete “unstable” and, at the end, add a full stop and “No division assigned</w:t>
      </w:r>
      <w:r w:rsidR="00462B18" w:rsidRPr="00EF4ECF">
        <w:t>.</w:t>
      </w:r>
      <w:r w:rsidR="00A72AE9" w:rsidRPr="00EF4ECF">
        <w:t>”.</w:t>
      </w:r>
    </w:p>
    <w:p w14:paraId="24D65DAB" w14:textId="6432E102" w:rsidR="00CF309D" w:rsidRDefault="00CF309D" w:rsidP="00CF309D">
      <w:pPr>
        <w:pStyle w:val="SingleTxtG"/>
        <w:ind w:left="2268" w:hanging="1134"/>
      </w:pPr>
      <w:r w:rsidRPr="00EF4ECF">
        <w:tab/>
        <w:t xml:space="preserve">In box 7, delete “other </w:t>
      </w:r>
      <w:r w:rsidRPr="009D5FB7">
        <w:t>than as an unstable explosive”</w:t>
      </w:r>
      <w:r w:rsidR="00CA74FC" w:rsidRPr="009D5FB7">
        <w:t xml:space="preserve"> and</w:t>
      </w:r>
      <w:r w:rsidR="006E0C1A" w:rsidRPr="009D5FB7">
        <w:t xml:space="preserve"> replace the semicolon by a full stop</w:t>
      </w:r>
      <w:r w:rsidRPr="009D5FB7">
        <w:t>.</w:t>
      </w:r>
    </w:p>
    <w:p w14:paraId="39B1FCF0" w14:textId="77777777" w:rsidR="00CF309D" w:rsidRDefault="00CF309D" w:rsidP="00CF309D">
      <w:pPr>
        <w:pStyle w:val="SingleTxtG"/>
        <w:ind w:left="2268" w:hanging="1134"/>
      </w:pPr>
      <w:r>
        <w:t>Figure 10.6 (a)</w:t>
      </w:r>
      <w:r>
        <w:tab/>
        <w:t>In the row for “Box 13”, replace “unstable” by “too sensitive to assign a division”.</w:t>
      </w:r>
    </w:p>
    <w:p w14:paraId="270268CB" w14:textId="77777777" w:rsidR="00A2212A" w:rsidRDefault="00CF309D" w:rsidP="00A2212A">
      <w:pPr>
        <w:pStyle w:val="SingleTxtG"/>
        <w:ind w:left="2268" w:hanging="1134"/>
      </w:pPr>
      <w:r>
        <w:t>Figure 10.6 (b)</w:t>
      </w:r>
      <w:r>
        <w:tab/>
      </w:r>
      <w:r w:rsidR="00A2212A">
        <w:t>In box 13, replace “unstable” by “too sensitive to assign a division”.</w:t>
      </w:r>
    </w:p>
    <w:p w14:paraId="227AFC6E" w14:textId="77777777" w:rsidR="00A2212A" w:rsidRDefault="00A2212A" w:rsidP="00A2212A">
      <w:pPr>
        <w:pStyle w:val="SingleTxtG"/>
        <w:ind w:left="2268" w:hanging="1134"/>
      </w:pPr>
      <w:r>
        <w:tab/>
        <w:t>In box 16, replace “an unstable explosive” by “too sensitive to assign a division”.</w:t>
      </w:r>
    </w:p>
    <w:p w14:paraId="6332C2C7" w14:textId="77777777" w:rsidR="00A2212A" w:rsidRDefault="00A2212A" w:rsidP="00A2212A">
      <w:pPr>
        <w:pStyle w:val="SingleTxtG"/>
        <w:ind w:left="2268" w:hanging="1134"/>
      </w:pPr>
      <w:r>
        <w:tab/>
        <w:t>Amend box 17 to read:</w:t>
      </w:r>
    </w:p>
    <w:p w14:paraId="2D673CB0" w14:textId="77777777" w:rsidR="00A2212A" w:rsidRDefault="00A2212A" w:rsidP="00A2212A">
      <w:pPr>
        <w:pStyle w:val="SingleTxtG"/>
        <w:ind w:left="2268" w:hanging="1134"/>
        <w:jc w:val="center"/>
      </w:pPr>
      <w:r>
        <w:t>“CLASSIFY AS AN EXPLOSIVE</w:t>
      </w:r>
    </w:p>
    <w:p w14:paraId="6C8FF118" w14:textId="77777777" w:rsidR="00A2212A" w:rsidRDefault="00A2212A" w:rsidP="00A2212A">
      <w:pPr>
        <w:pStyle w:val="SingleTxtG"/>
        <w:ind w:left="2268" w:hanging="1134"/>
        <w:jc w:val="center"/>
      </w:pPr>
      <w:r>
        <w:t>No division assigned”</w:t>
      </w:r>
    </w:p>
    <w:p w14:paraId="692118A8" w14:textId="77777777" w:rsidR="00A2212A" w:rsidRDefault="00A2212A" w:rsidP="00A2212A">
      <w:pPr>
        <w:pStyle w:val="SingleTxtG"/>
        <w:ind w:left="2268" w:hanging="1134"/>
      </w:pPr>
      <w:r>
        <w:tab/>
        <w:t>In box 19, replace “ACCEPT INTO THIS CLASS” by</w:t>
      </w:r>
      <w:r w:rsidRPr="0003463A">
        <w:t xml:space="preserve"> </w:t>
      </w:r>
      <w:r>
        <w:t>“</w:t>
      </w:r>
      <w:r w:rsidRPr="0003463A">
        <w:t>CLASSIFY AS AN EXPLOSIVE</w:t>
      </w:r>
      <w:r>
        <w:t>”.</w:t>
      </w:r>
    </w:p>
    <w:p w14:paraId="1E70DB15" w14:textId="35BBD773" w:rsidR="00CF309D" w:rsidRDefault="00CF309D" w:rsidP="00A2212A">
      <w:pPr>
        <w:pStyle w:val="SingleTxtG"/>
        <w:ind w:left="2268" w:hanging="1134"/>
      </w:pPr>
      <w:r>
        <w:t>Figure 10.7 (a)</w:t>
      </w:r>
      <w:r>
        <w:tab/>
        <w:t>In the row for “Box 13”, replace “unstable” by “too sensitive to assign a division”.</w:t>
      </w:r>
    </w:p>
    <w:p w14:paraId="2DEC7A7A" w14:textId="77777777" w:rsidR="00A2212A" w:rsidRDefault="00CF309D" w:rsidP="00A2212A">
      <w:pPr>
        <w:pStyle w:val="SingleTxtG"/>
        <w:ind w:left="2268" w:hanging="1134"/>
      </w:pPr>
      <w:r>
        <w:t>Figure 10.7 (b)</w:t>
      </w:r>
      <w:r>
        <w:tab/>
      </w:r>
      <w:r w:rsidR="00A2212A">
        <w:t>In box 13, replace “unstable” by “too sensitive to assign a division”.</w:t>
      </w:r>
    </w:p>
    <w:p w14:paraId="642369D1" w14:textId="77777777" w:rsidR="00A2212A" w:rsidRDefault="00A2212A" w:rsidP="00A2212A">
      <w:pPr>
        <w:pStyle w:val="SingleTxtG"/>
        <w:ind w:left="2268" w:hanging="1134"/>
      </w:pPr>
      <w:r>
        <w:tab/>
        <w:t>In box 16, replace “an unstable explosive” by “too sensitive to assign a division”.</w:t>
      </w:r>
    </w:p>
    <w:p w14:paraId="3D9F6C6A" w14:textId="77777777" w:rsidR="00A2212A" w:rsidRDefault="00A2212A" w:rsidP="00A2212A">
      <w:pPr>
        <w:pStyle w:val="SingleTxtG"/>
        <w:ind w:left="2268" w:hanging="1134"/>
      </w:pPr>
      <w:r>
        <w:tab/>
        <w:t>Amend box 17 to read:</w:t>
      </w:r>
    </w:p>
    <w:p w14:paraId="280EF128" w14:textId="77777777" w:rsidR="00A2212A" w:rsidRDefault="00A2212A" w:rsidP="00A2212A">
      <w:pPr>
        <w:pStyle w:val="SingleTxtG"/>
        <w:ind w:left="2268" w:hanging="1134"/>
        <w:jc w:val="center"/>
      </w:pPr>
      <w:r>
        <w:t>“CLASSIFY AS AN EXPLOSIVE</w:t>
      </w:r>
    </w:p>
    <w:p w14:paraId="60464C6B" w14:textId="77777777" w:rsidR="00A2212A" w:rsidRDefault="00A2212A" w:rsidP="00A2212A">
      <w:pPr>
        <w:pStyle w:val="SingleTxtG"/>
        <w:ind w:left="2268" w:hanging="1134"/>
        <w:jc w:val="center"/>
      </w:pPr>
      <w:r>
        <w:t>No division assigned”</w:t>
      </w:r>
    </w:p>
    <w:p w14:paraId="03EE8A41" w14:textId="77777777" w:rsidR="00A2212A" w:rsidRDefault="00A2212A" w:rsidP="00A2212A">
      <w:pPr>
        <w:pStyle w:val="SingleTxtG"/>
        <w:ind w:left="2268" w:hanging="1134"/>
      </w:pPr>
      <w:r>
        <w:tab/>
        <w:t>In box 19, replace “ACCEPT INTO THIS CLASS” by</w:t>
      </w:r>
      <w:r w:rsidRPr="0003463A">
        <w:t xml:space="preserve"> </w:t>
      </w:r>
      <w:r>
        <w:t>“</w:t>
      </w:r>
      <w:r w:rsidRPr="0003463A">
        <w:t>CLASSIFY AS AN EXPLOSIVE</w:t>
      </w:r>
      <w:r>
        <w:t>”.</w:t>
      </w:r>
    </w:p>
    <w:p w14:paraId="3617481A" w14:textId="713A89DF" w:rsidR="00CF309D" w:rsidRPr="00007C2E" w:rsidRDefault="00CF309D" w:rsidP="00630929">
      <w:pPr>
        <w:pStyle w:val="H1G"/>
      </w:pPr>
      <w:r>
        <w:tab/>
      </w:r>
      <w:r>
        <w:tab/>
        <w:t>Section 13</w:t>
      </w:r>
    </w:p>
    <w:p w14:paraId="3635E9E8" w14:textId="77777777" w:rsidR="00CF309D" w:rsidRDefault="00CF309D" w:rsidP="00CF309D">
      <w:pPr>
        <w:pStyle w:val="SingleTxtG"/>
        <w:ind w:left="2268" w:hanging="1134"/>
      </w:pPr>
      <w:r>
        <w:t>13.1</w:t>
      </w:r>
      <w:r>
        <w:tab/>
        <w:t>Amend the text below the heading to read as follows and delete the note:</w:t>
      </w:r>
    </w:p>
    <w:p w14:paraId="4D5B48AA" w14:textId="77777777" w:rsidR="00CF309D" w:rsidRDefault="00CF309D" w:rsidP="00CF309D">
      <w:pPr>
        <w:pStyle w:val="SingleTxtG"/>
      </w:pPr>
      <w:r>
        <w:t>“</w:t>
      </w:r>
      <w:r w:rsidRPr="00855CA9">
        <w:t>This test series is used to answer the questions in boxes 12 and 13 of Figure 10.2 by determining the sensitiveness of the substance to mechanical stimuli (impact and friction), to heat and to flame. The question in box 12 is answered "no" if a "+" is obtained in test type 3(c) and the substance is considered too sensitive to assign a division. The question in box 13 is answered "yes" if a "+" is obtained in any of the test types 3(a), 3(b) or 3(d). If a "+" is obtained, the substance is considered too sensitive to assign a division in the form in which it was tested but may be encapsulated or otherwise desensitized or packaged to reduce its sensitiveness to external stimuli.</w:t>
      </w:r>
      <w:r>
        <w:t>”</w:t>
      </w:r>
    </w:p>
    <w:p w14:paraId="0285BF20" w14:textId="77777777" w:rsidR="00CF309D" w:rsidRDefault="00CF309D" w:rsidP="00CF309D">
      <w:pPr>
        <w:pStyle w:val="SingleTxtG"/>
        <w:ind w:left="2268" w:hanging="1134"/>
      </w:pPr>
      <w:r>
        <w:t>13.4.1.1</w:t>
      </w:r>
      <w:r>
        <w:tab/>
        <w:t>In the first sentence, replace “an unstable explosive” by “too sensitive to assign a division”.</w:t>
      </w:r>
    </w:p>
    <w:p w14:paraId="45B5D550" w14:textId="77777777" w:rsidR="00CF309D" w:rsidRDefault="00CF309D" w:rsidP="00CF309D">
      <w:pPr>
        <w:pStyle w:val="SingleTxtG"/>
        <w:ind w:left="2268" w:hanging="1134"/>
      </w:pPr>
      <w:r>
        <w:t>13.4.1.4.1</w:t>
      </w:r>
      <w:r>
        <w:tab/>
        <w:t>In the first sentence, replace “an unstable explosive” by “too sensitive to assign a division”.</w:t>
      </w:r>
    </w:p>
    <w:p w14:paraId="0AD2CA01" w14:textId="77777777" w:rsidR="00CF309D" w:rsidRDefault="00CF309D" w:rsidP="00CF309D">
      <w:pPr>
        <w:pStyle w:val="SingleTxtG"/>
        <w:ind w:left="2268" w:hanging="1134"/>
      </w:pPr>
      <w:r>
        <w:lastRenderedPageBreak/>
        <w:t>13.4.1.4.2</w:t>
      </w:r>
      <w:r>
        <w:tab/>
        <w:t>In the first sentence, replace “an unstable explosive” by “too sensitive to assign a division”.</w:t>
      </w:r>
    </w:p>
    <w:p w14:paraId="2B3D7DF4" w14:textId="77777777" w:rsidR="00CF309D" w:rsidRDefault="00CF309D" w:rsidP="00CF309D">
      <w:pPr>
        <w:pStyle w:val="SingleTxtG"/>
        <w:ind w:left="2268" w:hanging="1134"/>
      </w:pPr>
      <w:r w:rsidRPr="0064633B">
        <w:t>13.4.2.1</w:t>
      </w:r>
      <w:r w:rsidRPr="0064633B">
        <w:tab/>
        <w:t>In the first sentence, replace “an unstable explosive” by “too sensitive to assign a division”.</w:t>
      </w:r>
    </w:p>
    <w:p w14:paraId="6942D6B0" w14:textId="77777777" w:rsidR="00CF309D" w:rsidRDefault="00CF309D" w:rsidP="00CF309D">
      <w:pPr>
        <w:pStyle w:val="SingleTxtG"/>
        <w:ind w:left="2268" w:hanging="1134"/>
      </w:pPr>
      <w:r>
        <w:t>13.4.2.4</w:t>
      </w:r>
      <w:r>
        <w:tab/>
        <w:t>In the paragraph after the indents, in the first sentence, replace “an unstable explosive” by “too sensitive to assign a division”.</w:t>
      </w:r>
    </w:p>
    <w:p w14:paraId="7418CACA" w14:textId="77777777" w:rsidR="00CF309D" w:rsidRDefault="00CF309D" w:rsidP="00CF309D">
      <w:pPr>
        <w:pStyle w:val="SingleTxtG"/>
        <w:ind w:left="2268" w:hanging="1134"/>
      </w:pPr>
      <w:r>
        <w:t>13.4.3.1</w:t>
      </w:r>
      <w:r>
        <w:tab/>
        <w:t>In the first sentence, replace “an unstable explosive” by “too sensitive to assign a division”.</w:t>
      </w:r>
    </w:p>
    <w:p w14:paraId="0C456A32" w14:textId="77777777" w:rsidR="00CF309D" w:rsidRDefault="00CF309D" w:rsidP="00CF309D">
      <w:pPr>
        <w:pStyle w:val="SingleTxtG"/>
        <w:ind w:left="2268" w:hanging="1134"/>
      </w:pPr>
      <w:r>
        <w:t>13.4.3.4.1</w:t>
      </w:r>
      <w:r>
        <w:tab/>
        <w:t>In the paragraph after the indents, in the first and last sentences, replace “an unstable explosive” by “too sensitive to assign a division”.</w:t>
      </w:r>
    </w:p>
    <w:p w14:paraId="6B5D8B66" w14:textId="77777777" w:rsidR="00CF309D" w:rsidRDefault="00CF309D" w:rsidP="00CF309D">
      <w:pPr>
        <w:pStyle w:val="SingleTxtG"/>
        <w:ind w:left="2268" w:hanging="1134"/>
      </w:pPr>
      <w:r>
        <w:t>13.4.3.4.2</w:t>
      </w:r>
      <w:r>
        <w:tab/>
        <w:t>In the paragraph after the indents, in the third and penultimate sentences, replace “an unstable explosive” by “too sensitive to assign a division”.</w:t>
      </w:r>
    </w:p>
    <w:p w14:paraId="368F7162" w14:textId="77777777" w:rsidR="00CF309D" w:rsidRDefault="00CF309D" w:rsidP="00CF309D">
      <w:pPr>
        <w:pStyle w:val="SingleTxtG"/>
        <w:ind w:left="2268" w:hanging="1134"/>
      </w:pPr>
      <w:r>
        <w:t>13.4.4.1</w:t>
      </w:r>
      <w:r>
        <w:tab/>
        <w:t>Replace “an unstable explosive” by “too sensitive to assign a division”.</w:t>
      </w:r>
    </w:p>
    <w:p w14:paraId="13A15FD5" w14:textId="77777777" w:rsidR="00CF309D" w:rsidRDefault="00CF309D" w:rsidP="00CF309D">
      <w:pPr>
        <w:pStyle w:val="SingleTxtG"/>
        <w:ind w:left="2268" w:hanging="1134"/>
      </w:pPr>
      <w:r>
        <w:t>13.4.4.4</w:t>
      </w:r>
      <w:r>
        <w:tab/>
        <w:t>In the paragraph after the indents, in the first sentence, replace “an unstable explosive” by “too sensitive to assign a division”.</w:t>
      </w:r>
    </w:p>
    <w:p w14:paraId="0A7C3FE7" w14:textId="77777777" w:rsidR="00CF309D" w:rsidRDefault="00CF309D" w:rsidP="00CF309D">
      <w:pPr>
        <w:pStyle w:val="SingleTxtG"/>
        <w:ind w:left="2268" w:hanging="1134"/>
      </w:pPr>
      <w:r>
        <w:t>13.4.5.1</w:t>
      </w:r>
      <w:r>
        <w:tab/>
        <w:t>In the first sentence, replace “an unstable explosive” by “too sensitive to assign a division”.</w:t>
      </w:r>
    </w:p>
    <w:p w14:paraId="79264F91" w14:textId="77777777" w:rsidR="00CF309D" w:rsidRDefault="00CF309D" w:rsidP="00CF309D">
      <w:pPr>
        <w:pStyle w:val="SingleTxtG"/>
        <w:ind w:left="2268" w:hanging="1134"/>
      </w:pPr>
      <w:r>
        <w:t>13.4.5.4.2</w:t>
      </w:r>
      <w:r>
        <w:tab/>
        <w:t>In the first sentence, replace “an unstable explosive” by “too sensitive to assign a division”.</w:t>
      </w:r>
    </w:p>
    <w:p w14:paraId="74FD776F" w14:textId="77777777" w:rsidR="00CF309D" w:rsidRDefault="00CF309D" w:rsidP="00CF309D">
      <w:pPr>
        <w:pStyle w:val="SingleTxtG"/>
        <w:ind w:left="2268" w:hanging="1134"/>
      </w:pPr>
      <w:r>
        <w:t>13.4.5.4.3</w:t>
      </w:r>
      <w:r>
        <w:tab/>
        <w:t>In the first sentence, replace “an unstable explosive” by “too sensitive to assign a division”.</w:t>
      </w:r>
    </w:p>
    <w:p w14:paraId="1D58D20A" w14:textId="77777777" w:rsidR="00CF309D" w:rsidRDefault="00CF309D" w:rsidP="00CF309D">
      <w:pPr>
        <w:pStyle w:val="SingleTxtG"/>
        <w:ind w:left="2268" w:hanging="1134"/>
      </w:pPr>
      <w:r>
        <w:t>13.4.6.1</w:t>
      </w:r>
      <w:r>
        <w:tab/>
        <w:t>Replace “an unstable explosive” by “too sensitive to assign a division”.</w:t>
      </w:r>
    </w:p>
    <w:p w14:paraId="59866AD4" w14:textId="77777777" w:rsidR="00CF309D" w:rsidRDefault="00CF309D" w:rsidP="00CF309D">
      <w:pPr>
        <w:pStyle w:val="SingleTxtG"/>
        <w:ind w:left="2268" w:hanging="1134"/>
      </w:pPr>
      <w:r>
        <w:t>13.4.6.4.1</w:t>
      </w:r>
      <w:r>
        <w:tab/>
        <w:t>In the paragraph after the indents, in the first sentence, replace “an unstable explosive” by “too sensitive to assign a division”.</w:t>
      </w:r>
    </w:p>
    <w:p w14:paraId="3AE0D259" w14:textId="77777777" w:rsidR="00CF309D" w:rsidRDefault="00CF309D" w:rsidP="00CF309D">
      <w:pPr>
        <w:pStyle w:val="SingleTxtG"/>
        <w:ind w:left="2268" w:hanging="1134"/>
      </w:pPr>
      <w:r>
        <w:t>13.4.6.4.2</w:t>
      </w:r>
      <w:r>
        <w:tab/>
        <w:t>In the paragraph after the indents, in the first sentence, replace “an unstable explosive” by “too sensitive to assign a division”.</w:t>
      </w:r>
    </w:p>
    <w:p w14:paraId="36B96486" w14:textId="77777777" w:rsidR="00CF309D" w:rsidRDefault="00CF309D" w:rsidP="00CF309D">
      <w:pPr>
        <w:pStyle w:val="SingleTxtG"/>
        <w:ind w:left="2268" w:hanging="1134"/>
      </w:pPr>
      <w:r>
        <w:t>13.4.7.1</w:t>
      </w:r>
      <w:r>
        <w:tab/>
        <w:t>Replace “an unstable explosive” by “too sensitive to assign a division”.</w:t>
      </w:r>
    </w:p>
    <w:p w14:paraId="4B6CFE63" w14:textId="77777777" w:rsidR="00CF309D" w:rsidRDefault="00CF309D" w:rsidP="00CF309D">
      <w:pPr>
        <w:pStyle w:val="SingleTxtG"/>
        <w:ind w:left="2268" w:hanging="1134"/>
      </w:pPr>
      <w:r>
        <w:t>13.4.7.5.1</w:t>
      </w:r>
      <w:r>
        <w:tab/>
        <w:t>In the first sentence, replace “an unstable explosive” by “too sensitive to assign a division”.</w:t>
      </w:r>
    </w:p>
    <w:p w14:paraId="403CD4C5" w14:textId="77777777" w:rsidR="00CF309D" w:rsidRDefault="00CF309D" w:rsidP="00CF309D">
      <w:pPr>
        <w:pStyle w:val="SingleTxtG"/>
        <w:ind w:left="2268" w:hanging="1134"/>
      </w:pPr>
      <w:r>
        <w:t>13.4.7.5.2</w:t>
      </w:r>
      <w:r>
        <w:tab/>
        <w:t>In the first sentence, replace “an unstable explosive” by “too sensitive to assign a division”.</w:t>
      </w:r>
    </w:p>
    <w:p w14:paraId="45439C96" w14:textId="77777777" w:rsidR="00CF309D" w:rsidRDefault="00CF309D" w:rsidP="00CF309D">
      <w:pPr>
        <w:pStyle w:val="SingleTxtG"/>
        <w:ind w:left="2268" w:hanging="1134"/>
      </w:pPr>
      <w:r>
        <w:t>13.5.1.1</w:t>
      </w:r>
      <w:r>
        <w:tab/>
        <w:t>Replace “an unstable explosive” by “too sensitive to assign a division”.</w:t>
      </w:r>
    </w:p>
    <w:p w14:paraId="65C54D41" w14:textId="77777777" w:rsidR="00CF309D" w:rsidRDefault="00CF309D" w:rsidP="00CF309D">
      <w:pPr>
        <w:pStyle w:val="SingleTxtG"/>
        <w:ind w:left="2268" w:hanging="1134"/>
      </w:pPr>
      <w:r>
        <w:t>13.5.1.4</w:t>
      </w:r>
      <w:r>
        <w:tab/>
        <w:t>In the paragraph after the indents, in the first sentence, replace “an unstable explosive” by “too sensitive to assign a division”.</w:t>
      </w:r>
    </w:p>
    <w:p w14:paraId="56C0C749" w14:textId="77777777" w:rsidR="00CF309D" w:rsidRDefault="00CF309D" w:rsidP="00CF309D">
      <w:pPr>
        <w:pStyle w:val="SingleTxtG"/>
        <w:ind w:left="2268" w:hanging="1134"/>
      </w:pPr>
      <w:r>
        <w:t>13.5.2.1</w:t>
      </w:r>
      <w:r>
        <w:tab/>
        <w:t>Replace “an unstable explosive” by “too sensitive to assign a division”.</w:t>
      </w:r>
    </w:p>
    <w:p w14:paraId="681E4CC2" w14:textId="77777777" w:rsidR="00CF309D" w:rsidRDefault="00CF309D" w:rsidP="00CF309D">
      <w:pPr>
        <w:pStyle w:val="SingleTxtG"/>
        <w:ind w:left="2268" w:hanging="1134"/>
      </w:pPr>
      <w:r>
        <w:t>13.5.2.4</w:t>
      </w:r>
      <w:r>
        <w:tab/>
        <w:t>In the paragraph after the indents, in the first and last sentences, replace “an unstable explosive” by “too sensitive to assign a division”.</w:t>
      </w:r>
    </w:p>
    <w:p w14:paraId="081E309D" w14:textId="77777777" w:rsidR="00CF309D" w:rsidRDefault="00CF309D" w:rsidP="00CF309D">
      <w:pPr>
        <w:pStyle w:val="SingleTxtG"/>
        <w:ind w:left="2268" w:hanging="1134"/>
      </w:pPr>
      <w:r>
        <w:t>13.5.3.1</w:t>
      </w:r>
      <w:r>
        <w:tab/>
        <w:t>Replace “an unstable explosive” by “too sensitive to assign a division”.</w:t>
      </w:r>
    </w:p>
    <w:p w14:paraId="5142B2AD" w14:textId="77777777" w:rsidR="00CF309D" w:rsidRDefault="00CF309D" w:rsidP="00CF309D">
      <w:pPr>
        <w:pStyle w:val="SingleTxtG"/>
        <w:ind w:left="2268" w:hanging="1134"/>
      </w:pPr>
      <w:r>
        <w:t>13.5.3.4</w:t>
      </w:r>
      <w:r>
        <w:tab/>
        <w:t>In the paragraph after the indents, in the first sentence, replace “an unstable explosive” by “too sensitive to assign a division”.</w:t>
      </w:r>
    </w:p>
    <w:p w14:paraId="117D2C38" w14:textId="77777777" w:rsidR="00CF309D" w:rsidRDefault="00CF309D" w:rsidP="00CF309D">
      <w:pPr>
        <w:pStyle w:val="SingleTxtG"/>
        <w:ind w:left="2268" w:hanging="1134"/>
      </w:pPr>
      <w:r>
        <w:t>13.5.4.1</w:t>
      </w:r>
      <w:r>
        <w:tab/>
        <w:t>Replace “an unstable explosive” by “too sensitive to assign a division”.</w:t>
      </w:r>
    </w:p>
    <w:p w14:paraId="0AD83E6A" w14:textId="77777777" w:rsidR="00CF309D" w:rsidRDefault="00CF309D" w:rsidP="00CF309D">
      <w:pPr>
        <w:pStyle w:val="SingleTxtG"/>
        <w:ind w:left="2268" w:hanging="1134"/>
      </w:pPr>
      <w:r>
        <w:t>13.5.4.5</w:t>
      </w:r>
      <w:r>
        <w:tab/>
        <w:t>In the first sentence, replace “an unstable explosive” by “too sensitive to assign a division”.</w:t>
      </w:r>
    </w:p>
    <w:p w14:paraId="1F2D199E" w14:textId="77777777" w:rsidR="00CF309D" w:rsidRDefault="00CF309D" w:rsidP="00CF309D">
      <w:pPr>
        <w:pStyle w:val="SingleTxtG"/>
        <w:ind w:left="2268" w:hanging="1134"/>
      </w:pPr>
      <w:r>
        <w:t>13.6.1.3.1</w:t>
      </w:r>
      <w:r>
        <w:tab/>
        <w:t>Replace “</w:t>
      </w:r>
      <w:r w:rsidRPr="005D7BBC">
        <w:t xml:space="preserve">too thermally unstable for transport and shall be categorized </w:t>
      </w:r>
      <w:r>
        <w:t>as an unstable explosive” by “considered too sensitive to assign a division”.</w:t>
      </w:r>
    </w:p>
    <w:p w14:paraId="4B8B5826" w14:textId="741907C4" w:rsidR="00CF309D" w:rsidRDefault="00CF309D" w:rsidP="00CF309D">
      <w:pPr>
        <w:pStyle w:val="SingleTxtG"/>
        <w:ind w:left="2268" w:hanging="1134"/>
      </w:pPr>
      <w:r>
        <w:lastRenderedPageBreak/>
        <w:t>13.6.1.4.2</w:t>
      </w:r>
      <w:r>
        <w:tab/>
        <w:t>Replace “</w:t>
      </w:r>
      <w:r w:rsidR="008C1703">
        <w:t xml:space="preserve">, </w:t>
      </w:r>
      <w:r w:rsidRPr="00A84CB3">
        <w:t>shall be categorised as an unstable explosive and is not permitted for transport</w:t>
      </w:r>
      <w:r>
        <w:t>” by “</w:t>
      </w:r>
      <w:r w:rsidRPr="00CA6ED7">
        <w:t>and therefore too sensitive to assign a division</w:t>
      </w:r>
      <w:r>
        <w:t>”.</w:t>
      </w:r>
    </w:p>
    <w:p w14:paraId="0A7F5BA2" w14:textId="0236ADAD" w:rsidR="00CF309D" w:rsidRDefault="00CF309D" w:rsidP="00CF309D">
      <w:pPr>
        <w:pStyle w:val="SingleTxtG"/>
        <w:ind w:left="2268" w:hanging="1134"/>
      </w:pPr>
      <w:r>
        <w:t>13.6.2.4.2</w:t>
      </w:r>
      <w:r>
        <w:tab/>
        <w:t>Replace “</w:t>
      </w:r>
      <w:r w:rsidR="00F1656A">
        <w:t xml:space="preserve">, </w:t>
      </w:r>
      <w:r w:rsidRPr="00A84CB3">
        <w:t>shall be categorised as an unstable explosive and is not permitted for transport</w:t>
      </w:r>
      <w:r>
        <w:t>” by “</w:t>
      </w:r>
      <w:r w:rsidRPr="00CA6ED7">
        <w:t>and therefore too sensitive to assign a division</w:t>
      </w:r>
      <w:r>
        <w:t>”.</w:t>
      </w:r>
    </w:p>
    <w:p w14:paraId="1EE5A0C6" w14:textId="77777777" w:rsidR="00CF309D" w:rsidRDefault="00CF309D" w:rsidP="00CF309D">
      <w:pPr>
        <w:pStyle w:val="SingleTxtG"/>
        <w:ind w:left="2268" w:hanging="1134"/>
      </w:pPr>
      <w:r>
        <w:t>13.7.1.3</w:t>
      </w:r>
      <w:r>
        <w:tab/>
        <w:t>In the paragraph after the indents, in the second sentence, replace “an unstable explosive” by “too sensitive to assign a division”.</w:t>
      </w:r>
    </w:p>
    <w:p w14:paraId="70E81DB4" w14:textId="77777777" w:rsidR="00CF309D" w:rsidRPr="00007C2E" w:rsidRDefault="00CF309D" w:rsidP="00CF309D">
      <w:pPr>
        <w:pStyle w:val="H1G"/>
      </w:pPr>
      <w:r>
        <w:tab/>
      </w:r>
      <w:r>
        <w:tab/>
        <w:t>Section 14</w:t>
      </w:r>
    </w:p>
    <w:p w14:paraId="13C87BB4" w14:textId="33FA0A77" w:rsidR="00CF309D" w:rsidRDefault="00CF309D" w:rsidP="00CF309D">
      <w:pPr>
        <w:pStyle w:val="SingleTxtG"/>
        <w:ind w:left="2268" w:hanging="1134"/>
      </w:pPr>
      <w:r>
        <w:t>14.1.1</w:t>
      </w:r>
      <w:r>
        <w:tab/>
        <w:t>In the first sentence, replace “</w:t>
      </w:r>
      <w:r w:rsidR="0089400E">
        <w:t>too dangerous for transport</w:t>
      </w:r>
      <w:r>
        <w:t>” by “too sensitive to assign a division”.</w:t>
      </w:r>
    </w:p>
    <w:p w14:paraId="2CCA2026" w14:textId="5A97D932" w:rsidR="00CF309D" w:rsidRDefault="00CF309D" w:rsidP="00CF309D">
      <w:pPr>
        <w:pStyle w:val="SingleTxtG"/>
        <w:ind w:left="2268" w:hanging="1134"/>
      </w:pPr>
      <w:r>
        <w:t>14.4.1.1</w:t>
      </w:r>
      <w:r>
        <w:tab/>
        <w:t>In the first sentence, replace “</w:t>
      </w:r>
      <w:r w:rsidR="00E548B5">
        <w:t>too hazardous for transport</w:t>
      </w:r>
      <w:r>
        <w:t>” by “too sensitive to assign a division”.</w:t>
      </w:r>
    </w:p>
    <w:p w14:paraId="7410FF0B" w14:textId="1BEC1A26" w:rsidR="00CF309D" w:rsidRDefault="00CF309D" w:rsidP="00CF309D">
      <w:pPr>
        <w:pStyle w:val="SingleTxtG"/>
        <w:ind w:left="2268" w:hanging="1134"/>
      </w:pPr>
      <w:r>
        <w:t>14.4.1.4</w:t>
      </w:r>
      <w:r>
        <w:tab/>
        <w:t>In the first sentence, replace “</w:t>
      </w:r>
      <w:r w:rsidR="00E548B5">
        <w:t>too dangerous for transport</w:t>
      </w:r>
      <w:r>
        <w:t>” by “too sensitive to assign a division”.</w:t>
      </w:r>
    </w:p>
    <w:p w14:paraId="0A6C7DDD" w14:textId="4D400C9D" w:rsidR="00CF309D" w:rsidRDefault="00CF309D" w:rsidP="00CF309D">
      <w:pPr>
        <w:pStyle w:val="SingleTxtG"/>
        <w:ind w:left="2268" w:hanging="1134"/>
      </w:pPr>
      <w:r>
        <w:t>14.5.1.4</w:t>
      </w:r>
      <w:r>
        <w:tab/>
        <w:t>In the first paragraph, replace “</w:t>
      </w:r>
      <w:r w:rsidR="00E548B5">
        <w:t xml:space="preserve">too dangerous </w:t>
      </w:r>
      <w:r w:rsidR="0043046B">
        <w:t>to be</w:t>
      </w:r>
      <w:r w:rsidR="00E548B5">
        <w:t xml:space="preserve"> transport</w:t>
      </w:r>
      <w:r w:rsidR="0043046B">
        <w:t>ed</w:t>
      </w:r>
      <w:r>
        <w:t>” by “too sensitive to assign a division”.</w:t>
      </w:r>
    </w:p>
    <w:p w14:paraId="5420A76E" w14:textId="5B31CC45" w:rsidR="00CF309D" w:rsidRDefault="00CF309D" w:rsidP="00200B95">
      <w:pPr>
        <w:pStyle w:val="SingleTxtG"/>
        <w:ind w:left="2268" w:hanging="1134"/>
      </w:pPr>
      <w:r>
        <w:t>14.5.2.4</w:t>
      </w:r>
      <w:r>
        <w:tab/>
        <w:t>In the first sentence, replace “</w:t>
      </w:r>
      <w:r w:rsidR="00200B95">
        <w:t xml:space="preserve">too dangerous </w:t>
      </w:r>
      <w:r w:rsidR="00A44BEE">
        <w:t>to</w:t>
      </w:r>
      <w:r w:rsidR="00200B95">
        <w:t xml:space="preserve"> transport</w:t>
      </w:r>
      <w:r>
        <w:t>” by “too sensitive to assign a division”.</w:t>
      </w:r>
    </w:p>
    <w:p w14:paraId="738E7A2B" w14:textId="77777777" w:rsidR="004D5D60" w:rsidRPr="00F2162B" w:rsidRDefault="004D5D60" w:rsidP="004D5D60">
      <w:pPr>
        <w:pStyle w:val="H1G"/>
      </w:pPr>
      <w:r w:rsidRPr="00F2162B">
        <w:tab/>
      </w:r>
      <w:r w:rsidRPr="00F2162B">
        <w:tab/>
        <w:t>Section 20</w:t>
      </w:r>
    </w:p>
    <w:p w14:paraId="3BF1ADB8" w14:textId="77777777" w:rsidR="004D5D60" w:rsidRPr="00F2162B" w:rsidRDefault="004D5D60" w:rsidP="004D5D60">
      <w:pPr>
        <w:pStyle w:val="SingleTxtG"/>
        <w:keepNext/>
        <w:ind w:left="2268" w:hanging="1134"/>
        <w:rPr>
          <w:lang w:val="en-US"/>
        </w:rPr>
      </w:pPr>
      <w:r w:rsidRPr="00F2162B">
        <w:rPr>
          <w:lang w:val="en-US"/>
        </w:rPr>
        <w:t>20.3.3.3</w:t>
      </w:r>
      <w:r w:rsidRPr="00F2162B">
        <w:rPr>
          <w:lang w:val="en-US"/>
        </w:rPr>
        <w:tab/>
        <w:t>In the first sentence, after “differential scanning calorimetry” add “(DSC)”.</w:t>
      </w:r>
    </w:p>
    <w:p w14:paraId="41A24D7A" w14:textId="77777777" w:rsidR="004D5D60" w:rsidRPr="00F2162B" w:rsidRDefault="004D5D60" w:rsidP="004D5D60">
      <w:pPr>
        <w:pStyle w:val="SingleTxtG"/>
        <w:keepNext/>
        <w:ind w:left="2268" w:hanging="1134"/>
        <w:rPr>
          <w:lang w:val="en-US"/>
        </w:rPr>
      </w:pPr>
      <w:r w:rsidRPr="00F2162B">
        <w:rPr>
          <w:lang w:val="en-US"/>
        </w:rPr>
        <w:t xml:space="preserve"> </w:t>
      </w:r>
      <w:r w:rsidRPr="00F2162B">
        <w:rPr>
          <w:lang w:val="en-US"/>
        </w:rPr>
        <w:tab/>
        <w:t xml:space="preserve">Modify the </w:t>
      </w:r>
      <w:r w:rsidRPr="00F2162B">
        <w:t>last</w:t>
      </w:r>
      <w:r w:rsidRPr="00F2162B">
        <w:rPr>
          <w:lang w:val="en-US"/>
        </w:rPr>
        <w:t xml:space="preserve"> sentence to read as follows: “If </w:t>
      </w:r>
      <w:r>
        <w:rPr>
          <w:lang w:val="en-US"/>
        </w:rPr>
        <w:t>DSC</w:t>
      </w:r>
      <w:r w:rsidRPr="00F2162B">
        <w:rPr>
          <w:lang w:val="en-US"/>
        </w:rPr>
        <w:t xml:space="preserve"> is used, the onset temperature is defined as the temperature of the first noticeable exothermic effect (i.e. the heat production signal leaves the baseline).”</w:t>
      </w:r>
    </w:p>
    <w:p w14:paraId="0A830ECD" w14:textId="64660C52" w:rsidR="004D5D60" w:rsidRPr="00F2162B" w:rsidRDefault="004D5D60" w:rsidP="004D5D60">
      <w:pPr>
        <w:pStyle w:val="SingleTxtG"/>
        <w:rPr>
          <w:lang w:val="en-US"/>
        </w:rPr>
      </w:pPr>
      <w:r w:rsidRPr="00F2162B">
        <w:rPr>
          <w:lang w:val="en-US"/>
        </w:rPr>
        <w:t>Insert a new section 20.3.4 to read as follows:</w:t>
      </w:r>
    </w:p>
    <w:p w14:paraId="60DB7AE7" w14:textId="77777777" w:rsidR="004D5D60" w:rsidRPr="00F2162B" w:rsidRDefault="004D5D60" w:rsidP="004D5D60">
      <w:pPr>
        <w:pStyle w:val="SingleTxtG"/>
        <w:rPr>
          <w:b/>
          <w:bCs/>
          <w:lang w:val="en-US"/>
        </w:rPr>
      </w:pPr>
      <w:r w:rsidRPr="00F2162B">
        <w:rPr>
          <w:lang w:val="en-US"/>
        </w:rPr>
        <w:t>“</w:t>
      </w:r>
      <w:r w:rsidRPr="00F2162B">
        <w:rPr>
          <w:b/>
          <w:bCs/>
          <w:lang w:val="en-US"/>
        </w:rPr>
        <w:t xml:space="preserve">20.3.4 </w:t>
      </w:r>
      <w:r w:rsidRPr="00F2162B">
        <w:rPr>
          <w:b/>
          <w:bCs/>
          <w:lang w:val="en-US"/>
        </w:rPr>
        <w:tab/>
        <w:t>Thermal stability of samples and temperature control assessment for transport</w:t>
      </w:r>
    </w:p>
    <w:p w14:paraId="5F06E51B" w14:textId="77777777" w:rsidR="004D5D60" w:rsidRPr="00F2162B" w:rsidRDefault="004D5D60" w:rsidP="004D5D60">
      <w:pPr>
        <w:pStyle w:val="SingleTxtG"/>
        <w:rPr>
          <w:lang w:val="en-US"/>
        </w:rPr>
      </w:pPr>
      <w:r w:rsidRPr="00F2162B">
        <w:rPr>
          <w:lang w:val="en-US"/>
        </w:rPr>
        <w:t>20.3.4.1</w:t>
      </w:r>
      <w:r w:rsidRPr="00F2162B">
        <w:rPr>
          <w:lang w:val="en-US"/>
        </w:rPr>
        <w:tab/>
        <w:t>The provisions in this section are only applicable to samples of sections 2.4.2.3.2.4 (b) and 2.5.3.2.5.1 in cases where the SADT is not known.</w:t>
      </w:r>
    </w:p>
    <w:p w14:paraId="269019F2" w14:textId="77777777" w:rsidR="004D5D60" w:rsidRPr="00F2162B" w:rsidRDefault="004D5D60" w:rsidP="004D5D60">
      <w:pPr>
        <w:pStyle w:val="SingleTxtG"/>
        <w:rPr>
          <w:lang w:val="en-US"/>
        </w:rPr>
      </w:pPr>
      <w:r w:rsidRPr="00F2162B">
        <w:rPr>
          <w:lang w:val="en-US"/>
        </w:rPr>
        <w:t xml:space="preserve">20.3.4.2 </w:t>
      </w:r>
      <w:r w:rsidRPr="00F2162B">
        <w:rPr>
          <w:lang w:val="en-US"/>
        </w:rPr>
        <w:tab/>
        <w:t>If the decomposition onset in a DSC measured in accordance with 20.3.3.3 is found at 160 °C or above, the estimated SADT of the sample may be assumed to be greater than 55 °C. According to 2.4.2.3.4 of the Model Regulations, temperature control is not required in such cases. Isolated small exotherms less than 20 J/g preceding the main decomposition may be neglected.</w:t>
      </w:r>
    </w:p>
    <w:p w14:paraId="01402A4A" w14:textId="77777777" w:rsidR="004D5D60" w:rsidRPr="00F2162B" w:rsidRDefault="004D5D60" w:rsidP="004D5D60">
      <w:pPr>
        <w:pStyle w:val="SingleTxtG"/>
        <w:rPr>
          <w:lang w:val="en-US"/>
        </w:rPr>
      </w:pPr>
      <w:r w:rsidRPr="00F2162B">
        <w:rPr>
          <w:lang w:val="en-US"/>
        </w:rPr>
        <w:t>20.3.4.3</w:t>
      </w:r>
      <w:r w:rsidRPr="00F2162B">
        <w:rPr>
          <w:lang w:val="en-US"/>
        </w:rPr>
        <w:tab/>
        <w:t>For purposes of determining the need for temperature control, a thermal stress test based on DSC measurements may be applied as follows: A DSC is measured as outlined in 20.3.3.3 for the sample as offered for transport. A second sample is taken, and thermal stress is applied by tempering the sample in the closed DSC crucible at a defined constant temperature over a certain period of time. In standard cases, a 24-hour stress time is deemed sufficient. The stressed sample is then cooled to room temperature before being subjected to a DSC measurement at the same heating rate as before. If the decomposition behavior remains unchanged by comparison of the two DSCs in terms of decomposition onset, shape of curve, and energy within a measurement uncertainty of 10 %, the sample is considered stable at the applied stress temperature. For flat peaks with a maximum heat production of 0.2 W/g a deviation of 25 % is tolerable in temperature ranges below 250 °C and 40 % above this limit. If the stress test is passed according to these criteria at 60 °C, then no temperature control is required.</w:t>
      </w:r>
    </w:p>
    <w:p w14:paraId="15A31667" w14:textId="77777777" w:rsidR="004D5D60" w:rsidRPr="00F2162B" w:rsidRDefault="004D5D60" w:rsidP="004D5D60">
      <w:pPr>
        <w:pStyle w:val="SingleTxtG"/>
        <w:rPr>
          <w:lang w:val="en-US"/>
        </w:rPr>
      </w:pPr>
      <w:r w:rsidRPr="00F2162B">
        <w:rPr>
          <w:lang w:val="en-US"/>
        </w:rPr>
        <w:t>20.3.4.4</w:t>
      </w:r>
      <w:r w:rsidRPr="00F2162B">
        <w:rPr>
          <w:lang w:val="en-US"/>
        </w:rPr>
        <w:tab/>
        <w:t xml:space="preserve">If the sample fails the stress test at 60 °C, then the same procedure should be applied at decreasing temperatures in steps of 10 K until the decomposition behavior remains </w:t>
      </w:r>
      <w:r w:rsidRPr="00F2162B">
        <w:rPr>
          <w:lang w:val="en-US"/>
        </w:rPr>
        <w:lastRenderedPageBreak/>
        <w:t>unchanged. That temperature should be deemed the estimated SADT of the sample, and the control and emergency temperatures may then be derived in accordance with section 28.2.3 and table 28.2.</w:t>
      </w:r>
    </w:p>
    <w:p w14:paraId="2C9F25C4" w14:textId="77777777" w:rsidR="004D5D60" w:rsidRPr="00F2162B" w:rsidRDefault="004D5D60" w:rsidP="004D5D60">
      <w:pPr>
        <w:pStyle w:val="SingleTxtG"/>
        <w:rPr>
          <w:lang w:val="en-US"/>
        </w:rPr>
      </w:pPr>
      <w:r w:rsidRPr="00F2162B">
        <w:rPr>
          <w:lang w:val="en-US"/>
        </w:rPr>
        <w:t>20.3.4.5</w:t>
      </w:r>
      <w:r w:rsidRPr="00F2162B">
        <w:rPr>
          <w:lang w:val="en-US"/>
        </w:rPr>
        <w:tab/>
        <w:t>Examples for passing the thermal stress test are shown in figure 20.2. Figure 20.3 contains examples of samples failing the stress test. A flow chart for the procedure is given in figure 20.4.</w:t>
      </w:r>
    </w:p>
    <w:p w14:paraId="7078A5F5" w14:textId="77777777" w:rsidR="004D5D60" w:rsidRPr="00F2162B" w:rsidRDefault="004D5D60" w:rsidP="004D5D60">
      <w:pPr>
        <w:suppressAutoHyphens w:val="0"/>
        <w:kinsoku/>
        <w:overflowPunct/>
        <w:autoSpaceDE/>
        <w:autoSpaceDN/>
        <w:adjustRightInd/>
        <w:snapToGrid/>
        <w:spacing w:after="200" w:line="276" w:lineRule="auto"/>
        <w:rPr>
          <w:b/>
          <w:bCs/>
          <w:lang w:val="en-US"/>
        </w:rPr>
      </w:pPr>
      <w:r w:rsidRPr="00F2162B">
        <w:rPr>
          <w:b/>
          <w:bCs/>
          <w:lang w:val="en-US"/>
        </w:rPr>
        <w:br w:type="page"/>
      </w:r>
    </w:p>
    <w:p w14:paraId="5F8390B7" w14:textId="77777777" w:rsidR="004D5D60" w:rsidRPr="00F2162B" w:rsidRDefault="004D5D60" w:rsidP="004D5D60">
      <w:pPr>
        <w:pStyle w:val="SingleTxtG"/>
        <w:jc w:val="center"/>
        <w:rPr>
          <w:b/>
          <w:bCs/>
          <w:lang w:val="en-US"/>
        </w:rPr>
      </w:pPr>
      <w:r w:rsidRPr="00414D31">
        <w:rPr>
          <w:b/>
          <w:bCs/>
          <w:lang w:val="en-US"/>
        </w:rPr>
        <w:lastRenderedPageBreak/>
        <w:t>Figure 20.2: Examples of samples passing the thermal stress test</w:t>
      </w:r>
    </w:p>
    <w:p w14:paraId="60CBD3B6" w14:textId="77777777" w:rsidR="00842769" w:rsidRDefault="00B4596E" w:rsidP="004D5D60">
      <w:pPr>
        <w:suppressAutoHyphens w:val="0"/>
        <w:kinsoku/>
        <w:overflowPunct/>
        <w:autoSpaceDE/>
        <w:autoSpaceDN/>
        <w:adjustRightInd/>
        <w:snapToGrid/>
        <w:spacing w:after="200" w:line="276" w:lineRule="auto"/>
        <w:rPr>
          <w:b/>
          <w:bCs/>
        </w:rPr>
      </w:pPr>
      <w:r>
        <w:rPr>
          <w:noProof/>
        </w:rPr>
        <w:drawing>
          <wp:inline distT="0" distB="0" distL="0" distR="0" wp14:anchorId="7BA71A77" wp14:editId="2FEEAF71">
            <wp:extent cx="6120002" cy="7199254"/>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2">
                      <a:extLst>
                        <a:ext uri="{96DAC541-7B7A-43D3-8B79-37D633B846F1}">
                          <asvg:svgBlip xmlns:asvg="http://schemas.microsoft.com/office/drawing/2016/SVG/main" r:embed="rId13"/>
                        </a:ext>
                      </a:extLst>
                    </a:blip>
                    <a:stretch>
                      <a:fillRect/>
                    </a:stretch>
                  </pic:blipFill>
                  <pic:spPr>
                    <a:xfrm>
                      <a:off x="0" y="0"/>
                      <a:ext cx="6120002" cy="7199254"/>
                    </a:xfrm>
                    <a:prstGeom prst="rect">
                      <a:avLst/>
                    </a:prstGeom>
                  </pic:spPr>
                </pic:pic>
              </a:graphicData>
            </a:graphic>
          </wp:inline>
        </w:drawing>
      </w:r>
    </w:p>
    <w:tbl>
      <w:tblPr>
        <w:tblStyle w:val="TableGrid"/>
        <w:tblW w:w="850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842769" w:rsidRPr="00FD09A6" w14:paraId="6C67FBF2" w14:textId="77777777" w:rsidTr="00842769">
        <w:trPr>
          <w:jc w:val="center"/>
        </w:trPr>
        <w:tc>
          <w:tcPr>
            <w:tcW w:w="454" w:type="dxa"/>
            <w:shd w:val="clear" w:color="auto" w:fill="auto"/>
          </w:tcPr>
          <w:p w14:paraId="0685E4DB" w14:textId="77777777" w:rsidR="00842769" w:rsidRPr="00FD09A6" w:rsidRDefault="00842769"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(A</w:t>
            </w:r>
            <w:r>
              <w:rPr>
                <w:rFonts w:asciiTheme="majorBidi" w:hAnsiTheme="majorBidi" w:cstheme="majorBidi"/>
                <w:szCs w:val="24"/>
              </w:rPr>
              <w:t>)</w:t>
            </w:r>
          </w:p>
        </w:tc>
        <w:tc>
          <w:tcPr>
            <w:tcW w:w="3798" w:type="dxa"/>
            <w:shd w:val="clear" w:color="auto" w:fill="auto"/>
          </w:tcPr>
          <w:p w14:paraId="59A96313" w14:textId="77777777" w:rsidR="00842769" w:rsidRPr="00FD09A6" w:rsidRDefault="00842769" w:rsidP="0043434C">
            <w:pPr>
              <w:spacing w:before="120" w:after="120" w:line="240" w:lineRule="auto"/>
              <w:rPr>
                <w:rFonts w:asciiTheme="majorBidi" w:hAnsiTheme="majorBidi" w:cstheme="majorBidi"/>
                <w:szCs w:val="24"/>
              </w:rPr>
            </w:pPr>
            <w:r>
              <w:rPr>
                <w:rFonts w:asciiTheme="majorBidi" w:hAnsiTheme="majorBidi" w:cstheme="majorBidi"/>
                <w:szCs w:val="24"/>
              </w:rPr>
              <w:t>Sample after thermal stress</w:t>
            </w:r>
          </w:p>
        </w:tc>
        <w:tc>
          <w:tcPr>
            <w:tcW w:w="454" w:type="dxa"/>
            <w:shd w:val="clear" w:color="auto" w:fill="auto"/>
          </w:tcPr>
          <w:p w14:paraId="524AAE9C" w14:textId="77777777" w:rsidR="00842769" w:rsidRPr="00FD09A6" w:rsidRDefault="00842769"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(B)</w:t>
            </w:r>
          </w:p>
        </w:tc>
        <w:tc>
          <w:tcPr>
            <w:tcW w:w="3798" w:type="dxa"/>
            <w:shd w:val="clear" w:color="auto" w:fill="auto"/>
          </w:tcPr>
          <w:p w14:paraId="1619874B" w14:textId="77777777" w:rsidR="00842769" w:rsidRPr="00FD09A6" w:rsidRDefault="00842769" w:rsidP="0043434C">
            <w:pPr>
              <w:spacing w:before="120" w:after="120" w:line="240" w:lineRule="auto"/>
              <w:rPr>
                <w:rFonts w:asciiTheme="majorBidi" w:hAnsiTheme="majorBidi" w:cstheme="majorBidi"/>
                <w:szCs w:val="24"/>
              </w:rPr>
            </w:pPr>
            <w:r>
              <w:rPr>
                <w:rFonts w:asciiTheme="majorBidi" w:hAnsiTheme="majorBidi" w:cstheme="majorBidi"/>
                <w:szCs w:val="24"/>
              </w:rPr>
              <w:t>Original sample</w:t>
            </w:r>
          </w:p>
        </w:tc>
      </w:tr>
    </w:tbl>
    <w:p w14:paraId="3353EA6E" w14:textId="60407EC4" w:rsidR="004D5D60" w:rsidRDefault="004D5D60" w:rsidP="004D5D60">
      <w:pPr>
        <w:suppressAutoHyphens w:val="0"/>
        <w:kinsoku/>
        <w:overflowPunct/>
        <w:autoSpaceDE/>
        <w:autoSpaceDN/>
        <w:adjustRightInd/>
        <w:snapToGrid/>
        <w:spacing w:after="200" w:line="276" w:lineRule="auto"/>
        <w:rPr>
          <w:b/>
          <w:bCs/>
        </w:rPr>
      </w:pPr>
      <w:r w:rsidRPr="00F2162B">
        <w:rPr>
          <w:b/>
          <w:bCs/>
        </w:rPr>
        <w:br w:type="page"/>
      </w:r>
    </w:p>
    <w:p w14:paraId="1F9D9B0B" w14:textId="463318E7" w:rsidR="00842769" w:rsidRPr="00F2162B" w:rsidRDefault="00842769" w:rsidP="00842769">
      <w:pPr>
        <w:pStyle w:val="SingleTxtG"/>
        <w:jc w:val="center"/>
        <w:rPr>
          <w:b/>
          <w:bCs/>
          <w:lang w:val="en-US"/>
        </w:rPr>
      </w:pPr>
      <w:r w:rsidRPr="00414D31">
        <w:rPr>
          <w:b/>
          <w:bCs/>
          <w:lang w:val="en-US"/>
        </w:rPr>
        <w:lastRenderedPageBreak/>
        <w:t>Figure 20.2: Examples of samples passing the thermal stress test</w:t>
      </w:r>
      <w:r>
        <w:rPr>
          <w:b/>
          <w:bCs/>
          <w:lang w:val="en-US"/>
        </w:rPr>
        <w:t xml:space="preserve"> (continued)</w:t>
      </w:r>
    </w:p>
    <w:p w14:paraId="7C51CB3C" w14:textId="27A8ABD4" w:rsidR="00842769" w:rsidRDefault="00842769" w:rsidP="00842769">
      <w:pPr>
        <w:suppressAutoHyphens w:val="0"/>
        <w:kinsoku/>
        <w:overflowPunct/>
        <w:autoSpaceDE/>
        <w:autoSpaceDN/>
        <w:adjustRightInd/>
        <w:snapToGrid/>
        <w:spacing w:after="200" w:line="276" w:lineRule="auto"/>
        <w:rPr>
          <w:b/>
          <w:bCs/>
        </w:rPr>
      </w:pPr>
      <w:r>
        <w:rPr>
          <w:noProof/>
        </w:rPr>
        <w:drawing>
          <wp:inline distT="0" distB="0" distL="0" distR="0" wp14:anchorId="0CD49C5D" wp14:editId="076E0281">
            <wp:extent cx="6120002" cy="7199259"/>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14">
                      <a:extLst>
                        <a:ext uri="{96DAC541-7B7A-43D3-8B79-37D633B846F1}">
                          <asvg:svgBlip xmlns:asvg="http://schemas.microsoft.com/office/drawing/2016/SVG/main" r:embed="rId15"/>
                        </a:ext>
                      </a:extLst>
                    </a:blip>
                    <a:stretch>
                      <a:fillRect/>
                    </a:stretch>
                  </pic:blipFill>
                  <pic:spPr>
                    <a:xfrm>
                      <a:off x="0" y="0"/>
                      <a:ext cx="6120002" cy="7199259"/>
                    </a:xfrm>
                    <a:prstGeom prst="rect">
                      <a:avLst/>
                    </a:prstGeom>
                  </pic:spPr>
                </pic:pic>
              </a:graphicData>
            </a:graphic>
          </wp:inline>
        </w:drawing>
      </w:r>
    </w:p>
    <w:tbl>
      <w:tblPr>
        <w:tblStyle w:val="TableGrid"/>
        <w:tblW w:w="850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842769" w:rsidRPr="00FD09A6" w14:paraId="67DDAE04" w14:textId="77777777" w:rsidTr="0043434C">
        <w:trPr>
          <w:jc w:val="center"/>
        </w:trPr>
        <w:tc>
          <w:tcPr>
            <w:tcW w:w="454" w:type="dxa"/>
            <w:shd w:val="clear" w:color="auto" w:fill="auto"/>
          </w:tcPr>
          <w:p w14:paraId="68EEBF9F" w14:textId="77777777" w:rsidR="00842769" w:rsidRPr="00FD09A6" w:rsidRDefault="00842769"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(A</w:t>
            </w:r>
            <w:r>
              <w:rPr>
                <w:rFonts w:asciiTheme="majorBidi" w:hAnsiTheme="majorBidi" w:cstheme="majorBidi"/>
                <w:szCs w:val="24"/>
              </w:rPr>
              <w:t>)</w:t>
            </w:r>
          </w:p>
        </w:tc>
        <w:tc>
          <w:tcPr>
            <w:tcW w:w="3798" w:type="dxa"/>
            <w:shd w:val="clear" w:color="auto" w:fill="auto"/>
          </w:tcPr>
          <w:p w14:paraId="2A3A164C" w14:textId="77777777" w:rsidR="00842769" w:rsidRPr="00FD09A6" w:rsidRDefault="00842769" w:rsidP="0043434C">
            <w:pPr>
              <w:spacing w:before="120" w:after="120" w:line="240" w:lineRule="auto"/>
              <w:rPr>
                <w:rFonts w:asciiTheme="majorBidi" w:hAnsiTheme="majorBidi" w:cstheme="majorBidi"/>
                <w:szCs w:val="24"/>
              </w:rPr>
            </w:pPr>
            <w:r>
              <w:rPr>
                <w:rFonts w:asciiTheme="majorBidi" w:hAnsiTheme="majorBidi" w:cstheme="majorBidi"/>
                <w:szCs w:val="24"/>
              </w:rPr>
              <w:t>Sample after thermal stress</w:t>
            </w:r>
          </w:p>
        </w:tc>
        <w:tc>
          <w:tcPr>
            <w:tcW w:w="454" w:type="dxa"/>
            <w:shd w:val="clear" w:color="auto" w:fill="auto"/>
          </w:tcPr>
          <w:p w14:paraId="11762BCB" w14:textId="77777777" w:rsidR="00842769" w:rsidRPr="00FD09A6" w:rsidRDefault="00842769"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(B)</w:t>
            </w:r>
          </w:p>
        </w:tc>
        <w:tc>
          <w:tcPr>
            <w:tcW w:w="3798" w:type="dxa"/>
            <w:shd w:val="clear" w:color="auto" w:fill="auto"/>
          </w:tcPr>
          <w:p w14:paraId="7D7AB77A" w14:textId="77777777" w:rsidR="00842769" w:rsidRPr="00FD09A6" w:rsidRDefault="00842769" w:rsidP="0043434C">
            <w:pPr>
              <w:spacing w:before="120" w:after="120" w:line="240" w:lineRule="auto"/>
              <w:rPr>
                <w:rFonts w:asciiTheme="majorBidi" w:hAnsiTheme="majorBidi" w:cstheme="majorBidi"/>
                <w:szCs w:val="24"/>
              </w:rPr>
            </w:pPr>
            <w:r>
              <w:rPr>
                <w:rFonts w:asciiTheme="majorBidi" w:hAnsiTheme="majorBidi" w:cstheme="majorBidi"/>
                <w:szCs w:val="24"/>
              </w:rPr>
              <w:t>Original sample</w:t>
            </w:r>
          </w:p>
        </w:tc>
      </w:tr>
    </w:tbl>
    <w:p w14:paraId="3E69C278" w14:textId="77777777" w:rsidR="00842769" w:rsidRDefault="00842769" w:rsidP="00842769">
      <w:pPr>
        <w:suppressAutoHyphens w:val="0"/>
        <w:kinsoku/>
        <w:overflowPunct/>
        <w:autoSpaceDE/>
        <w:autoSpaceDN/>
        <w:adjustRightInd/>
        <w:snapToGrid/>
        <w:spacing w:after="200" w:line="276" w:lineRule="auto"/>
        <w:rPr>
          <w:b/>
          <w:bCs/>
        </w:rPr>
      </w:pPr>
      <w:r w:rsidRPr="00F2162B">
        <w:rPr>
          <w:b/>
          <w:bCs/>
        </w:rPr>
        <w:br w:type="page"/>
      </w:r>
    </w:p>
    <w:p w14:paraId="35554AB0" w14:textId="77777777" w:rsidR="004D5D60" w:rsidRPr="00F2162B" w:rsidRDefault="004D5D60" w:rsidP="004D5D60">
      <w:pPr>
        <w:pStyle w:val="SingleTxtG"/>
        <w:jc w:val="center"/>
        <w:rPr>
          <w:b/>
          <w:bCs/>
        </w:rPr>
      </w:pPr>
      <w:r w:rsidRPr="008C79FC">
        <w:rPr>
          <w:b/>
          <w:bCs/>
        </w:rPr>
        <w:lastRenderedPageBreak/>
        <w:t>Figure 20.3: Examples of samples failing the thermal stress test</w:t>
      </w:r>
    </w:p>
    <w:p w14:paraId="0ED0D03D" w14:textId="7FA9864C" w:rsidR="004D5D60" w:rsidRDefault="00BA7A8F" w:rsidP="002A27AC">
      <w:pPr>
        <w:pStyle w:val="SingleTxtG"/>
        <w:ind w:left="0" w:right="0"/>
      </w:pPr>
      <w:r>
        <w:rPr>
          <w:noProof/>
        </w:rPr>
        <w:drawing>
          <wp:inline distT="0" distB="0" distL="0" distR="0" wp14:anchorId="1909C8F7" wp14:editId="3974749C">
            <wp:extent cx="6120002" cy="7199254"/>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16">
                      <a:extLst>
                        <a:ext uri="{96DAC541-7B7A-43D3-8B79-37D633B846F1}">
                          <asvg:svgBlip xmlns:asvg="http://schemas.microsoft.com/office/drawing/2016/SVG/main" r:embed="rId17"/>
                        </a:ext>
                      </a:extLst>
                    </a:blip>
                    <a:stretch>
                      <a:fillRect/>
                    </a:stretch>
                  </pic:blipFill>
                  <pic:spPr>
                    <a:xfrm>
                      <a:off x="0" y="0"/>
                      <a:ext cx="6120002" cy="7199254"/>
                    </a:xfrm>
                    <a:prstGeom prst="rect">
                      <a:avLst/>
                    </a:prstGeom>
                  </pic:spPr>
                </pic:pic>
              </a:graphicData>
            </a:graphic>
          </wp:inline>
        </w:drawing>
      </w:r>
    </w:p>
    <w:tbl>
      <w:tblPr>
        <w:tblStyle w:val="TableGrid"/>
        <w:tblW w:w="8504"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B91CD6" w:rsidRPr="00FD09A6" w14:paraId="31ECB7C4" w14:textId="77777777" w:rsidTr="0043434C">
        <w:tc>
          <w:tcPr>
            <w:tcW w:w="454" w:type="dxa"/>
            <w:shd w:val="clear" w:color="auto" w:fill="auto"/>
          </w:tcPr>
          <w:p w14:paraId="2F21D335" w14:textId="77777777" w:rsidR="00B91CD6" w:rsidRPr="00FD09A6" w:rsidRDefault="00B91CD6"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(A</w:t>
            </w:r>
            <w:r>
              <w:rPr>
                <w:rFonts w:asciiTheme="majorBidi" w:hAnsiTheme="majorBidi" w:cstheme="majorBidi"/>
                <w:szCs w:val="24"/>
              </w:rPr>
              <w:t>)</w:t>
            </w:r>
          </w:p>
        </w:tc>
        <w:tc>
          <w:tcPr>
            <w:tcW w:w="3798" w:type="dxa"/>
            <w:shd w:val="clear" w:color="auto" w:fill="auto"/>
          </w:tcPr>
          <w:p w14:paraId="3FB072B1" w14:textId="77777777" w:rsidR="00B91CD6" w:rsidRPr="00FD09A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Sample after thermal stress</w:t>
            </w:r>
          </w:p>
        </w:tc>
        <w:tc>
          <w:tcPr>
            <w:tcW w:w="454" w:type="dxa"/>
            <w:shd w:val="clear" w:color="auto" w:fill="auto"/>
          </w:tcPr>
          <w:p w14:paraId="6F2CD35A" w14:textId="77777777" w:rsidR="00B91CD6" w:rsidRPr="00FD09A6" w:rsidRDefault="00B91CD6" w:rsidP="0043434C">
            <w:pPr>
              <w:spacing w:before="120" w:after="120" w:line="240" w:lineRule="auto"/>
              <w:rPr>
                <w:rFonts w:asciiTheme="majorBidi" w:hAnsiTheme="majorBidi" w:cstheme="majorBidi"/>
                <w:szCs w:val="24"/>
              </w:rPr>
            </w:pPr>
            <w:r w:rsidRPr="00FD09A6">
              <w:rPr>
                <w:rFonts w:asciiTheme="majorBidi" w:hAnsiTheme="majorBidi" w:cstheme="majorBidi"/>
                <w:szCs w:val="24"/>
              </w:rPr>
              <w:t>(B)</w:t>
            </w:r>
          </w:p>
        </w:tc>
        <w:tc>
          <w:tcPr>
            <w:tcW w:w="3798" w:type="dxa"/>
            <w:shd w:val="clear" w:color="auto" w:fill="auto"/>
          </w:tcPr>
          <w:p w14:paraId="25B528D8" w14:textId="77777777" w:rsidR="00B91CD6" w:rsidRPr="00FD09A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Original sample</w:t>
            </w:r>
          </w:p>
        </w:tc>
      </w:tr>
      <w:tr w:rsidR="00B91CD6" w:rsidRPr="00FD09A6" w14:paraId="79EC36CE" w14:textId="77777777" w:rsidTr="0043434C">
        <w:tc>
          <w:tcPr>
            <w:tcW w:w="454" w:type="dxa"/>
            <w:shd w:val="clear" w:color="auto" w:fill="auto"/>
          </w:tcPr>
          <w:p w14:paraId="6152B71D" w14:textId="77777777" w:rsidR="00B91CD6" w:rsidRPr="00FD09A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(C)</w:t>
            </w:r>
          </w:p>
        </w:tc>
        <w:tc>
          <w:tcPr>
            <w:tcW w:w="3798" w:type="dxa"/>
            <w:shd w:val="clear" w:color="auto" w:fill="auto"/>
          </w:tcPr>
          <w:p w14:paraId="3D47B65E" w14:textId="77777777" w:rsidR="00B91CD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Fail due to different peak shape</w:t>
            </w:r>
          </w:p>
        </w:tc>
        <w:tc>
          <w:tcPr>
            <w:tcW w:w="454" w:type="dxa"/>
            <w:shd w:val="clear" w:color="auto" w:fill="auto"/>
          </w:tcPr>
          <w:p w14:paraId="032BFE08" w14:textId="77777777" w:rsidR="00B91CD6" w:rsidRPr="00FD09A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(D)</w:t>
            </w:r>
          </w:p>
        </w:tc>
        <w:tc>
          <w:tcPr>
            <w:tcW w:w="3798" w:type="dxa"/>
            <w:shd w:val="clear" w:color="auto" w:fill="auto"/>
          </w:tcPr>
          <w:p w14:paraId="49BD3021" w14:textId="77777777" w:rsidR="00B91CD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Fail due to degradation (loss of energy &gt; 10 %)</w:t>
            </w:r>
          </w:p>
        </w:tc>
      </w:tr>
      <w:tr w:rsidR="00B91CD6" w:rsidRPr="00FD09A6" w14:paraId="2C14D61E" w14:textId="77777777" w:rsidTr="0043434C">
        <w:tc>
          <w:tcPr>
            <w:tcW w:w="454" w:type="dxa"/>
            <w:shd w:val="clear" w:color="auto" w:fill="auto"/>
          </w:tcPr>
          <w:p w14:paraId="75FF855A" w14:textId="77777777" w:rsidR="00B91CD6" w:rsidRPr="00FD09A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(E)</w:t>
            </w:r>
          </w:p>
        </w:tc>
        <w:tc>
          <w:tcPr>
            <w:tcW w:w="3798" w:type="dxa"/>
            <w:shd w:val="clear" w:color="auto" w:fill="auto"/>
          </w:tcPr>
          <w:p w14:paraId="66ABCC19" w14:textId="77777777" w:rsidR="00B91CD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Fail due to different peak shape in spite of tolerable energy</w:t>
            </w:r>
          </w:p>
        </w:tc>
        <w:tc>
          <w:tcPr>
            <w:tcW w:w="454" w:type="dxa"/>
            <w:shd w:val="clear" w:color="auto" w:fill="auto"/>
          </w:tcPr>
          <w:p w14:paraId="67C1C567" w14:textId="77777777" w:rsidR="00B91CD6" w:rsidRPr="00FD09A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(F)</w:t>
            </w:r>
          </w:p>
        </w:tc>
        <w:tc>
          <w:tcPr>
            <w:tcW w:w="3798" w:type="dxa"/>
            <w:shd w:val="clear" w:color="auto" w:fill="auto"/>
          </w:tcPr>
          <w:p w14:paraId="0FBEF6F5" w14:textId="77777777" w:rsidR="00B91CD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Overlay of graphs</w:t>
            </w:r>
          </w:p>
        </w:tc>
      </w:tr>
      <w:tr w:rsidR="00B91CD6" w:rsidRPr="00FD09A6" w14:paraId="672173D9" w14:textId="77777777" w:rsidTr="0043434C">
        <w:tc>
          <w:tcPr>
            <w:tcW w:w="454" w:type="dxa"/>
            <w:shd w:val="clear" w:color="auto" w:fill="auto"/>
          </w:tcPr>
          <w:p w14:paraId="366710D2" w14:textId="77777777" w:rsidR="00B91CD6" w:rsidRPr="00FD09A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(G)</w:t>
            </w:r>
          </w:p>
        </w:tc>
        <w:tc>
          <w:tcPr>
            <w:tcW w:w="3798" w:type="dxa"/>
            <w:shd w:val="clear" w:color="auto" w:fill="auto"/>
          </w:tcPr>
          <w:p w14:paraId="2AFD0C8D" w14:textId="77777777" w:rsidR="00B91CD6" w:rsidRDefault="00B91CD6" w:rsidP="0043434C">
            <w:pPr>
              <w:spacing w:before="120" w:after="120" w:line="240" w:lineRule="auto"/>
              <w:rPr>
                <w:rFonts w:asciiTheme="majorBidi" w:hAnsiTheme="majorBidi" w:cstheme="majorBidi"/>
                <w:szCs w:val="24"/>
              </w:rPr>
            </w:pPr>
            <w:r>
              <w:rPr>
                <w:rFonts w:asciiTheme="majorBidi" w:hAnsiTheme="majorBidi" w:cstheme="majorBidi"/>
                <w:szCs w:val="24"/>
              </w:rPr>
              <w:t>Shoulder of peak missing after thermal stress</w:t>
            </w:r>
          </w:p>
        </w:tc>
        <w:tc>
          <w:tcPr>
            <w:tcW w:w="454" w:type="dxa"/>
            <w:shd w:val="clear" w:color="auto" w:fill="auto"/>
          </w:tcPr>
          <w:p w14:paraId="48D742E8" w14:textId="77777777" w:rsidR="00B91CD6" w:rsidRPr="00FD09A6" w:rsidRDefault="00B91CD6" w:rsidP="0043434C">
            <w:pPr>
              <w:spacing w:before="120" w:after="120" w:line="240" w:lineRule="auto"/>
              <w:rPr>
                <w:rFonts w:asciiTheme="majorBidi" w:hAnsiTheme="majorBidi" w:cstheme="majorBidi"/>
                <w:szCs w:val="24"/>
              </w:rPr>
            </w:pPr>
          </w:p>
        </w:tc>
        <w:tc>
          <w:tcPr>
            <w:tcW w:w="3798" w:type="dxa"/>
            <w:shd w:val="clear" w:color="auto" w:fill="auto"/>
          </w:tcPr>
          <w:p w14:paraId="052E9547" w14:textId="77777777" w:rsidR="00B91CD6" w:rsidRDefault="00B91CD6" w:rsidP="0043434C">
            <w:pPr>
              <w:spacing w:before="120" w:after="120" w:line="240" w:lineRule="auto"/>
              <w:rPr>
                <w:rFonts w:asciiTheme="majorBidi" w:hAnsiTheme="majorBidi" w:cstheme="majorBidi"/>
                <w:szCs w:val="24"/>
              </w:rPr>
            </w:pPr>
          </w:p>
        </w:tc>
      </w:tr>
    </w:tbl>
    <w:p w14:paraId="25920CA5" w14:textId="77777777" w:rsidR="002A27AC" w:rsidRPr="00F2162B" w:rsidRDefault="002A27AC" w:rsidP="002A27AC">
      <w:pPr>
        <w:pStyle w:val="SingleTxtG"/>
        <w:ind w:left="0" w:right="0"/>
      </w:pPr>
    </w:p>
    <w:p w14:paraId="7BD16EAD" w14:textId="77777777" w:rsidR="004D5D60" w:rsidRPr="00F2162B" w:rsidRDefault="004D5D60" w:rsidP="004D5D60">
      <w:pPr>
        <w:pStyle w:val="SingleTxtG"/>
        <w:keepNext/>
        <w:jc w:val="center"/>
        <w:rPr>
          <w:b/>
          <w:bCs/>
          <w:lang w:val="en-US"/>
        </w:rPr>
      </w:pPr>
      <w:r w:rsidRPr="00F2162B">
        <w:rPr>
          <w:b/>
          <w:bCs/>
          <w:lang w:val="en-US"/>
        </w:rPr>
        <w:lastRenderedPageBreak/>
        <w:t>Figure 20.4: Flow chart scheme for the assessment of thermal stability of samples according to 20.3.4</w:t>
      </w:r>
    </w:p>
    <w:p w14:paraId="2C8FDDBB" w14:textId="03529D44" w:rsidR="004D5D60" w:rsidRPr="00F2162B" w:rsidRDefault="00D322A9" w:rsidP="004D5D60">
      <w:pPr>
        <w:pStyle w:val="SingleTxtG"/>
        <w:jc w:val="center"/>
        <w:rPr>
          <w:lang w:val="en-US"/>
        </w:rPr>
      </w:pPr>
      <w:r w:rsidRPr="00692350">
        <w:rPr>
          <w:lang w:val="fr-FR"/>
        </w:rPr>
        <w:object w:dxaOrig="8611" w:dyaOrig="10450" w14:anchorId="485B6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1pt;height:476.55pt" o:ole="">
            <v:imagedata r:id="rId18" o:title="" cropbottom="-34081f" cropright="-40680f"/>
          </v:shape>
          <o:OLEObject Type="Embed" ProgID="Visio.Drawing.15" ShapeID="_x0000_i1025" DrawAspect="Content" ObjectID="_1678018543" r:id="rId19"/>
        </w:object>
      </w:r>
    </w:p>
    <w:p w14:paraId="263A2494" w14:textId="77777777" w:rsidR="004D5D60" w:rsidRDefault="004D5D60" w:rsidP="004D5D60">
      <w:pPr>
        <w:pStyle w:val="SingleTxtG"/>
        <w:rPr>
          <w:b/>
          <w:bCs/>
          <w:i/>
          <w:iCs/>
        </w:rPr>
      </w:pPr>
    </w:p>
    <w:p w14:paraId="1F9A0CD9" w14:textId="77777777" w:rsidR="004D5D60" w:rsidRPr="00F2162B" w:rsidRDefault="004D5D60" w:rsidP="004D5D60">
      <w:pPr>
        <w:pStyle w:val="SingleTxtG"/>
        <w:rPr>
          <w:i/>
          <w:iCs/>
        </w:rPr>
      </w:pPr>
      <w:r w:rsidRPr="00F2162B">
        <w:rPr>
          <w:b/>
          <w:bCs/>
          <w:i/>
          <w:iCs/>
        </w:rPr>
        <w:t>NOTE 1:</w:t>
      </w:r>
      <w:r w:rsidRPr="00F2162B">
        <w:rPr>
          <w:i/>
          <w:iCs/>
        </w:rPr>
        <w:tab/>
        <w:t xml:space="preserve"> Isolated small exotherm (&lt; 20 J/g) preceding the main decomposition may be neglected;</w:t>
      </w:r>
    </w:p>
    <w:p w14:paraId="73EB9474" w14:textId="77777777" w:rsidR="004D5D60" w:rsidRPr="00F2162B" w:rsidRDefault="004D5D60" w:rsidP="004D5D60">
      <w:pPr>
        <w:pStyle w:val="SingleTxtG"/>
        <w:rPr>
          <w:i/>
          <w:iCs/>
        </w:rPr>
      </w:pPr>
      <w:r w:rsidRPr="00F2162B">
        <w:rPr>
          <w:b/>
          <w:bCs/>
          <w:i/>
          <w:iCs/>
        </w:rPr>
        <w:t>NOTE 2:</w:t>
      </w:r>
      <w:r w:rsidRPr="00F2162B">
        <w:rPr>
          <w:i/>
          <w:iCs/>
        </w:rPr>
        <w:tab/>
        <w:t>General tolerance for energy comparison due to measurement uncertainty: 10</w:t>
      </w:r>
      <w:r>
        <w:rPr>
          <w:i/>
          <w:iCs/>
        </w:rPr>
        <w:t> </w:t>
      </w:r>
      <w:r w:rsidRPr="00F2162B">
        <w:rPr>
          <w:i/>
          <w:iCs/>
        </w:rPr>
        <w:t>%. For flat peaks with a maximum heat production of 0.2 W/g a deviation of 25 % is tolerable in temperature ranges below 250 °C and 40 % above this limit.</w:t>
      </w:r>
      <w:r w:rsidRPr="00F2162B">
        <w:rPr>
          <w:lang w:val="en-US"/>
        </w:rPr>
        <w:t>”</w:t>
      </w:r>
    </w:p>
    <w:p w14:paraId="2FAB2C1D" w14:textId="14D840CA" w:rsidR="004D5D60" w:rsidRPr="00F2162B" w:rsidRDefault="004D5D60" w:rsidP="004D5D60">
      <w:pPr>
        <w:pStyle w:val="SingleTxtG"/>
        <w:rPr>
          <w:lang w:val="en-US"/>
        </w:rPr>
      </w:pPr>
      <w:r w:rsidRPr="00F2162B">
        <w:rPr>
          <w:lang w:val="en-US"/>
        </w:rPr>
        <w:t xml:space="preserve">Renumber figures 20.2 and 20.3 </w:t>
      </w:r>
      <w:r w:rsidR="003F3CC1">
        <w:rPr>
          <w:lang w:val="en-US"/>
        </w:rPr>
        <w:t>as</w:t>
      </w:r>
      <w:r w:rsidRPr="00F2162B">
        <w:rPr>
          <w:lang w:val="en-US"/>
        </w:rPr>
        <w:t xml:space="preserve"> 20.5 and 20.6 respectively</w:t>
      </w:r>
      <w:r>
        <w:rPr>
          <w:lang w:val="en-US"/>
        </w:rPr>
        <w:t xml:space="preserve"> </w:t>
      </w:r>
      <w:r w:rsidRPr="00F2162B">
        <w:rPr>
          <w:iCs/>
        </w:rPr>
        <w:t xml:space="preserve">and update cross references </w:t>
      </w:r>
      <w:r w:rsidR="00D322A9">
        <w:rPr>
          <w:iCs/>
        </w:rPr>
        <w:t xml:space="preserve">in paragraph </w:t>
      </w:r>
      <w:r w:rsidR="006E79B4">
        <w:rPr>
          <w:iCs/>
        </w:rPr>
        <w:t>20.5.1</w:t>
      </w:r>
      <w:r w:rsidRPr="00F2162B">
        <w:rPr>
          <w:lang w:val="en-US"/>
        </w:rPr>
        <w:t>.</w:t>
      </w:r>
    </w:p>
    <w:p w14:paraId="689DD5E6" w14:textId="77777777" w:rsidR="00843B52" w:rsidRPr="00F2162B" w:rsidRDefault="00843B52" w:rsidP="00843B52">
      <w:pPr>
        <w:pStyle w:val="H1G"/>
      </w:pPr>
      <w:r w:rsidRPr="00F2162B">
        <w:tab/>
      </w:r>
      <w:r w:rsidRPr="00F2162B">
        <w:tab/>
        <w:t xml:space="preserve">Section </w:t>
      </w:r>
      <w:r>
        <w:t>28</w:t>
      </w:r>
    </w:p>
    <w:p w14:paraId="0A23D3D1" w14:textId="6F6DF9C9" w:rsidR="00843B52" w:rsidRDefault="00843B52" w:rsidP="00843B52">
      <w:pPr>
        <w:pStyle w:val="SingleTxtG"/>
        <w:tabs>
          <w:tab w:val="left" w:pos="2268"/>
        </w:tabs>
        <w:ind w:left="2268" w:hanging="1134"/>
      </w:pPr>
      <w:r w:rsidRPr="00741695">
        <w:t>28.1</w:t>
      </w:r>
      <w:r w:rsidRPr="00741695">
        <w:tab/>
        <w:t>Renumber the first paragraph under 28.1 as 28.1.1 and amend as follows:</w:t>
      </w:r>
    </w:p>
    <w:p w14:paraId="69148336" w14:textId="6C758AF0" w:rsidR="00CE7AC6" w:rsidRPr="00741695" w:rsidRDefault="00CE7AC6" w:rsidP="00843B52">
      <w:pPr>
        <w:pStyle w:val="SingleTxtG"/>
        <w:tabs>
          <w:tab w:val="left" w:pos="2268"/>
        </w:tabs>
        <w:ind w:left="2268" w:hanging="1134"/>
      </w:pPr>
      <w:r>
        <w:tab/>
        <w:t>The first amendment</w:t>
      </w:r>
      <w:r w:rsidR="00B51806">
        <w:t xml:space="preserve"> does not apply to the English text.</w:t>
      </w:r>
    </w:p>
    <w:p w14:paraId="1B81A4B0" w14:textId="77777777" w:rsidR="00843B52" w:rsidRPr="00741695" w:rsidRDefault="00843B52" w:rsidP="00843B52">
      <w:pPr>
        <w:pStyle w:val="SingleTxtG"/>
        <w:tabs>
          <w:tab w:val="left" w:pos="2268"/>
        </w:tabs>
        <w:ind w:left="2268" w:hanging="1134"/>
      </w:pPr>
      <w:r>
        <w:lastRenderedPageBreak/>
        <w:tab/>
      </w:r>
      <w:r w:rsidRPr="00741695">
        <w:t>Amend the last sentence before the current sub-paragraphs (a) to (c) to read “To assist in interpreting the results, the following models can be used</w:t>
      </w:r>
      <w:r w:rsidRPr="00B761BA">
        <w:rPr>
          <w:b/>
          <w:bCs/>
          <w:vertAlign w:val="superscript"/>
        </w:rPr>
        <w:t>1</w:t>
      </w:r>
      <w:r w:rsidRPr="00741695">
        <w:t>:”</w:t>
      </w:r>
    </w:p>
    <w:p w14:paraId="5797AA69" w14:textId="77777777" w:rsidR="00843B52" w:rsidRPr="00741695" w:rsidRDefault="00843B52" w:rsidP="00843B52">
      <w:pPr>
        <w:pStyle w:val="SingleTxtG"/>
        <w:ind w:left="2268"/>
      </w:pPr>
      <w:r w:rsidRPr="00741695">
        <w:t>Replace current sub-paragraphs (a) to (c) with the following:</w:t>
      </w:r>
    </w:p>
    <w:p w14:paraId="70715A01" w14:textId="11030D0A" w:rsidR="00843B52" w:rsidRPr="00741695" w:rsidRDefault="00843B52" w:rsidP="00843B52">
      <w:pPr>
        <w:pStyle w:val="SingleTxtG"/>
        <w:tabs>
          <w:tab w:val="left" w:pos="1701"/>
        </w:tabs>
        <w:ind w:left="2268" w:hanging="1134"/>
      </w:pPr>
      <w:r w:rsidRPr="00741695">
        <w:t>“</w:t>
      </w:r>
      <w:r>
        <w:tab/>
      </w:r>
      <w:r w:rsidRPr="00741695">
        <w:t>(a)</w:t>
      </w:r>
      <w:r w:rsidRPr="00741695">
        <w:tab/>
        <w:t>Semenov model, in which the main resistance to heat flow is at the boundary (i.e. packaging). This model is generally applicable to homogeneous liquids but can also be applied to solids in packagings (excluding IBCs);</w:t>
      </w:r>
    </w:p>
    <w:p w14:paraId="4796CCBA" w14:textId="77777777" w:rsidR="00843B52" w:rsidRPr="00741695" w:rsidRDefault="00843B52" w:rsidP="00843B52">
      <w:pPr>
        <w:pStyle w:val="SingleTxtG"/>
        <w:ind w:left="2268" w:hanging="567"/>
      </w:pPr>
      <w:r w:rsidRPr="00741695">
        <w:t>(b)</w:t>
      </w:r>
      <w:r w:rsidRPr="00741695">
        <w:tab/>
        <w:t>Frank-</w:t>
      </w:r>
      <w:proofErr w:type="spellStart"/>
      <w:r w:rsidRPr="00741695">
        <w:t>Kamenetskii</w:t>
      </w:r>
      <w:proofErr w:type="spellEnd"/>
      <w:r w:rsidRPr="00741695">
        <w:t xml:space="preserve"> model, in which the main resistance to heat flow is within the substance.  This model is generally applicable to solids in larger packagings, IBCs or tanks;</w:t>
      </w:r>
    </w:p>
    <w:p w14:paraId="7F38D8DA" w14:textId="68B9FCFD" w:rsidR="00843B52" w:rsidRPr="00741695" w:rsidRDefault="00843B52" w:rsidP="00843B52">
      <w:pPr>
        <w:pStyle w:val="SingleTxtG"/>
        <w:ind w:left="2268" w:hanging="567"/>
      </w:pPr>
      <w:r w:rsidRPr="00741695">
        <w:t>(c)</w:t>
      </w:r>
      <w:r w:rsidRPr="00741695">
        <w:tab/>
        <w:t>Thomas model, in which the resistance to heat flow is from both the boundary and the substance;</w:t>
      </w:r>
    </w:p>
    <w:p w14:paraId="42E428DE" w14:textId="77777777" w:rsidR="00843B52" w:rsidRDefault="00843B52" w:rsidP="00843B52">
      <w:pPr>
        <w:pStyle w:val="SingleTxtG"/>
        <w:ind w:left="2268" w:hanging="567"/>
      </w:pPr>
      <w:r w:rsidRPr="00741695">
        <w:t>(d)</w:t>
      </w:r>
      <w:r w:rsidRPr="00741695">
        <w:tab/>
        <w:t>Non-stationary models, e.g. finite element methods (FEM), or computational fluid dynamics (CFD) all combined with thermal kinetic methods.”</w:t>
      </w:r>
    </w:p>
    <w:p w14:paraId="4600A849" w14:textId="77777777" w:rsidR="00843B52" w:rsidRDefault="00843B52" w:rsidP="00843B52">
      <w:pPr>
        <w:pStyle w:val="SingleTxtG"/>
        <w:tabs>
          <w:tab w:val="left" w:pos="2268"/>
        </w:tabs>
        <w:ind w:left="2268"/>
      </w:pPr>
      <w:r>
        <w:t>The references currently at the end of the paragraph become footnote “1” to read as follows:</w:t>
      </w:r>
    </w:p>
    <w:p w14:paraId="2244D7FB" w14:textId="77777777" w:rsidR="00843B52" w:rsidRPr="00741695" w:rsidRDefault="00843B52" w:rsidP="00843B52">
      <w:pPr>
        <w:pStyle w:val="SingleTxtG"/>
      </w:pPr>
      <w:r w:rsidRPr="000A336E">
        <w:rPr>
          <w:lang w:val="de-CH"/>
        </w:rPr>
        <w:t>“</w:t>
      </w:r>
      <w:r w:rsidRPr="000A336E">
        <w:rPr>
          <w:vertAlign w:val="superscript"/>
          <w:lang w:val="de-CH"/>
        </w:rPr>
        <w:t>1</w:t>
      </w:r>
      <w:r w:rsidRPr="000A336E">
        <w:rPr>
          <w:lang w:val="de-CH"/>
        </w:rPr>
        <w:t xml:space="preserve"> </w:t>
      </w:r>
      <w:r w:rsidRPr="000A336E">
        <w:rPr>
          <w:i/>
          <w:iCs/>
          <w:lang w:val="de-CH"/>
        </w:rPr>
        <w:t xml:space="preserve">References: N.N. Semenov, Z. Physik, </w:t>
      </w:r>
      <w:r w:rsidRPr="000A336E">
        <w:rPr>
          <w:i/>
          <w:iCs/>
          <w:u w:val="single"/>
          <w:lang w:val="de-CH"/>
        </w:rPr>
        <w:t>48</w:t>
      </w:r>
      <w:r w:rsidRPr="000A336E">
        <w:rPr>
          <w:i/>
          <w:iCs/>
          <w:lang w:val="de-CH"/>
        </w:rPr>
        <w:t xml:space="preserve">, 1928, 571; D.A. Frank-Kamenetskii, Zhur. Fiz. </w:t>
      </w:r>
      <w:proofErr w:type="spellStart"/>
      <w:r w:rsidRPr="00F82DF5">
        <w:rPr>
          <w:i/>
          <w:iCs/>
        </w:rPr>
        <w:t>Khim</w:t>
      </w:r>
      <w:proofErr w:type="spellEnd"/>
      <w:r w:rsidRPr="00F82DF5">
        <w:rPr>
          <w:i/>
          <w:iCs/>
        </w:rPr>
        <w:t xml:space="preserve">., </w:t>
      </w:r>
      <w:r w:rsidRPr="00F82DF5">
        <w:rPr>
          <w:i/>
          <w:iCs/>
          <w:u w:val="single"/>
        </w:rPr>
        <w:t>13</w:t>
      </w:r>
      <w:r w:rsidRPr="00F82DF5">
        <w:rPr>
          <w:i/>
          <w:iCs/>
        </w:rPr>
        <w:t xml:space="preserve">, 1939, 738; P.H. Thomas, Trans. Faraday Soc., </w:t>
      </w:r>
      <w:r w:rsidRPr="00F82DF5">
        <w:rPr>
          <w:i/>
          <w:iCs/>
          <w:u w:val="single"/>
        </w:rPr>
        <w:t>54</w:t>
      </w:r>
      <w:r w:rsidRPr="00F82DF5">
        <w:rPr>
          <w:i/>
          <w:iCs/>
        </w:rPr>
        <w:t>, 1958, 60.</w:t>
      </w:r>
      <w:r w:rsidRPr="00741695">
        <w:t>”</w:t>
      </w:r>
    </w:p>
    <w:p w14:paraId="461E7B65" w14:textId="01559AE3" w:rsidR="00843B52" w:rsidRPr="00741695" w:rsidRDefault="007B4757" w:rsidP="007B4757">
      <w:pPr>
        <w:pStyle w:val="SingleTxtG"/>
        <w:ind w:left="2268"/>
      </w:pPr>
      <w:r>
        <w:tab/>
      </w:r>
      <w:r w:rsidR="00843B52" w:rsidRPr="00741695">
        <w:t>Renumber the sentence “The text should be used….2.5.3.4 of the Model Regulations” as 28.1.2.</w:t>
      </w:r>
    </w:p>
    <w:p w14:paraId="1A70A8E9" w14:textId="77777777" w:rsidR="00843B52" w:rsidRPr="00741695" w:rsidRDefault="00843B52" w:rsidP="00843B52">
      <w:pPr>
        <w:pStyle w:val="SingleTxtG"/>
      </w:pPr>
      <w:r w:rsidRPr="00741695">
        <w:t>Insert the following new paragraph 28.1.3:</w:t>
      </w:r>
    </w:p>
    <w:p w14:paraId="6F0CB69A" w14:textId="77777777" w:rsidR="00843B52" w:rsidRPr="007A4FCF" w:rsidRDefault="00843B52" w:rsidP="007A4FCF">
      <w:pPr>
        <w:pStyle w:val="SingleTxtG"/>
      </w:pPr>
      <w:r w:rsidRPr="007A4FCF">
        <w:t>“28.1.3</w:t>
      </w:r>
      <w:r w:rsidRPr="007A4FCF">
        <w:tab/>
        <w:t xml:space="preserve">Both the SADT and the SAPT may be influenced by factors such as aging of the sample, presence of stabilizers or impurities in the sample (including packaging materials in contact with the substance). These possible influencing factors should be considered when evaluating the results of an SADT or SAPT determination.”. </w:t>
      </w:r>
    </w:p>
    <w:p w14:paraId="55C6287B" w14:textId="77777777" w:rsidR="00843B52" w:rsidRDefault="00843B52" w:rsidP="00843B52">
      <w:pPr>
        <w:pStyle w:val="SingleTxtG"/>
        <w:keepNext/>
        <w:keepLines/>
        <w:tabs>
          <w:tab w:val="left" w:pos="2268"/>
        </w:tabs>
        <w:ind w:left="2268" w:hanging="1134"/>
      </w:pPr>
      <w:r>
        <w:t>28.2.2</w:t>
      </w:r>
      <w:r>
        <w:tab/>
        <w:t xml:space="preserve">In table 28.1, </w:t>
      </w:r>
      <w:r w:rsidRPr="00C66C7D">
        <w:t>amend the name of the test H.1 to read: “United States SADT/SAPT test”</w:t>
      </w:r>
      <w:r>
        <w:t xml:space="preserve"> and replace “(IST)” by “(IST)</w:t>
      </w:r>
      <w:r w:rsidRPr="00982134">
        <w:rPr>
          <w:vertAlign w:val="superscript"/>
        </w:rPr>
        <w:t>b</w:t>
      </w:r>
      <w:r>
        <w:t>”.</w:t>
      </w:r>
    </w:p>
    <w:p w14:paraId="2E0BDE50" w14:textId="77777777" w:rsidR="00843B52" w:rsidRPr="00741695" w:rsidRDefault="00843B52" w:rsidP="00843B52">
      <w:pPr>
        <w:pStyle w:val="SingleTxtG"/>
        <w:tabs>
          <w:tab w:val="left" w:pos="2268"/>
        </w:tabs>
        <w:ind w:left="2268" w:hanging="1134"/>
      </w:pPr>
      <w:r w:rsidRPr="00741695">
        <w:t>28.2.6</w:t>
      </w:r>
      <w:r w:rsidRPr="00741695">
        <w:tab/>
      </w:r>
      <w:r w:rsidRPr="00741695">
        <w:tab/>
        <w:t>Replace “The results obtained for the largest commercial package” by “The results obtained for larger packages”.</w:t>
      </w:r>
    </w:p>
    <w:p w14:paraId="185C5E8F" w14:textId="77777777" w:rsidR="00843B52" w:rsidRPr="00095AB4" w:rsidRDefault="00843B52" w:rsidP="00843B52">
      <w:pPr>
        <w:pStyle w:val="SingleTxtG"/>
        <w:tabs>
          <w:tab w:val="left" w:pos="2268"/>
        </w:tabs>
        <w:ind w:left="2268" w:hanging="1134"/>
      </w:pPr>
      <w:r w:rsidRPr="00095AB4">
        <w:t>28.3.4</w:t>
      </w:r>
      <w:r w:rsidRPr="00095AB4">
        <w:tab/>
      </w:r>
      <w:r w:rsidRPr="00095AB4">
        <w:tab/>
        <w:t>Replace “should be used for the actual determination” by “should be used for the final determination”.</w:t>
      </w:r>
    </w:p>
    <w:p w14:paraId="2AA44FF8" w14:textId="54C273F6" w:rsidR="00843B52" w:rsidRPr="00741695" w:rsidRDefault="00843B52" w:rsidP="00843B52">
      <w:pPr>
        <w:pStyle w:val="SingleTxtG"/>
        <w:tabs>
          <w:tab w:val="left" w:pos="2268"/>
        </w:tabs>
        <w:ind w:left="2268" w:hanging="1134"/>
      </w:pPr>
      <w:r w:rsidRPr="00741695">
        <w:t>28.3.5</w:t>
      </w:r>
      <w:r w:rsidRPr="00741695">
        <w:tab/>
      </w:r>
      <w:r w:rsidRPr="00741695">
        <w:tab/>
        <w:t>Insert the following sentence</w:t>
      </w:r>
      <w:r w:rsidR="00571725">
        <w:t>s after the first sentence</w:t>
      </w:r>
      <w:r w:rsidRPr="00741695">
        <w:t>:</w:t>
      </w:r>
    </w:p>
    <w:p w14:paraId="7C9CA386" w14:textId="606790AB" w:rsidR="00843B52" w:rsidRPr="00741695" w:rsidRDefault="00843B52" w:rsidP="00843B52">
      <w:pPr>
        <w:pStyle w:val="SingleTxtG"/>
      </w:pPr>
      <w:r w:rsidRPr="00741695">
        <w:t>“For all type of packagings up to 50 kg for solids or 200 kg/225 litres for liquids and for IBCs up to 1250 litres for liquids, a standard heat loss per unit of mass is given in Table 28.4. For other packagings, IBC’s or tanks or when there is a need for a heat loss value that deviates from the one as given in Table 28.4, the actual heat loss value per unit of mass has to be determined.”</w:t>
      </w:r>
    </w:p>
    <w:p w14:paraId="58F2419F" w14:textId="4925D3CE" w:rsidR="00843B52" w:rsidRPr="00D212ED" w:rsidRDefault="00843B52" w:rsidP="001B14AF">
      <w:pPr>
        <w:pStyle w:val="SingleTxtG"/>
        <w:tabs>
          <w:tab w:val="left" w:pos="2268"/>
        </w:tabs>
        <w:ind w:left="2268" w:hanging="1134"/>
      </w:pPr>
      <w:r w:rsidRPr="00741695">
        <w:tab/>
      </w:r>
      <w:r w:rsidR="006E2DBC">
        <w:t>In</w:t>
      </w:r>
      <w:r w:rsidRPr="00741695">
        <w:t xml:space="preserve"> the sentence currently starting with “The heat loss per unit of mass”</w:t>
      </w:r>
      <w:r w:rsidR="001B14AF">
        <w:t>, a</w:t>
      </w:r>
      <w:r w:rsidRPr="00D212ED">
        <w:t>mend the beginning to read “In this case, the heat loss per unit of mass of the package…”</w:t>
      </w:r>
      <w:r w:rsidR="001B14AF">
        <w:t xml:space="preserve"> and r</w:t>
      </w:r>
      <w:r w:rsidRPr="00D212ED">
        <w:t>eplace “…heat transfer in the substance and the heat transfer through the packaging to the environment)” by “…heat transfer in the substance, heat transfer through the packaging and heat transfer from the outer wall of the packaging to the environment (see note))…”.</w:t>
      </w:r>
    </w:p>
    <w:p w14:paraId="60CC564A" w14:textId="77777777" w:rsidR="00843B52" w:rsidRPr="00D212ED" w:rsidRDefault="00843B52" w:rsidP="00843B52">
      <w:pPr>
        <w:pStyle w:val="SingleTxtG"/>
        <w:tabs>
          <w:tab w:val="left" w:pos="2268"/>
        </w:tabs>
        <w:ind w:left="2268"/>
      </w:pPr>
      <w:r w:rsidRPr="00D212ED">
        <w:t>Insert a note to read as follows:</w:t>
      </w:r>
    </w:p>
    <w:p w14:paraId="1A173372" w14:textId="6133E76F" w:rsidR="00843B52" w:rsidRPr="00741695" w:rsidRDefault="00843B52" w:rsidP="00843B52">
      <w:pPr>
        <w:pStyle w:val="SingleTxtG"/>
        <w:rPr>
          <w:i/>
          <w:iCs/>
        </w:rPr>
      </w:pPr>
      <w:r w:rsidRPr="00D212ED">
        <w:rPr>
          <w:i/>
          <w:iCs/>
        </w:rPr>
        <w:t>“</w:t>
      </w:r>
      <w:r w:rsidRPr="00D212ED">
        <w:rPr>
          <w:b/>
          <w:bCs/>
          <w:i/>
          <w:iCs/>
        </w:rPr>
        <w:t>NOTE:</w:t>
      </w:r>
      <w:r w:rsidRPr="00D212ED">
        <w:rPr>
          <w:i/>
          <w:iCs/>
        </w:rPr>
        <w:tab/>
        <w:t>For calculations</w:t>
      </w:r>
      <w:r w:rsidR="00156073">
        <w:rPr>
          <w:i/>
          <w:iCs/>
        </w:rPr>
        <w:t>,</w:t>
      </w:r>
      <w:r w:rsidRPr="00D212ED">
        <w:rPr>
          <w:i/>
          <w:iCs/>
        </w:rPr>
        <w:t xml:space="preserve"> an external heat transfer coefficient (i.e. heat transfer from the outer wall of the packaging to the environment) of 5 W/m</w:t>
      </w:r>
      <w:r w:rsidRPr="00D212ED">
        <w:rPr>
          <w:i/>
          <w:iCs/>
          <w:vertAlign w:val="superscript"/>
        </w:rPr>
        <w:t>2</w:t>
      </w:r>
      <w:r w:rsidRPr="00D212ED">
        <w:rPr>
          <w:i/>
          <w:iCs/>
        </w:rPr>
        <w:t>.K can be used.”</w:t>
      </w:r>
    </w:p>
    <w:p w14:paraId="071D58BC" w14:textId="77777777" w:rsidR="00843B52" w:rsidRPr="00741695" w:rsidRDefault="00843B52" w:rsidP="00843B52">
      <w:pPr>
        <w:pStyle w:val="SingleTxtG"/>
        <w:tabs>
          <w:tab w:val="left" w:pos="2268"/>
        </w:tabs>
        <w:ind w:left="2268" w:hanging="1134"/>
      </w:pPr>
      <w:r w:rsidRPr="00741695">
        <w:t>28.3.6</w:t>
      </w:r>
      <w:r w:rsidRPr="00741695">
        <w:tab/>
        <w:t>In the first sentence, replace “and surroundings” by “and its surroundings”.</w:t>
      </w:r>
    </w:p>
    <w:p w14:paraId="0BE1E03E" w14:textId="07FD5033" w:rsidR="00843B52" w:rsidRPr="00741695" w:rsidRDefault="00843B52" w:rsidP="00843B52">
      <w:pPr>
        <w:pStyle w:val="SingleTxtG"/>
        <w:tabs>
          <w:tab w:val="left" w:pos="2268"/>
        </w:tabs>
        <w:ind w:left="2268" w:hanging="1134"/>
      </w:pPr>
      <w:r w:rsidRPr="00741695">
        <w:tab/>
        <w:t>Insert the following new fourth sentence: “For solids</w:t>
      </w:r>
      <w:r w:rsidR="00CC7F3C">
        <w:t>,</w:t>
      </w:r>
      <w:r w:rsidRPr="00741695">
        <w:t xml:space="preserve"> for example, the packaging may be filled with dense soda ash (apparent density greater than 1 g/cm</w:t>
      </w:r>
      <w:r w:rsidRPr="00741695">
        <w:rPr>
          <w:vertAlign w:val="superscript"/>
        </w:rPr>
        <w:t>3</w:t>
      </w:r>
      <w:r w:rsidRPr="00741695">
        <w:t>) and this is heated to about 80 °C.”.</w:t>
      </w:r>
    </w:p>
    <w:p w14:paraId="736469FC" w14:textId="3F61225D" w:rsidR="00843B52" w:rsidRPr="00095AB4" w:rsidRDefault="00843B52" w:rsidP="00843B52">
      <w:pPr>
        <w:pStyle w:val="SingleTxtG"/>
        <w:tabs>
          <w:tab w:val="left" w:pos="2268"/>
        </w:tabs>
        <w:ind w:left="2268" w:hanging="1134"/>
        <w:rPr>
          <w:i/>
          <w:iCs/>
        </w:rPr>
      </w:pPr>
      <w:r w:rsidRPr="00095AB4">
        <w:lastRenderedPageBreak/>
        <w:t>28.3.7</w:t>
      </w:r>
      <w:r w:rsidRPr="00095AB4">
        <w:tab/>
        <w:t>Amend the beginning of the first sentence to read as follows: “Standard heat loss characteristics of packages, IBCs and tanks are given in Table 28.4.”.</w:t>
      </w:r>
    </w:p>
    <w:p w14:paraId="6E42E2FA" w14:textId="77777777" w:rsidR="00843B52" w:rsidRDefault="00843B52" w:rsidP="00843B52">
      <w:pPr>
        <w:pStyle w:val="SingleTxtG"/>
        <w:keepNext/>
        <w:keepLines/>
        <w:tabs>
          <w:tab w:val="left" w:pos="2268"/>
        </w:tabs>
      </w:pPr>
      <w:r>
        <w:tab/>
      </w:r>
      <w:r w:rsidRPr="00741695">
        <w:t xml:space="preserve">Replace current table 28.4 and its related notes with the following: </w:t>
      </w:r>
    </w:p>
    <w:p w14:paraId="170A8988" w14:textId="05116EC4" w:rsidR="00843B52" w:rsidRDefault="00843B52" w:rsidP="00843B52">
      <w:pPr>
        <w:pStyle w:val="SingleTxtG"/>
        <w:keepNext/>
        <w:keepLines/>
        <w:tabs>
          <w:tab w:val="left" w:pos="1985"/>
        </w:tabs>
        <w:jc w:val="center"/>
        <w:rPr>
          <w:b/>
          <w:bCs/>
        </w:rPr>
      </w:pPr>
      <w:r w:rsidRPr="00921EAE">
        <w:rPr>
          <w:b/>
          <w:bCs/>
        </w:rPr>
        <w:t>“Table 28.4: Heat loss per unit mass from packages, IBCs and tanks</w:t>
      </w:r>
    </w:p>
    <w:p w14:paraId="08D2FC05" w14:textId="77777777" w:rsidR="00D265A4" w:rsidRPr="00921EAE" w:rsidRDefault="00D265A4" w:rsidP="00843B52">
      <w:pPr>
        <w:pStyle w:val="SingleTxtG"/>
        <w:keepNext/>
        <w:keepLines/>
        <w:tabs>
          <w:tab w:val="left" w:pos="1985"/>
        </w:tabs>
        <w:jc w:val="center"/>
        <w:rPr>
          <w:sz w:val="18"/>
          <w:szCs w:val="18"/>
        </w:rPr>
      </w:pPr>
    </w:p>
    <w:tbl>
      <w:tblPr>
        <w:tblW w:w="7173" w:type="dxa"/>
        <w:tblInd w:w="1134" w:type="dxa"/>
        <w:tblCellMar>
          <w:left w:w="120" w:type="dxa"/>
          <w:right w:w="120" w:type="dxa"/>
        </w:tblCellMar>
        <w:tblLook w:val="0000" w:firstRow="0" w:lastRow="0" w:firstColumn="0" w:lastColumn="0" w:noHBand="0" w:noVBand="0"/>
      </w:tblPr>
      <w:tblGrid>
        <w:gridCol w:w="1843"/>
        <w:gridCol w:w="2409"/>
        <w:gridCol w:w="2921"/>
      </w:tblGrid>
      <w:tr w:rsidR="00A05B3B" w:rsidRPr="00904ADC" w14:paraId="4B6A343B" w14:textId="77777777" w:rsidTr="00A05B3B">
        <w:trPr>
          <w:cantSplit/>
        </w:trPr>
        <w:tc>
          <w:tcPr>
            <w:tcW w:w="1285" w:type="pct"/>
            <w:tcBorders>
              <w:top w:val="single" w:sz="8" w:space="0" w:color="auto"/>
              <w:bottom w:val="single" w:sz="8" w:space="0" w:color="auto"/>
            </w:tcBorders>
          </w:tcPr>
          <w:p w14:paraId="0A4AF1DD" w14:textId="77777777" w:rsidR="00A05B3B" w:rsidRPr="00074038" w:rsidRDefault="00A05B3B" w:rsidP="00CB212B">
            <w:pPr>
              <w:pStyle w:val="MTabTxt"/>
              <w:keepNext/>
              <w:keepLines/>
              <w:rPr>
                <w:rFonts w:asciiTheme="majorBidi" w:hAnsiTheme="majorBidi" w:cstheme="majorBidi"/>
                <w:b/>
                <w:bCs/>
                <w:sz w:val="20"/>
                <w:szCs w:val="20"/>
              </w:rPr>
            </w:pPr>
            <w:r w:rsidRPr="00074038">
              <w:rPr>
                <w:rFonts w:asciiTheme="majorBidi" w:hAnsiTheme="majorBidi" w:cstheme="majorBidi"/>
                <w:b/>
                <w:bCs/>
                <w:sz w:val="20"/>
                <w:szCs w:val="20"/>
              </w:rPr>
              <w:t>Type of receptacle</w:t>
            </w:r>
          </w:p>
        </w:tc>
        <w:tc>
          <w:tcPr>
            <w:tcW w:w="1679" w:type="pct"/>
            <w:tcBorders>
              <w:top w:val="single" w:sz="8" w:space="0" w:color="auto"/>
              <w:bottom w:val="single" w:sz="8" w:space="0" w:color="auto"/>
            </w:tcBorders>
          </w:tcPr>
          <w:p w14:paraId="782D5B63" w14:textId="4B1F6005" w:rsidR="00A05B3B" w:rsidRPr="00074038" w:rsidRDefault="00A05B3B" w:rsidP="00D265A4">
            <w:pPr>
              <w:pStyle w:val="MTabTxt"/>
              <w:keepNext/>
              <w:keepLines/>
              <w:rPr>
                <w:rFonts w:asciiTheme="majorBidi" w:hAnsiTheme="majorBidi" w:cstheme="majorBidi"/>
                <w:b/>
                <w:bCs/>
                <w:sz w:val="20"/>
                <w:szCs w:val="20"/>
              </w:rPr>
            </w:pPr>
            <w:r w:rsidRPr="00074038">
              <w:rPr>
                <w:rFonts w:asciiTheme="majorBidi" w:hAnsiTheme="majorBidi" w:cstheme="majorBidi"/>
                <w:b/>
                <w:bCs/>
                <w:sz w:val="20"/>
                <w:szCs w:val="20"/>
              </w:rPr>
              <w:t>Normal capacity</w:t>
            </w:r>
          </w:p>
        </w:tc>
        <w:tc>
          <w:tcPr>
            <w:tcW w:w="2036" w:type="pct"/>
            <w:tcBorders>
              <w:top w:val="single" w:sz="8" w:space="0" w:color="auto"/>
              <w:bottom w:val="single" w:sz="8" w:space="0" w:color="auto"/>
            </w:tcBorders>
          </w:tcPr>
          <w:p w14:paraId="50864DF9" w14:textId="6A72615F" w:rsidR="00A05B3B" w:rsidRPr="00904ADC" w:rsidRDefault="00A05B3B" w:rsidP="00CB212B">
            <w:pPr>
              <w:pStyle w:val="MTabTxt"/>
              <w:keepNext/>
              <w:keepLines/>
              <w:jc w:val="right"/>
              <w:rPr>
                <w:rFonts w:asciiTheme="majorBidi" w:hAnsiTheme="majorBidi" w:cstheme="majorBidi"/>
                <w:b/>
                <w:bCs/>
                <w:sz w:val="20"/>
                <w:szCs w:val="20"/>
              </w:rPr>
            </w:pPr>
            <w:r w:rsidRPr="00074038">
              <w:rPr>
                <w:rFonts w:asciiTheme="majorBidi" w:hAnsiTheme="majorBidi" w:cstheme="majorBidi"/>
                <w:b/>
                <w:bCs/>
                <w:sz w:val="20"/>
                <w:szCs w:val="20"/>
              </w:rPr>
              <w:t>Heat loss per unit mass, L (</w:t>
            </w:r>
            <w:proofErr w:type="spellStart"/>
            <w:r w:rsidRPr="00074038">
              <w:rPr>
                <w:rFonts w:asciiTheme="majorBidi" w:hAnsiTheme="majorBidi" w:cstheme="majorBidi"/>
                <w:b/>
                <w:bCs/>
                <w:sz w:val="20"/>
                <w:szCs w:val="20"/>
              </w:rPr>
              <w:t>mW</w:t>
            </w:r>
            <w:proofErr w:type="spellEnd"/>
            <w:r w:rsidRPr="00074038">
              <w:rPr>
                <w:rFonts w:asciiTheme="majorBidi" w:hAnsiTheme="majorBidi" w:cstheme="majorBidi"/>
                <w:b/>
                <w:bCs/>
                <w:sz w:val="20"/>
                <w:szCs w:val="20"/>
              </w:rPr>
              <w:t>/</w:t>
            </w:r>
            <w:proofErr w:type="spellStart"/>
            <w:r w:rsidRPr="00074038">
              <w:rPr>
                <w:rFonts w:asciiTheme="majorBidi" w:hAnsiTheme="majorBidi" w:cstheme="majorBidi"/>
                <w:b/>
                <w:bCs/>
                <w:sz w:val="20"/>
                <w:szCs w:val="20"/>
              </w:rPr>
              <w:t>K·kg</w:t>
            </w:r>
            <w:proofErr w:type="spellEnd"/>
            <w:r w:rsidRPr="00074038">
              <w:rPr>
                <w:rFonts w:asciiTheme="majorBidi" w:hAnsiTheme="majorBidi" w:cstheme="majorBidi"/>
                <w:b/>
                <w:bCs/>
                <w:sz w:val="20"/>
                <w:szCs w:val="20"/>
              </w:rPr>
              <w:t>)</w:t>
            </w:r>
            <w:r w:rsidRPr="00074038">
              <w:rPr>
                <w:rFonts w:asciiTheme="majorBidi" w:hAnsiTheme="majorBidi" w:cstheme="majorBidi"/>
                <w:b/>
                <w:bCs/>
                <w:sz w:val="20"/>
                <w:szCs w:val="20"/>
                <w:vertAlign w:val="superscript"/>
              </w:rPr>
              <w:t>a</w:t>
            </w:r>
          </w:p>
        </w:tc>
      </w:tr>
      <w:tr w:rsidR="00A05B3B" w:rsidRPr="00904ADC" w14:paraId="54798338" w14:textId="77777777" w:rsidTr="00A05B3B">
        <w:trPr>
          <w:cantSplit/>
        </w:trPr>
        <w:tc>
          <w:tcPr>
            <w:tcW w:w="1285" w:type="pct"/>
          </w:tcPr>
          <w:p w14:paraId="44628F0E" w14:textId="77777777" w:rsidR="00A05B3B" w:rsidRPr="008B629E" w:rsidRDefault="00A05B3B" w:rsidP="00CB212B">
            <w:pPr>
              <w:pStyle w:val="MTabTxt"/>
              <w:keepNext/>
              <w:keepLines/>
              <w:rPr>
                <w:rFonts w:asciiTheme="majorBidi" w:hAnsiTheme="majorBidi" w:cstheme="majorBidi"/>
                <w:sz w:val="20"/>
                <w:szCs w:val="20"/>
              </w:rPr>
            </w:pPr>
            <w:r w:rsidRPr="008B629E">
              <w:rPr>
                <w:rFonts w:asciiTheme="majorBidi" w:hAnsiTheme="majorBidi" w:cstheme="majorBidi"/>
                <w:b/>
                <w:bCs/>
                <w:sz w:val="20"/>
                <w:szCs w:val="20"/>
              </w:rPr>
              <w:t>For liquids:</w:t>
            </w:r>
          </w:p>
        </w:tc>
        <w:tc>
          <w:tcPr>
            <w:tcW w:w="1679" w:type="pct"/>
          </w:tcPr>
          <w:p w14:paraId="1416DAD7" w14:textId="77777777" w:rsidR="00A05B3B" w:rsidRPr="00904ADC" w:rsidRDefault="00A05B3B" w:rsidP="00D265A4">
            <w:pPr>
              <w:pStyle w:val="MTabTxt"/>
              <w:keepNext/>
              <w:keepLines/>
              <w:rPr>
                <w:rFonts w:asciiTheme="majorBidi" w:hAnsiTheme="majorBidi" w:cstheme="majorBidi"/>
                <w:sz w:val="20"/>
                <w:szCs w:val="20"/>
              </w:rPr>
            </w:pPr>
          </w:p>
        </w:tc>
        <w:tc>
          <w:tcPr>
            <w:tcW w:w="2036" w:type="pct"/>
          </w:tcPr>
          <w:p w14:paraId="6FACD523" w14:textId="77777777" w:rsidR="00A05B3B" w:rsidRPr="00904ADC" w:rsidRDefault="00A05B3B" w:rsidP="00CB212B">
            <w:pPr>
              <w:pStyle w:val="MTabTxt"/>
              <w:keepNext/>
              <w:keepLines/>
              <w:jc w:val="right"/>
              <w:rPr>
                <w:rFonts w:asciiTheme="majorBidi" w:hAnsiTheme="majorBidi" w:cstheme="majorBidi"/>
                <w:sz w:val="20"/>
                <w:szCs w:val="20"/>
              </w:rPr>
            </w:pPr>
          </w:p>
        </w:tc>
      </w:tr>
      <w:tr w:rsidR="00A05B3B" w:rsidRPr="00904ADC" w14:paraId="6F217C65" w14:textId="77777777" w:rsidTr="00A05B3B">
        <w:trPr>
          <w:cantSplit/>
        </w:trPr>
        <w:tc>
          <w:tcPr>
            <w:tcW w:w="1285" w:type="pct"/>
          </w:tcPr>
          <w:p w14:paraId="54ABDD93" w14:textId="77777777" w:rsidR="00A05B3B" w:rsidRPr="008B629E" w:rsidRDefault="00A05B3B" w:rsidP="00CB212B">
            <w:pPr>
              <w:pStyle w:val="MTabTxt"/>
              <w:keepNext/>
              <w:keepLines/>
              <w:spacing w:before="20" w:after="20"/>
              <w:rPr>
                <w:rFonts w:asciiTheme="majorBidi" w:hAnsiTheme="majorBidi" w:cstheme="majorBidi"/>
                <w:sz w:val="20"/>
                <w:szCs w:val="20"/>
              </w:rPr>
            </w:pPr>
            <w:r w:rsidRPr="008B629E">
              <w:rPr>
                <w:rFonts w:asciiTheme="majorBidi" w:hAnsiTheme="majorBidi" w:cstheme="majorBidi"/>
                <w:sz w:val="20"/>
                <w:szCs w:val="20"/>
              </w:rPr>
              <w:t>Packagings</w:t>
            </w:r>
          </w:p>
        </w:tc>
        <w:tc>
          <w:tcPr>
            <w:tcW w:w="1679" w:type="pct"/>
          </w:tcPr>
          <w:p w14:paraId="60602F43" w14:textId="77777777" w:rsidR="00A05B3B" w:rsidRPr="00904ADC" w:rsidRDefault="00A05B3B" w:rsidP="00D265A4">
            <w:pPr>
              <w:pStyle w:val="MTabTxt"/>
              <w:keepNext/>
              <w:keepLines/>
              <w:spacing w:before="20" w:after="20"/>
              <w:rPr>
                <w:rFonts w:asciiTheme="majorBidi" w:hAnsiTheme="majorBidi" w:cstheme="majorBidi"/>
                <w:sz w:val="20"/>
                <w:szCs w:val="20"/>
              </w:rPr>
            </w:pPr>
            <w:r w:rsidRPr="00904ADC">
              <w:rPr>
                <w:rFonts w:asciiTheme="majorBidi" w:hAnsiTheme="majorBidi" w:cstheme="majorBidi"/>
                <w:sz w:val="20"/>
                <w:szCs w:val="20"/>
              </w:rPr>
              <w:t xml:space="preserve">up to 200 kg/225 </w:t>
            </w:r>
            <w:r w:rsidRPr="00D265A4">
              <w:rPr>
                <w:rFonts w:asciiTheme="majorBidi" w:hAnsiTheme="majorBidi" w:cstheme="majorBidi"/>
                <w:i/>
                <w:iCs/>
                <w:sz w:val="20"/>
                <w:szCs w:val="20"/>
              </w:rPr>
              <w:t>l</w:t>
            </w:r>
          </w:p>
        </w:tc>
        <w:tc>
          <w:tcPr>
            <w:tcW w:w="2036" w:type="pct"/>
          </w:tcPr>
          <w:p w14:paraId="1735343B"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r w:rsidRPr="00904ADC">
              <w:rPr>
                <w:rFonts w:asciiTheme="majorBidi" w:hAnsiTheme="majorBidi" w:cstheme="majorBidi"/>
                <w:sz w:val="20"/>
                <w:szCs w:val="20"/>
              </w:rPr>
              <w:t>40</w:t>
            </w:r>
            <w:r w:rsidRPr="00904ADC">
              <w:rPr>
                <w:rFonts w:asciiTheme="majorBidi" w:hAnsiTheme="majorBidi" w:cstheme="majorBidi"/>
                <w:sz w:val="20"/>
                <w:szCs w:val="20"/>
                <w:vertAlign w:val="superscript"/>
              </w:rPr>
              <w:t>b</w:t>
            </w:r>
          </w:p>
        </w:tc>
      </w:tr>
      <w:tr w:rsidR="00A05B3B" w:rsidRPr="00904ADC" w14:paraId="34E6D42B" w14:textId="77777777" w:rsidTr="00A05B3B">
        <w:trPr>
          <w:cantSplit/>
        </w:trPr>
        <w:tc>
          <w:tcPr>
            <w:tcW w:w="1285" w:type="pct"/>
          </w:tcPr>
          <w:p w14:paraId="72AE1B09" w14:textId="77777777" w:rsidR="00A05B3B" w:rsidRPr="008B629E" w:rsidRDefault="00A05B3B" w:rsidP="00CB212B">
            <w:pPr>
              <w:pStyle w:val="MTabTxt"/>
              <w:keepNext/>
              <w:keepLines/>
              <w:spacing w:before="20" w:after="20"/>
              <w:rPr>
                <w:rFonts w:asciiTheme="majorBidi" w:hAnsiTheme="majorBidi" w:cstheme="majorBidi"/>
                <w:sz w:val="20"/>
                <w:szCs w:val="20"/>
              </w:rPr>
            </w:pPr>
            <w:r w:rsidRPr="008B629E">
              <w:rPr>
                <w:rFonts w:asciiTheme="majorBidi" w:hAnsiTheme="majorBidi" w:cstheme="majorBidi"/>
                <w:sz w:val="20"/>
                <w:szCs w:val="20"/>
              </w:rPr>
              <w:t>Packagings</w:t>
            </w:r>
          </w:p>
        </w:tc>
        <w:tc>
          <w:tcPr>
            <w:tcW w:w="1679" w:type="pct"/>
          </w:tcPr>
          <w:p w14:paraId="1C501B49" w14:textId="77777777" w:rsidR="00A05B3B" w:rsidRPr="00904ADC" w:rsidRDefault="00A05B3B" w:rsidP="00D265A4">
            <w:pPr>
              <w:pStyle w:val="MTabTxt"/>
              <w:keepNext/>
              <w:keepLines/>
              <w:spacing w:before="20" w:after="20"/>
              <w:rPr>
                <w:rFonts w:asciiTheme="majorBidi" w:hAnsiTheme="majorBidi" w:cstheme="majorBidi"/>
                <w:sz w:val="20"/>
                <w:szCs w:val="20"/>
              </w:rPr>
            </w:pPr>
            <w:r w:rsidRPr="00904ADC">
              <w:rPr>
                <w:rFonts w:asciiTheme="majorBidi" w:hAnsiTheme="majorBidi" w:cstheme="majorBidi"/>
                <w:sz w:val="20"/>
                <w:szCs w:val="20"/>
              </w:rPr>
              <w:t xml:space="preserve">larger than 200 kg/225 </w:t>
            </w:r>
            <w:r w:rsidRPr="00D265A4">
              <w:rPr>
                <w:rFonts w:asciiTheme="majorBidi" w:hAnsiTheme="majorBidi" w:cstheme="majorBidi"/>
                <w:i/>
                <w:iCs/>
                <w:sz w:val="20"/>
                <w:szCs w:val="20"/>
              </w:rPr>
              <w:t>l</w:t>
            </w:r>
          </w:p>
        </w:tc>
        <w:tc>
          <w:tcPr>
            <w:tcW w:w="2036" w:type="pct"/>
          </w:tcPr>
          <w:p w14:paraId="7D86BBFD"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r w:rsidRPr="00904ADC">
              <w:rPr>
                <w:rFonts w:asciiTheme="majorBidi" w:hAnsiTheme="majorBidi" w:cstheme="majorBidi"/>
                <w:sz w:val="20"/>
                <w:szCs w:val="20"/>
              </w:rPr>
              <w:t xml:space="preserve">no standard </w:t>
            </w:r>
            <w:proofErr w:type="spellStart"/>
            <w:r w:rsidRPr="00904ADC">
              <w:rPr>
                <w:rFonts w:asciiTheme="majorBidi" w:hAnsiTheme="majorBidi" w:cstheme="majorBidi"/>
                <w:sz w:val="20"/>
                <w:szCs w:val="20"/>
              </w:rPr>
              <w:t>value</w:t>
            </w:r>
            <w:r w:rsidRPr="00904ADC">
              <w:rPr>
                <w:rFonts w:asciiTheme="majorBidi" w:hAnsiTheme="majorBidi" w:cstheme="majorBidi"/>
                <w:sz w:val="20"/>
                <w:szCs w:val="20"/>
                <w:vertAlign w:val="superscript"/>
              </w:rPr>
              <w:t>c</w:t>
            </w:r>
            <w:proofErr w:type="spellEnd"/>
          </w:p>
        </w:tc>
      </w:tr>
      <w:tr w:rsidR="00A05B3B" w:rsidRPr="00904ADC" w14:paraId="2980B845" w14:textId="77777777" w:rsidTr="00A05B3B">
        <w:trPr>
          <w:cantSplit/>
        </w:trPr>
        <w:tc>
          <w:tcPr>
            <w:tcW w:w="1285" w:type="pct"/>
          </w:tcPr>
          <w:p w14:paraId="166647D2" w14:textId="77777777" w:rsidR="00A05B3B" w:rsidRPr="008B629E" w:rsidRDefault="00A05B3B" w:rsidP="00CB212B">
            <w:pPr>
              <w:pStyle w:val="MTabTxt"/>
              <w:keepNext/>
              <w:keepLines/>
              <w:spacing w:before="20" w:after="20"/>
              <w:rPr>
                <w:rFonts w:asciiTheme="majorBidi" w:hAnsiTheme="majorBidi" w:cstheme="majorBidi"/>
                <w:sz w:val="20"/>
                <w:szCs w:val="20"/>
              </w:rPr>
            </w:pPr>
            <w:r w:rsidRPr="008B629E">
              <w:rPr>
                <w:rFonts w:asciiTheme="majorBidi" w:hAnsiTheme="majorBidi" w:cstheme="majorBidi"/>
                <w:sz w:val="20"/>
                <w:szCs w:val="20"/>
              </w:rPr>
              <w:t>IBCs</w:t>
            </w:r>
          </w:p>
        </w:tc>
        <w:tc>
          <w:tcPr>
            <w:tcW w:w="1679" w:type="pct"/>
          </w:tcPr>
          <w:p w14:paraId="6CDE00BA" w14:textId="77777777" w:rsidR="00A05B3B" w:rsidRPr="00904ADC" w:rsidRDefault="00A05B3B" w:rsidP="00D265A4">
            <w:pPr>
              <w:pStyle w:val="MTabTxt"/>
              <w:keepNext/>
              <w:keepLines/>
              <w:spacing w:before="20" w:after="20"/>
              <w:rPr>
                <w:rFonts w:asciiTheme="majorBidi" w:hAnsiTheme="majorBidi" w:cstheme="majorBidi"/>
                <w:sz w:val="20"/>
                <w:szCs w:val="20"/>
              </w:rPr>
            </w:pPr>
            <w:r w:rsidRPr="00904ADC">
              <w:rPr>
                <w:rFonts w:asciiTheme="majorBidi" w:hAnsiTheme="majorBidi" w:cstheme="majorBidi"/>
                <w:sz w:val="20"/>
                <w:szCs w:val="20"/>
              </w:rPr>
              <w:t xml:space="preserve">up to 1250 </w:t>
            </w:r>
            <w:r w:rsidRPr="00D265A4">
              <w:rPr>
                <w:rFonts w:asciiTheme="majorBidi" w:hAnsiTheme="majorBidi" w:cstheme="majorBidi"/>
                <w:i/>
                <w:iCs/>
                <w:sz w:val="20"/>
                <w:szCs w:val="20"/>
              </w:rPr>
              <w:t>l</w:t>
            </w:r>
          </w:p>
        </w:tc>
        <w:tc>
          <w:tcPr>
            <w:tcW w:w="2036" w:type="pct"/>
          </w:tcPr>
          <w:p w14:paraId="6A1B044C"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r w:rsidRPr="00904ADC">
              <w:rPr>
                <w:rFonts w:asciiTheme="majorBidi" w:hAnsiTheme="majorBidi" w:cstheme="majorBidi"/>
                <w:sz w:val="20"/>
                <w:szCs w:val="20"/>
              </w:rPr>
              <w:t>30</w:t>
            </w:r>
          </w:p>
        </w:tc>
      </w:tr>
      <w:tr w:rsidR="00A05B3B" w:rsidRPr="00904ADC" w14:paraId="575478F5" w14:textId="77777777" w:rsidTr="00A05B3B">
        <w:trPr>
          <w:cantSplit/>
        </w:trPr>
        <w:tc>
          <w:tcPr>
            <w:tcW w:w="1285" w:type="pct"/>
          </w:tcPr>
          <w:p w14:paraId="4A29EEAE" w14:textId="77777777" w:rsidR="00A05B3B" w:rsidRPr="008B629E" w:rsidRDefault="00A05B3B" w:rsidP="00CB212B">
            <w:pPr>
              <w:pStyle w:val="MTabTxt"/>
              <w:keepNext/>
              <w:keepLines/>
              <w:spacing w:before="20" w:after="20"/>
              <w:rPr>
                <w:rFonts w:asciiTheme="majorBidi" w:hAnsiTheme="majorBidi" w:cstheme="majorBidi"/>
                <w:sz w:val="20"/>
                <w:szCs w:val="20"/>
              </w:rPr>
            </w:pPr>
            <w:r w:rsidRPr="008B629E">
              <w:rPr>
                <w:rFonts w:asciiTheme="majorBidi" w:hAnsiTheme="majorBidi" w:cstheme="majorBidi"/>
                <w:sz w:val="20"/>
                <w:szCs w:val="20"/>
              </w:rPr>
              <w:t>IBCs</w:t>
            </w:r>
          </w:p>
        </w:tc>
        <w:tc>
          <w:tcPr>
            <w:tcW w:w="1679" w:type="pct"/>
          </w:tcPr>
          <w:p w14:paraId="45B66B38" w14:textId="77777777" w:rsidR="00A05B3B" w:rsidRPr="00904ADC" w:rsidRDefault="00A05B3B" w:rsidP="00D265A4">
            <w:pPr>
              <w:pStyle w:val="MTabTxt"/>
              <w:keepNext/>
              <w:keepLines/>
              <w:spacing w:before="20" w:after="20"/>
              <w:rPr>
                <w:rFonts w:asciiTheme="majorBidi" w:hAnsiTheme="majorBidi" w:cstheme="majorBidi"/>
                <w:sz w:val="20"/>
                <w:szCs w:val="20"/>
              </w:rPr>
            </w:pPr>
            <w:r w:rsidRPr="00904ADC">
              <w:rPr>
                <w:rFonts w:asciiTheme="majorBidi" w:hAnsiTheme="majorBidi" w:cstheme="majorBidi"/>
                <w:sz w:val="20"/>
                <w:szCs w:val="20"/>
              </w:rPr>
              <w:t xml:space="preserve">larger than 1250 </w:t>
            </w:r>
            <w:r w:rsidRPr="00D265A4">
              <w:rPr>
                <w:rFonts w:asciiTheme="majorBidi" w:hAnsiTheme="majorBidi" w:cstheme="majorBidi"/>
                <w:i/>
                <w:iCs/>
                <w:sz w:val="20"/>
                <w:szCs w:val="20"/>
              </w:rPr>
              <w:t>l</w:t>
            </w:r>
          </w:p>
        </w:tc>
        <w:tc>
          <w:tcPr>
            <w:tcW w:w="2036" w:type="pct"/>
          </w:tcPr>
          <w:p w14:paraId="54D7012A"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r w:rsidRPr="00904ADC">
              <w:rPr>
                <w:rFonts w:asciiTheme="majorBidi" w:hAnsiTheme="majorBidi" w:cstheme="majorBidi"/>
                <w:sz w:val="20"/>
                <w:szCs w:val="20"/>
              </w:rPr>
              <w:t xml:space="preserve">no standard </w:t>
            </w:r>
            <w:proofErr w:type="spellStart"/>
            <w:r w:rsidRPr="00904ADC">
              <w:rPr>
                <w:rFonts w:asciiTheme="majorBidi" w:hAnsiTheme="majorBidi" w:cstheme="majorBidi"/>
                <w:sz w:val="20"/>
                <w:szCs w:val="20"/>
              </w:rPr>
              <w:t>value</w:t>
            </w:r>
            <w:r w:rsidRPr="00904ADC">
              <w:rPr>
                <w:rFonts w:asciiTheme="majorBidi" w:hAnsiTheme="majorBidi" w:cstheme="majorBidi"/>
                <w:sz w:val="20"/>
                <w:szCs w:val="20"/>
                <w:vertAlign w:val="superscript"/>
              </w:rPr>
              <w:t>c</w:t>
            </w:r>
            <w:proofErr w:type="spellEnd"/>
          </w:p>
        </w:tc>
      </w:tr>
      <w:tr w:rsidR="00A05B3B" w:rsidRPr="00904ADC" w14:paraId="7E4725D7" w14:textId="77777777" w:rsidTr="00A05B3B">
        <w:trPr>
          <w:cantSplit/>
        </w:trPr>
        <w:tc>
          <w:tcPr>
            <w:tcW w:w="1285" w:type="pct"/>
          </w:tcPr>
          <w:p w14:paraId="5EB13188" w14:textId="77777777" w:rsidR="00A05B3B" w:rsidRPr="008B629E" w:rsidRDefault="00A05B3B" w:rsidP="00CB212B">
            <w:pPr>
              <w:pStyle w:val="MTabTxt"/>
              <w:keepNext/>
              <w:keepLines/>
              <w:spacing w:before="20" w:after="20"/>
              <w:rPr>
                <w:rFonts w:asciiTheme="majorBidi" w:hAnsiTheme="majorBidi" w:cstheme="majorBidi"/>
                <w:sz w:val="20"/>
                <w:szCs w:val="20"/>
              </w:rPr>
            </w:pPr>
            <w:r w:rsidRPr="008B629E">
              <w:rPr>
                <w:rFonts w:asciiTheme="majorBidi" w:hAnsiTheme="majorBidi" w:cstheme="majorBidi"/>
                <w:sz w:val="20"/>
                <w:szCs w:val="20"/>
              </w:rPr>
              <w:t>Tanks</w:t>
            </w:r>
          </w:p>
        </w:tc>
        <w:tc>
          <w:tcPr>
            <w:tcW w:w="1679" w:type="pct"/>
          </w:tcPr>
          <w:p w14:paraId="4EC62923" w14:textId="33DC1866" w:rsidR="00A05B3B" w:rsidRPr="00904ADC" w:rsidRDefault="00A05B3B" w:rsidP="00D265A4">
            <w:pPr>
              <w:pStyle w:val="MTabTxt"/>
              <w:keepNext/>
              <w:keepLines/>
              <w:spacing w:before="20" w:after="20"/>
              <w:rPr>
                <w:rFonts w:asciiTheme="majorBidi" w:hAnsiTheme="majorBidi" w:cstheme="majorBidi"/>
                <w:sz w:val="20"/>
                <w:szCs w:val="20"/>
              </w:rPr>
            </w:pPr>
            <w:r>
              <w:rPr>
                <w:rFonts w:asciiTheme="majorBidi" w:hAnsiTheme="majorBidi" w:cstheme="majorBidi"/>
                <w:sz w:val="20"/>
                <w:szCs w:val="20"/>
              </w:rPr>
              <w:t>-</w:t>
            </w:r>
          </w:p>
        </w:tc>
        <w:tc>
          <w:tcPr>
            <w:tcW w:w="2036" w:type="pct"/>
          </w:tcPr>
          <w:p w14:paraId="60281F57"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r w:rsidRPr="00904ADC">
              <w:rPr>
                <w:rFonts w:asciiTheme="majorBidi" w:hAnsiTheme="majorBidi" w:cstheme="majorBidi"/>
                <w:sz w:val="20"/>
                <w:szCs w:val="20"/>
              </w:rPr>
              <w:t xml:space="preserve">no standard </w:t>
            </w:r>
            <w:proofErr w:type="spellStart"/>
            <w:r w:rsidRPr="00904ADC">
              <w:rPr>
                <w:rFonts w:asciiTheme="majorBidi" w:hAnsiTheme="majorBidi" w:cstheme="majorBidi"/>
                <w:sz w:val="20"/>
                <w:szCs w:val="20"/>
              </w:rPr>
              <w:t>value</w:t>
            </w:r>
            <w:r w:rsidRPr="00904ADC">
              <w:rPr>
                <w:rFonts w:asciiTheme="majorBidi" w:hAnsiTheme="majorBidi" w:cstheme="majorBidi"/>
                <w:sz w:val="20"/>
                <w:szCs w:val="20"/>
                <w:vertAlign w:val="superscript"/>
              </w:rPr>
              <w:t>c</w:t>
            </w:r>
            <w:proofErr w:type="spellEnd"/>
          </w:p>
        </w:tc>
      </w:tr>
      <w:tr w:rsidR="00A05B3B" w:rsidRPr="00904ADC" w14:paraId="5C5E8D70" w14:textId="77777777" w:rsidTr="00A05B3B">
        <w:trPr>
          <w:cantSplit/>
        </w:trPr>
        <w:tc>
          <w:tcPr>
            <w:tcW w:w="1285" w:type="pct"/>
          </w:tcPr>
          <w:p w14:paraId="0A83B620" w14:textId="77777777" w:rsidR="00A05B3B" w:rsidRPr="008B629E" w:rsidRDefault="00A05B3B" w:rsidP="00CB212B">
            <w:pPr>
              <w:pStyle w:val="MTabTxt"/>
              <w:keepNext/>
              <w:keepLines/>
              <w:spacing w:before="20" w:after="20"/>
              <w:rPr>
                <w:rFonts w:asciiTheme="majorBidi" w:hAnsiTheme="majorBidi" w:cstheme="majorBidi"/>
                <w:sz w:val="20"/>
                <w:szCs w:val="20"/>
              </w:rPr>
            </w:pPr>
          </w:p>
        </w:tc>
        <w:tc>
          <w:tcPr>
            <w:tcW w:w="1679" w:type="pct"/>
          </w:tcPr>
          <w:p w14:paraId="79EE9767" w14:textId="77777777" w:rsidR="00A05B3B" w:rsidRPr="00904ADC" w:rsidRDefault="00A05B3B" w:rsidP="00D265A4">
            <w:pPr>
              <w:pStyle w:val="MTabTxt"/>
              <w:keepNext/>
              <w:keepLines/>
              <w:spacing w:before="20" w:after="20"/>
              <w:rPr>
                <w:rFonts w:asciiTheme="majorBidi" w:hAnsiTheme="majorBidi" w:cstheme="majorBidi"/>
                <w:sz w:val="20"/>
                <w:szCs w:val="20"/>
              </w:rPr>
            </w:pPr>
          </w:p>
        </w:tc>
        <w:tc>
          <w:tcPr>
            <w:tcW w:w="2036" w:type="pct"/>
          </w:tcPr>
          <w:p w14:paraId="37A8A8C0"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p>
        </w:tc>
      </w:tr>
      <w:tr w:rsidR="00A05B3B" w:rsidRPr="00904ADC" w14:paraId="7048C972" w14:textId="77777777" w:rsidTr="00A05B3B">
        <w:trPr>
          <w:cantSplit/>
        </w:trPr>
        <w:tc>
          <w:tcPr>
            <w:tcW w:w="1285" w:type="pct"/>
          </w:tcPr>
          <w:p w14:paraId="3264EAAA" w14:textId="77777777" w:rsidR="00A05B3B" w:rsidRPr="008B629E" w:rsidRDefault="00A05B3B" w:rsidP="00CB212B">
            <w:pPr>
              <w:pStyle w:val="MTabTxt"/>
              <w:keepNext/>
              <w:keepLines/>
              <w:spacing w:before="20" w:after="20"/>
              <w:rPr>
                <w:rFonts w:asciiTheme="majorBidi" w:hAnsiTheme="majorBidi" w:cstheme="majorBidi"/>
                <w:sz w:val="20"/>
                <w:szCs w:val="20"/>
              </w:rPr>
            </w:pPr>
            <w:r w:rsidRPr="008B629E">
              <w:rPr>
                <w:rFonts w:asciiTheme="majorBidi" w:hAnsiTheme="majorBidi" w:cstheme="majorBidi"/>
                <w:b/>
                <w:bCs/>
                <w:sz w:val="20"/>
                <w:szCs w:val="20"/>
              </w:rPr>
              <w:t>For solids:</w:t>
            </w:r>
          </w:p>
        </w:tc>
        <w:tc>
          <w:tcPr>
            <w:tcW w:w="1679" w:type="pct"/>
          </w:tcPr>
          <w:p w14:paraId="648B4197" w14:textId="77777777" w:rsidR="00A05B3B" w:rsidRPr="00904ADC" w:rsidRDefault="00A05B3B" w:rsidP="00D265A4">
            <w:pPr>
              <w:pStyle w:val="MTabTxt"/>
              <w:keepNext/>
              <w:keepLines/>
              <w:spacing w:before="20" w:after="20"/>
              <w:rPr>
                <w:rFonts w:asciiTheme="majorBidi" w:hAnsiTheme="majorBidi" w:cstheme="majorBidi"/>
                <w:sz w:val="20"/>
                <w:szCs w:val="20"/>
              </w:rPr>
            </w:pPr>
          </w:p>
        </w:tc>
        <w:tc>
          <w:tcPr>
            <w:tcW w:w="2036" w:type="pct"/>
          </w:tcPr>
          <w:p w14:paraId="7C234631"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p>
        </w:tc>
      </w:tr>
      <w:tr w:rsidR="00A05B3B" w:rsidRPr="00904ADC" w14:paraId="241F2D33" w14:textId="77777777" w:rsidTr="00A05B3B">
        <w:trPr>
          <w:cantSplit/>
        </w:trPr>
        <w:tc>
          <w:tcPr>
            <w:tcW w:w="1285" w:type="pct"/>
          </w:tcPr>
          <w:p w14:paraId="3365202A" w14:textId="77777777" w:rsidR="00A05B3B" w:rsidRPr="008B629E" w:rsidRDefault="00A05B3B" w:rsidP="00CB212B">
            <w:pPr>
              <w:pStyle w:val="MTabTxt"/>
              <w:keepNext/>
              <w:keepLines/>
              <w:spacing w:before="20" w:after="20"/>
              <w:rPr>
                <w:rFonts w:asciiTheme="majorBidi" w:hAnsiTheme="majorBidi" w:cstheme="majorBidi"/>
                <w:sz w:val="20"/>
                <w:szCs w:val="20"/>
              </w:rPr>
            </w:pPr>
            <w:r w:rsidRPr="008B629E">
              <w:rPr>
                <w:rFonts w:asciiTheme="majorBidi" w:hAnsiTheme="majorBidi" w:cstheme="majorBidi"/>
                <w:sz w:val="20"/>
                <w:szCs w:val="20"/>
              </w:rPr>
              <w:t>Packagings</w:t>
            </w:r>
          </w:p>
        </w:tc>
        <w:tc>
          <w:tcPr>
            <w:tcW w:w="1679" w:type="pct"/>
          </w:tcPr>
          <w:p w14:paraId="498FA793" w14:textId="70D87BC3" w:rsidR="00A05B3B" w:rsidRPr="00904ADC" w:rsidRDefault="00A05B3B" w:rsidP="00D265A4">
            <w:pPr>
              <w:pStyle w:val="MTabTxt"/>
              <w:keepNext/>
              <w:keepLines/>
              <w:spacing w:before="20" w:after="20"/>
              <w:rPr>
                <w:rFonts w:asciiTheme="majorBidi" w:hAnsiTheme="majorBidi" w:cstheme="majorBidi"/>
                <w:sz w:val="20"/>
                <w:szCs w:val="20"/>
              </w:rPr>
            </w:pPr>
            <w:r w:rsidRPr="00904ADC">
              <w:rPr>
                <w:rFonts w:asciiTheme="majorBidi" w:hAnsiTheme="majorBidi" w:cstheme="majorBidi"/>
                <w:sz w:val="20"/>
                <w:szCs w:val="20"/>
              </w:rPr>
              <w:t>up to 50</w:t>
            </w:r>
            <w:r w:rsidR="00E830F5">
              <w:rPr>
                <w:rFonts w:asciiTheme="majorBidi" w:hAnsiTheme="majorBidi" w:cstheme="majorBidi"/>
                <w:sz w:val="20"/>
                <w:szCs w:val="20"/>
              </w:rPr>
              <w:t xml:space="preserve"> </w:t>
            </w:r>
            <w:r w:rsidRPr="00904ADC">
              <w:rPr>
                <w:rFonts w:asciiTheme="majorBidi" w:hAnsiTheme="majorBidi" w:cstheme="majorBidi"/>
                <w:sz w:val="20"/>
                <w:szCs w:val="20"/>
              </w:rPr>
              <w:t>kg</w:t>
            </w:r>
          </w:p>
        </w:tc>
        <w:tc>
          <w:tcPr>
            <w:tcW w:w="2036" w:type="pct"/>
          </w:tcPr>
          <w:p w14:paraId="0E81C996"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r w:rsidRPr="00904ADC">
              <w:rPr>
                <w:rFonts w:asciiTheme="majorBidi" w:hAnsiTheme="majorBidi" w:cstheme="majorBidi"/>
                <w:sz w:val="20"/>
                <w:szCs w:val="20"/>
              </w:rPr>
              <w:t>30</w:t>
            </w:r>
            <w:r w:rsidRPr="00904ADC">
              <w:rPr>
                <w:rFonts w:asciiTheme="majorBidi" w:hAnsiTheme="majorBidi" w:cstheme="majorBidi"/>
                <w:sz w:val="20"/>
                <w:szCs w:val="20"/>
                <w:vertAlign w:val="superscript"/>
              </w:rPr>
              <w:t>b</w:t>
            </w:r>
          </w:p>
        </w:tc>
      </w:tr>
      <w:tr w:rsidR="00A05B3B" w:rsidRPr="00904ADC" w14:paraId="0D7D04AD" w14:textId="77777777" w:rsidTr="00A05B3B">
        <w:trPr>
          <w:cantSplit/>
        </w:trPr>
        <w:tc>
          <w:tcPr>
            <w:tcW w:w="1285" w:type="pct"/>
          </w:tcPr>
          <w:p w14:paraId="5B15CFB9" w14:textId="77777777" w:rsidR="00A05B3B" w:rsidRPr="008B629E" w:rsidRDefault="00A05B3B" w:rsidP="00CB212B">
            <w:pPr>
              <w:pStyle w:val="MTabTxt"/>
              <w:keepNext/>
              <w:keepLines/>
              <w:spacing w:before="20" w:after="20"/>
              <w:rPr>
                <w:rFonts w:asciiTheme="majorBidi" w:hAnsiTheme="majorBidi" w:cstheme="majorBidi"/>
                <w:sz w:val="20"/>
                <w:szCs w:val="20"/>
              </w:rPr>
            </w:pPr>
            <w:r w:rsidRPr="008B629E">
              <w:rPr>
                <w:rFonts w:asciiTheme="majorBidi" w:hAnsiTheme="majorBidi" w:cstheme="majorBidi"/>
                <w:sz w:val="20"/>
                <w:szCs w:val="20"/>
              </w:rPr>
              <w:t>Packagings</w:t>
            </w:r>
          </w:p>
        </w:tc>
        <w:tc>
          <w:tcPr>
            <w:tcW w:w="1679" w:type="pct"/>
          </w:tcPr>
          <w:p w14:paraId="6ECED002" w14:textId="77777777" w:rsidR="00A05B3B" w:rsidRPr="00904ADC" w:rsidRDefault="00A05B3B" w:rsidP="00D265A4">
            <w:pPr>
              <w:pStyle w:val="MTabTxt"/>
              <w:keepNext/>
              <w:keepLines/>
              <w:spacing w:before="20" w:after="20"/>
              <w:rPr>
                <w:rFonts w:asciiTheme="majorBidi" w:hAnsiTheme="majorBidi" w:cstheme="majorBidi"/>
                <w:sz w:val="20"/>
                <w:szCs w:val="20"/>
              </w:rPr>
            </w:pPr>
            <w:r w:rsidRPr="00904ADC">
              <w:rPr>
                <w:rFonts w:asciiTheme="majorBidi" w:hAnsiTheme="majorBidi" w:cstheme="majorBidi"/>
                <w:sz w:val="20"/>
                <w:szCs w:val="20"/>
              </w:rPr>
              <w:t>larger than 50 kg</w:t>
            </w:r>
          </w:p>
        </w:tc>
        <w:tc>
          <w:tcPr>
            <w:tcW w:w="2036" w:type="pct"/>
          </w:tcPr>
          <w:p w14:paraId="47EDEBD4"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r w:rsidRPr="00904ADC">
              <w:rPr>
                <w:rFonts w:asciiTheme="majorBidi" w:hAnsiTheme="majorBidi" w:cstheme="majorBidi"/>
                <w:sz w:val="20"/>
                <w:szCs w:val="20"/>
              </w:rPr>
              <w:t xml:space="preserve">no standard </w:t>
            </w:r>
            <w:proofErr w:type="spellStart"/>
            <w:r w:rsidRPr="00904ADC">
              <w:rPr>
                <w:rFonts w:asciiTheme="majorBidi" w:hAnsiTheme="majorBidi" w:cstheme="majorBidi"/>
                <w:sz w:val="20"/>
                <w:szCs w:val="20"/>
              </w:rPr>
              <w:t>value</w:t>
            </w:r>
            <w:r w:rsidRPr="00904ADC">
              <w:rPr>
                <w:rFonts w:asciiTheme="majorBidi" w:hAnsiTheme="majorBidi" w:cstheme="majorBidi"/>
                <w:sz w:val="20"/>
                <w:szCs w:val="20"/>
                <w:vertAlign w:val="superscript"/>
              </w:rPr>
              <w:t>c</w:t>
            </w:r>
            <w:proofErr w:type="spellEnd"/>
          </w:p>
        </w:tc>
      </w:tr>
      <w:tr w:rsidR="00A05B3B" w:rsidRPr="00904ADC" w14:paraId="06B39564" w14:textId="77777777" w:rsidTr="00A05B3B">
        <w:trPr>
          <w:cantSplit/>
        </w:trPr>
        <w:tc>
          <w:tcPr>
            <w:tcW w:w="1285" w:type="pct"/>
          </w:tcPr>
          <w:p w14:paraId="10292077" w14:textId="77777777" w:rsidR="00A05B3B" w:rsidRPr="008B629E" w:rsidRDefault="00A05B3B" w:rsidP="00CB212B">
            <w:pPr>
              <w:pStyle w:val="MTabTxt"/>
              <w:keepNext/>
              <w:keepLines/>
              <w:spacing w:before="20" w:after="20"/>
              <w:rPr>
                <w:rFonts w:asciiTheme="majorBidi" w:hAnsiTheme="majorBidi" w:cstheme="majorBidi"/>
                <w:sz w:val="20"/>
                <w:szCs w:val="20"/>
              </w:rPr>
            </w:pPr>
            <w:r w:rsidRPr="008B629E">
              <w:rPr>
                <w:rFonts w:asciiTheme="majorBidi" w:hAnsiTheme="majorBidi" w:cstheme="majorBidi"/>
                <w:sz w:val="20"/>
                <w:szCs w:val="20"/>
              </w:rPr>
              <w:t>IBCs</w:t>
            </w:r>
          </w:p>
        </w:tc>
        <w:tc>
          <w:tcPr>
            <w:tcW w:w="1679" w:type="pct"/>
          </w:tcPr>
          <w:p w14:paraId="14CF30E0" w14:textId="1DA0E34A" w:rsidR="00A05B3B" w:rsidRPr="00904ADC" w:rsidRDefault="00A05B3B" w:rsidP="00D265A4">
            <w:pPr>
              <w:pStyle w:val="MTabTxt"/>
              <w:keepNext/>
              <w:keepLines/>
              <w:spacing w:before="20" w:after="20"/>
              <w:rPr>
                <w:rFonts w:asciiTheme="majorBidi" w:hAnsiTheme="majorBidi" w:cstheme="majorBidi"/>
                <w:sz w:val="20"/>
                <w:szCs w:val="20"/>
              </w:rPr>
            </w:pPr>
            <w:r>
              <w:rPr>
                <w:rFonts w:asciiTheme="majorBidi" w:hAnsiTheme="majorBidi" w:cstheme="majorBidi"/>
                <w:sz w:val="20"/>
                <w:szCs w:val="20"/>
              </w:rPr>
              <w:t>-</w:t>
            </w:r>
          </w:p>
        </w:tc>
        <w:tc>
          <w:tcPr>
            <w:tcW w:w="2036" w:type="pct"/>
          </w:tcPr>
          <w:p w14:paraId="798F3A11" w14:textId="77777777" w:rsidR="00A05B3B" w:rsidRPr="00904ADC" w:rsidRDefault="00A05B3B" w:rsidP="00CB212B">
            <w:pPr>
              <w:pStyle w:val="MTabTxt"/>
              <w:keepNext/>
              <w:keepLines/>
              <w:spacing w:before="20" w:after="20"/>
              <w:jc w:val="right"/>
              <w:rPr>
                <w:rFonts w:asciiTheme="majorBidi" w:hAnsiTheme="majorBidi" w:cstheme="majorBidi"/>
                <w:sz w:val="20"/>
                <w:szCs w:val="20"/>
              </w:rPr>
            </w:pPr>
            <w:r w:rsidRPr="00904ADC">
              <w:rPr>
                <w:rFonts w:asciiTheme="majorBidi" w:hAnsiTheme="majorBidi" w:cstheme="majorBidi"/>
                <w:sz w:val="20"/>
                <w:szCs w:val="20"/>
              </w:rPr>
              <w:t xml:space="preserve">no standard </w:t>
            </w:r>
            <w:proofErr w:type="spellStart"/>
            <w:r w:rsidRPr="00904ADC">
              <w:rPr>
                <w:rFonts w:asciiTheme="majorBidi" w:hAnsiTheme="majorBidi" w:cstheme="majorBidi"/>
                <w:sz w:val="20"/>
                <w:szCs w:val="20"/>
              </w:rPr>
              <w:t>value</w:t>
            </w:r>
            <w:r w:rsidRPr="00904ADC">
              <w:rPr>
                <w:rFonts w:asciiTheme="majorBidi" w:hAnsiTheme="majorBidi" w:cstheme="majorBidi"/>
                <w:sz w:val="20"/>
                <w:szCs w:val="20"/>
                <w:vertAlign w:val="superscript"/>
              </w:rPr>
              <w:t>c</w:t>
            </w:r>
            <w:proofErr w:type="spellEnd"/>
          </w:p>
        </w:tc>
      </w:tr>
      <w:tr w:rsidR="00A05B3B" w:rsidRPr="00904ADC" w14:paraId="57944B67" w14:textId="77777777" w:rsidTr="00A05B3B">
        <w:trPr>
          <w:cantSplit/>
        </w:trPr>
        <w:tc>
          <w:tcPr>
            <w:tcW w:w="1285" w:type="pct"/>
            <w:tcBorders>
              <w:bottom w:val="single" w:sz="4" w:space="0" w:color="auto"/>
            </w:tcBorders>
          </w:tcPr>
          <w:p w14:paraId="3276D081" w14:textId="77777777" w:rsidR="00A05B3B" w:rsidRPr="008B629E" w:rsidRDefault="00A05B3B" w:rsidP="00CB212B">
            <w:pPr>
              <w:pStyle w:val="MTabTxt"/>
              <w:rPr>
                <w:rFonts w:asciiTheme="majorBidi" w:hAnsiTheme="majorBidi" w:cstheme="majorBidi"/>
                <w:sz w:val="20"/>
                <w:szCs w:val="20"/>
              </w:rPr>
            </w:pPr>
            <w:r w:rsidRPr="008B629E">
              <w:rPr>
                <w:rFonts w:asciiTheme="majorBidi" w:hAnsiTheme="majorBidi" w:cstheme="majorBidi"/>
                <w:sz w:val="20"/>
                <w:szCs w:val="20"/>
              </w:rPr>
              <w:t>Tanks</w:t>
            </w:r>
          </w:p>
        </w:tc>
        <w:tc>
          <w:tcPr>
            <w:tcW w:w="1679" w:type="pct"/>
            <w:tcBorders>
              <w:bottom w:val="single" w:sz="4" w:space="0" w:color="auto"/>
            </w:tcBorders>
          </w:tcPr>
          <w:p w14:paraId="1329C107" w14:textId="403C4661" w:rsidR="00A05B3B" w:rsidRPr="00904ADC" w:rsidRDefault="00A05B3B" w:rsidP="00D265A4">
            <w:pPr>
              <w:pStyle w:val="MTabTxt"/>
              <w:rPr>
                <w:rFonts w:asciiTheme="majorBidi" w:hAnsiTheme="majorBidi" w:cstheme="majorBidi"/>
                <w:sz w:val="20"/>
                <w:szCs w:val="20"/>
              </w:rPr>
            </w:pPr>
            <w:r>
              <w:rPr>
                <w:rFonts w:asciiTheme="majorBidi" w:hAnsiTheme="majorBidi" w:cstheme="majorBidi"/>
                <w:sz w:val="20"/>
                <w:szCs w:val="20"/>
              </w:rPr>
              <w:t>-</w:t>
            </w:r>
          </w:p>
        </w:tc>
        <w:tc>
          <w:tcPr>
            <w:tcW w:w="2036" w:type="pct"/>
            <w:tcBorders>
              <w:bottom w:val="single" w:sz="4" w:space="0" w:color="auto"/>
            </w:tcBorders>
          </w:tcPr>
          <w:p w14:paraId="5A38FED0" w14:textId="77777777" w:rsidR="00A05B3B" w:rsidRPr="00904ADC" w:rsidRDefault="00A05B3B" w:rsidP="00CB212B">
            <w:pPr>
              <w:pStyle w:val="MTabTxt"/>
              <w:jc w:val="right"/>
              <w:rPr>
                <w:rFonts w:asciiTheme="majorBidi" w:hAnsiTheme="majorBidi" w:cstheme="majorBidi"/>
                <w:sz w:val="20"/>
                <w:szCs w:val="20"/>
              </w:rPr>
            </w:pPr>
            <w:r w:rsidRPr="00904ADC">
              <w:rPr>
                <w:rFonts w:asciiTheme="majorBidi" w:hAnsiTheme="majorBidi" w:cstheme="majorBidi"/>
                <w:sz w:val="20"/>
                <w:szCs w:val="20"/>
              </w:rPr>
              <w:t xml:space="preserve">no standard </w:t>
            </w:r>
            <w:proofErr w:type="spellStart"/>
            <w:r w:rsidRPr="00904ADC">
              <w:rPr>
                <w:rFonts w:asciiTheme="majorBidi" w:hAnsiTheme="majorBidi" w:cstheme="majorBidi"/>
                <w:sz w:val="20"/>
                <w:szCs w:val="20"/>
              </w:rPr>
              <w:t>value</w:t>
            </w:r>
            <w:r w:rsidRPr="00904ADC">
              <w:rPr>
                <w:rFonts w:asciiTheme="majorBidi" w:hAnsiTheme="majorBidi" w:cstheme="majorBidi"/>
                <w:sz w:val="20"/>
                <w:szCs w:val="20"/>
                <w:vertAlign w:val="superscript"/>
              </w:rPr>
              <w:t>c</w:t>
            </w:r>
            <w:proofErr w:type="spellEnd"/>
          </w:p>
        </w:tc>
      </w:tr>
      <w:tr w:rsidR="00843B52" w:rsidRPr="00904ADC" w14:paraId="131F2EA9" w14:textId="77777777" w:rsidTr="00CB212B">
        <w:trPr>
          <w:cantSplit/>
        </w:trPr>
        <w:tc>
          <w:tcPr>
            <w:tcW w:w="5000" w:type="pct"/>
            <w:gridSpan w:val="3"/>
            <w:tcBorders>
              <w:top w:val="single" w:sz="4" w:space="0" w:color="auto"/>
              <w:bottom w:val="single" w:sz="8" w:space="0" w:color="auto"/>
            </w:tcBorders>
          </w:tcPr>
          <w:p w14:paraId="6F1D8016" w14:textId="77777777" w:rsidR="00843B52" w:rsidRPr="008B629E" w:rsidRDefault="00843B52" w:rsidP="00CB212B">
            <w:pPr>
              <w:pStyle w:val="MTabTxt"/>
              <w:tabs>
                <w:tab w:val="left" w:pos="285"/>
              </w:tabs>
              <w:ind w:left="307" w:hanging="307"/>
              <w:rPr>
                <w:rFonts w:asciiTheme="majorBidi" w:hAnsiTheme="majorBidi" w:cstheme="majorBidi"/>
                <w:i/>
                <w:iCs/>
                <w:sz w:val="20"/>
                <w:szCs w:val="20"/>
              </w:rPr>
            </w:pPr>
            <w:proofErr w:type="spellStart"/>
            <w:r w:rsidRPr="008B629E">
              <w:rPr>
                <w:rFonts w:asciiTheme="majorBidi" w:hAnsiTheme="majorBidi" w:cstheme="majorBidi"/>
                <w:sz w:val="20"/>
                <w:szCs w:val="20"/>
                <w:vertAlign w:val="superscript"/>
              </w:rPr>
              <w:t>a</w:t>
            </w:r>
            <w:proofErr w:type="spellEnd"/>
            <w:r w:rsidRPr="008B629E">
              <w:rPr>
                <w:rFonts w:asciiTheme="majorBidi" w:hAnsiTheme="majorBidi" w:cstheme="majorBidi"/>
                <w:sz w:val="20"/>
                <w:szCs w:val="20"/>
              </w:rPr>
              <w:tab/>
            </w:r>
            <w:r w:rsidRPr="008B629E">
              <w:rPr>
                <w:rFonts w:asciiTheme="majorBidi" w:hAnsiTheme="majorBidi" w:cstheme="majorBidi"/>
                <w:i/>
                <w:iCs/>
                <w:sz w:val="20"/>
                <w:szCs w:val="20"/>
              </w:rPr>
              <w:t>For test series H.4 the heat loss of the Dewar vessel to be used should be as close as possible to the value listed in the table.</w:t>
            </w:r>
          </w:p>
          <w:p w14:paraId="59C7CBBE" w14:textId="77777777" w:rsidR="00843B52" w:rsidRPr="00074038" w:rsidRDefault="00843B52" w:rsidP="00CB212B">
            <w:pPr>
              <w:pStyle w:val="MTabTxt"/>
              <w:tabs>
                <w:tab w:val="left" w:pos="285"/>
              </w:tabs>
              <w:ind w:left="307" w:hanging="307"/>
              <w:rPr>
                <w:rFonts w:asciiTheme="majorBidi" w:hAnsiTheme="majorBidi" w:cstheme="majorBidi"/>
                <w:i/>
                <w:iCs/>
                <w:sz w:val="20"/>
                <w:szCs w:val="20"/>
              </w:rPr>
            </w:pPr>
            <w:r w:rsidRPr="008B629E">
              <w:rPr>
                <w:rFonts w:asciiTheme="majorBidi" w:hAnsiTheme="majorBidi" w:cstheme="majorBidi"/>
                <w:sz w:val="20"/>
                <w:szCs w:val="20"/>
                <w:vertAlign w:val="superscript"/>
              </w:rPr>
              <w:t>b</w:t>
            </w:r>
            <w:r w:rsidRPr="008B629E">
              <w:rPr>
                <w:rFonts w:asciiTheme="majorBidi" w:hAnsiTheme="majorBidi" w:cstheme="majorBidi"/>
                <w:sz w:val="20"/>
                <w:szCs w:val="20"/>
                <w:vertAlign w:val="superscript"/>
              </w:rPr>
              <w:tab/>
            </w:r>
            <w:r w:rsidRPr="008B629E">
              <w:rPr>
                <w:rFonts w:asciiTheme="majorBidi" w:hAnsiTheme="majorBidi" w:cstheme="majorBidi"/>
                <w:i/>
                <w:iCs/>
                <w:sz w:val="20"/>
                <w:szCs w:val="20"/>
              </w:rPr>
              <w:t xml:space="preserve">When determining the SADT for exemption or classification purposes, where the definition of the SADT is connected to a 50 kg package, a value of 60 </w:t>
            </w:r>
            <w:proofErr w:type="spellStart"/>
            <w:r w:rsidRPr="008B629E">
              <w:rPr>
                <w:rFonts w:asciiTheme="majorBidi" w:hAnsiTheme="majorBidi" w:cstheme="majorBidi"/>
                <w:i/>
                <w:iCs/>
                <w:sz w:val="20"/>
                <w:szCs w:val="20"/>
              </w:rPr>
              <w:t>mW</w:t>
            </w:r>
            <w:proofErr w:type="spellEnd"/>
            <w:r w:rsidRPr="008B629E">
              <w:rPr>
                <w:rFonts w:asciiTheme="majorBidi" w:hAnsiTheme="majorBidi" w:cstheme="majorBidi"/>
                <w:i/>
                <w:iCs/>
                <w:sz w:val="20"/>
                <w:szCs w:val="20"/>
              </w:rPr>
              <w:t>/</w:t>
            </w:r>
            <w:proofErr w:type="spellStart"/>
            <w:r w:rsidRPr="008B629E">
              <w:rPr>
                <w:rFonts w:asciiTheme="majorBidi" w:hAnsiTheme="majorBidi" w:cstheme="majorBidi"/>
                <w:i/>
                <w:iCs/>
                <w:sz w:val="20"/>
                <w:szCs w:val="20"/>
              </w:rPr>
              <w:t>K·kg</w:t>
            </w:r>
            <w:proofErr w:type="spellEnd"/>
            <w:r w:rsidRPr="008B629E">
              <w:rPr>
                <w:rFonts w:asciiTheme="majorBidi" w:hAnsiTheme="majorBidi" w:cstheme="majorBidi"/>
                <w:i/>
                <w:iCs/>
                <w:sz w:val="20"/>
                <w:szCs w:val="20"/>
              </w:rPr>
              <w:t xml:space="preserve"> for liquids and 30 </w:t>
            </w:r>
            <w:proofErr w:type="spellStart"/>
            <w:r w:rsidRPr="008B629E">
              <w:rPr>
                <w:rFonts w:asciiTheme="majorBidi" w:hAnsiTheme="majorBidi" w:cstheme="majorBidi"/>
                <w:i/>
                <w:iCs/>
                <w:sz w:val="20"/>
                <w:szCs w:val="20"/>
              </w:rPr>
              <w:t>mW</w:t>
            </w:r>
            <w:proofErr w:type="spellEnd"/>
            <w:r w:rsidRPr="008B629E">
              <w:rPr>
                <w:rFonts w:asciiTheme="majorBidi" w:hAnsiTheme="majorBidi" w:cstheme="majorBidi"/>
                <w:i/>
                <w:iCs/>
                <w:sz w:val="20"/>
                <w:szCs w:val="20"/>
              </w:rPr>
              <w:t>/</w:t>
            </w:r>
            <w:proofErr w:type="spellStart"/>
            <w:r w:rsidRPr="008B629E">
              <w:rPr>
                <w:rFonts w:asciiTheme="majorBidi" w:hAnsiTheme="majorBidi" w:cstheme="majorBidi"/>
                <w:i/>
                <w:iCs/>
                <w:sz w:val="20"/>
                <w:szCs w:val="20"/>
              </w:rPr>
              <w:t>K·kg</w:t>
            </w:r>
            <w:proofErr w:type="spellEnd"/>
            <w:r w:rsidRPr="008B629E">
              <w:rPr>
                <w:rFonts w:asciiTheme="majorBidi" w:hAnsiTheme="majorBidi" w:cstheme="majorBidi"/>
                <w:i/>
                <w:iCs/>
                <w:sz w:val="20"/>
                <w:szCs w:val="20"/>
              </w:rPr>
              <w:t xml:space="preserve"> for solids should be used. Such is the case when the SADT is used either to exclude a new substance from Division 4.1 as a self-</w:t>
            </w:r>
            <w:r w:rsidRPr="00074038">
              <w:rPr>
                <w:rFonts w:asciiTheme="majorBidi" w:hAnsiTheme="majorBidi" w:cstheme="majorBidi"/>
                <w:i/>
                <w:iCs/>
                <w:sz w:val="20"/>
                <w:szCs w:val="20"/>
              </w:rPr>
              <w:t>reactive substance (see 20.2.1(e)), or to classify it under Type G as a self-reactive substance (see 20.4.2 (g)), or organic peroxide (see 20.4.3 (g)).</w:t>
            </w:r>
          </w:p>
          <w:p w14:paraId="60E02CAF" w14:textId="65DCACC7" w:rsidR="00843B52" w:rsidRPr="008B629E" w:rsidRDefault="00843B52" w:rsidP="00CB212B">
            <w:pPr>
              <w:pStyle w:val="MTabTxt"/>
              <w:tabs>
                <w:tab w:val="left" w:pos="285"/>
              </w:tabs>
              <w:ind w:left="307" w:hanging="307"/>
              <w:rPr>
                <w:rFonts w:asciiTheme="majorBidi" w:hAnsiTheme="majorBidi" w:cstheme="majorBidi"/>
                <w:sz w:val="20"/>
                <w:szCs w:val="20"/>
              </w:rPr>
            </w:pPr>
            <w:r w:rsidRPr="00074038">
              <w:rPr>
                <w:rFonts w:asciiTheme="majorBidi" w:hAnsiTheme="majorBidi" w:cstheme="majorBidi"/>
                <w:sz w:val="20"/>
                <w:szCs w:val="20"/>
                <w:vertAlign w:val="superscript"/>
              </w:rPr>
              <w:t>c</w:t>
            </w:r>
            <w:r w:rsidRPr="00074038">
              <w:rPr>
                <w:rFonts w:asciiTheme="majorBidi" w:hAnsiTheme="majorBidi" w:cstheme="majorBidi"/>
                <w:sz w:val="20"/>
                <w:szCs w:val="20"/>
                <w:vertAlign w:val="superscript"/>
              </w:rPr>
              <w:tab/>
            </w:r>
            <w:r w:rsidR="008B629E" w:rsidRPr="00074038">
              <w:rPr>
                <w:rFonts w:asciiTheme="majorBidi" w:hAnsiTheme="majorBidi" w:cstheme="majorBidi"/>
                <w:i/>
                <w:iCs/>
                <w:sz w:val="20"/>
                <w:szCs w:val="20"/>
              </w:rPr>
              <w:t>Value should be determined for the actual configuration</w:t>
            </w:r>
            <w:r w:rsidRPr="00074038">
              <w:rPr>
                <w:rFonts w:asciiTheme="majorBidi" w:hAnsiTheme="majorBidi" w:cstheme="majorBidi"/>
                <w:i/>
                <w:iCs/>
                <w:sz w:val="20"/>
                <w:szCs w:val="20"/>
              </w:rPr>
              <w:t>.</w:t>
            </w:r>
          </w:p>
        </w:tc>
      </w:tr>
    </w:tbl>
    <w:p w14:paraId="2E4DD141" w14:textId="77777777" w:rsidR="00843B52" w:rsidRDefault="00843B52" w:rsidP="00843B52">
      <w:pPr>
        <w:pStyle w:val="SingleTxtG"/>
        <w:tabs>
          <w:tab w:val="left" w:pos="1985"/>
        </w:tabs>
        <w:jc w:val="right"/>
      </w:pPr>
      <w:r>
        <w:t>”.</w:t>
      </w:r>
    </w:p>
    <w:p w14:paraId="7A616581" w14:textId="77777777" w:rsidR="00843B52" w:rsidRPr="00C66C7D" w:rsidRDefault="00843B52" w:rsidP="00843B52">
      <w:pPr>
        <w:pStyle w:val="SingleTxtG"/>
      </w:pPr>
      <w:r w:rsidRPr="00C66C7D">
        <w:t>28.4.1</w:t>
      </w:r>
      <w:r>
        <w:tab/>
      </w:r>
      <w:r>
        <w:tab/>
        <w:t>A</w:t>
      </w:r>
      <w:r w:rsidRPr="00C66C7D">
        <w:t>mend the name of the test to read: “United States SADT/SAPT test”.</w:t>
      </w:r>
    </w:p>
    <w:p w14:paraId="057FFD3A" w14:textId="3319D5AC" w:rsidR="00843B52" w:rsidRPr="00741695" w:rsidRDefault="00843B52" w:rsidP="00843B52">
      <w:pPr>
        <w:pStyle w:val="SingleTxtG"/>
        <w:tabs>
          <w:tab w:val="left" w:pos="2268"/>
        </w:tabs>
        <w:ind w:left="2268" w:hanging="1134"/>
      </w:pPr>
      <w:r w:rsidRPr="00921EAE">
        <w:t>28.4.1.1</w:t>
      </w:r>
      <w:r w:rsidRPr="00921EAE">
        <w:tab/>
        <w:t xml:space="preserve">In the first sentence, replace “self-accelerating decomposition” by “self-accelerating decomposition or polymerization” and in the last sentence delete “or </w:t>
      </w:r>
      <w:r w:rsidR="001535C0">
        <w:t>polymerization reaction”.</w:t>
      </w:r>
    </w:p>
    <w:p w14:paraId="1A225B30" w14:textId="77777777" w:rsidR="00843B52" w:rsidRPr="00741695" w:rsidRDefault="00843B52" w:rsidP="00843B52">
      <w:pPr>
        <w:pStyle w:val="SingleTxtG"/>
        <w:tabs>
          <w:tab w:val="left" w:pos="2268"/>
        </w:tabs>
        <w:ind w:left="2268" w:hanging="1134"/>
      </w:pPr>
      <w:r w:rsidRPr="00741695">
        <w:t>28.4.1.2.3</w:t>
      </w:r>
      <w:r w:rsidRPr="00741695">
        <w:tab/>
        <w:t>In (c) insert “for all sides” after “distance”.</w:t>
      </w:r>
    </w:p>
    <w:p w14:paraId="3310EDFF" w14:textId="66C11224" w:rsidR="00843B52" w:rsidRPr="00741695" w:rsidRDefault="00843B52" w:rsidP="00843B52">
      <w:pPr>
        <w:pStyle w:val="SingleTxtG"/>
        <w:tabs>
          <w:tab w:val="left" w:pos="2268"/>
        </w:tabs>
        <w:ind w:left="2268" w:hanging="1134"/>
      </w:pPr>
      <w:r w:rsidRPr="00741695">
        <w:tab/>
        <w:t>In the paragraph following (c), amend the last sentence to read as follows: “Examples of suitable small-package and large-package ovens are described below.”.</w:t>
      </w:r>
    </w:p>
    <w:p w14:paraId="2B8713E6" w14:textId="77777777" w:rsidR="00843B52" w:rsidRPr="00741695" w:rsidRDefault="00843B52" w:rsidP="00843B52">
      <w:pPr>
        <w:pStyle w:val="SingleTxtG"/>
        <w:tabs>
          <w:tab w:val="left" w:pos="2268"/>
        </w:tabs>
        <w:ind w:left="2268" w:hanging="1134"/>
      </w:pPr>
      <w:r w:rsidRPr="00741695">
        <w:t>28.4.1.2.4 and 28.4.1.2.5</w:t>
      </w:r>
      <w:r w:rsidRPr="00741695">
        <w:tab/>
        <w:t>Amend current paragraphs 28.4.1.2.4 and 28.4.1.2.5 as follows:</w:t>
      </w:r>
    </w:p>
    <w:p w14:paraId="7813243C" w14:textId="77777777" w:rsidR="00843B52" w:rsidRPr="00741695" w:rsidRDefault="00843B52" w:rsidP="00843B52">
      <w:pPr>
        <w:pStyle w:val="Bullet1G"/>
        <w:numPr>
          <w:ilvl w:val="0"/>
          <w:numId w:val="15"/>
        </w:numPr>
        <w:tabs>
          <w:tab w:val="clear" w:pos="1701"/>
          <w:tab w:val="left" w:pos="2552"/>
        </w:tabs>
        <w:kinsoku/>
        <w:overflowPunct/>
        <w:autoSpaceDE/>
        <w:autoSpaceDN/>
        <w:adjustRightInd/>
        <w:snapToGrid/>
        <w:ind w:left="2552" w:hanging="284"/>
        <w:rPr>
          <w:i/>
          <w:iCs/>
        </w:rPr>
      </w:pPr>
      <w:r w:rsidRPr="00741695">
        <w:t xml:space="preserve">Current paragraph 28.4.1.2.4 becomes 28.4.1.2.3.1 with the following heading: “28.4.1.2.3.1 Example 1”. </w:t>
      </w:r>
      <w:r w:rsidRPr="00741695">
        <w:rPr>
          <w:i/>
          <w:iCs/>
        </w:rPr>
        <w:t>(The text of current paragraph 28.4.1.2.4 remains unchanged).</w:t>
      </w:r>
    </w:p>
    <w:p w14:paraId="11620F28" w14:textId="77777777" w:rsidR="00843B52" w:rsidRPr="00741695" w:rsidRDefault="00843B52" w:rsidP="00843B52">
      <w:pPr>
        <w:pStyle w:val="Bullet1G"/>
        <w:numPr>
          <w:ilvl w:val="0"/>
          <w:numId w:val="15"/>
        </w:numPr>
        <w:tabs>
          <w:tab w:val="clear" w:pos="1701"/>
          <w:tab w:val="left" w:pos="2552"/>
        </w:tabs>
        <w:kinsoku/>
        <w:overflowPunct/>
        <w:autoSpaceDE/>
        <w:autoSpaceDN/>
        <w:adjustRightInd/>
        <w:snapToGrid/>
        <w:ind w:left="2552" w:hanging="284"/>
        <w:rPr>
          <w:i/>
          <w:iCs/>
        </w:rPr>
      </w:pPr>
      <w:r w:rsidRPr="00741695">
        <w:t xml:space="preserve">Current paragraph 28.4.1.2.5 becomes 28.4.1.2.3.2 with the following heading: “28.4.1.2.3.2 Example 2”. </w:t>
      </w:r>
      <w:r w:rsidRPr="00741695">
        <w:rPr>
          <w:i/>
          <w:iCs/>
        </w:rPr>
        <w:t>(The text of current paragraph 28.4.1.2.5 remains unchanged).</w:t>
      </w:r>
    </w:p>
    <w:p w14:paraId="79EC20A8" w14:textId="17AD3157" w:rsidR="00843B52" w:rsidRPr="00741695" w:rsidRDefault="00843B52" w:rsidP="00843B52">
      <w:pPr>
        <w:pStyle w:val="SingleTxtG"/>
        <w:tabs>
          <w:tab w:val="left" w:pos="2268"/>
        </w:tabs>
        <w:ind w:left="2268" w:hanging="1134"/>
      </w:pPr>
      <w:r w:rsidRPr="00741695">
        <w:t>Insert a new paragraph 28.4.1.2.3.3 to read as follows:</w:t>
      </w:r>
    </w:p>
    <w:p w14:paraId="72ADD6E6" w14:textId="77777777" w:rsidR="00843B52" w:rsidRPr="00741695" w:rsidRDefault="00843B52" w:rsidP="00843B52">
      <w:pPr>
        <w:pStyle w:val="SingleTxtG"/>
      </w:pPr>
      <w:r w:rsidRPr="00741695">
        <w:t xml:space="preserve">“28.4.1.2.3.3 </w:t>
      </w:r>
      <w:r w:rsidRPr="00741695">
        <w:tab/>
        <w:t>Example 3</w:t>
      </w:r>
    </w:p>
    <w:p w14:paraId="121A17CA" w14:textId="77777777" w:rsidR="00843B52" w:rsidRPr="00741695" w:rsidRDefault="00843B52" w:rsidP="00843B52">
      <w:pPr>
        <w:pStyle w:val="SingleTxtG"/>
      </w:pPr>
      <w:r>
        <w:tab/>
      </w:r>
      <w:r>
        <w:tab/>
      </w:r>
      <w:r w:rsidRPr="00741695">
        <w:t xml:space="preserve">For tests at temperatures up to 75 °C, a double walled metal chamber (minimum separation distance from the package to the wall is 100 mm) may be used with fluid from a temperature-controlled circulating bath passed between the walls at the desired temperature. </w:t>
      </w:r>
      <w:r w:rsidRPr="00741695">
        <w:lastRenderedPageBreak/>
        <w:t>The test chamber is loosely closed by an insulated lid (e.g. made from 10 mm thick polyvinyl chloride). The temperature control should allow the desired temperature for a liquid inert sample to be maintained with a deviation of not more than ± 2 K for up to 10 days.”.</w:t>
      </w:r>
    </w:p>
    <w:p w14:paraId="0E0F58F5" w14:textId="77777777" w:rsidR="00843B52" w:rsidRPr="00741695" w:rsidRDefault="00843B52" w:rsidP="00843B52">
      <w:pPr>
        <w:pStyle w:val="SingleTxtG"/>
      </w:pPr>
      <w:r w:rsidRPr="00741695">
        <w:t>Renumber current paragraphs 28.4.1.2.6 to 28.4.1.2.8 as 28.4.1.2.4 to 28.4.1.2.6.</w:t>
      </w:r>
    </w:p>
    <w:p w14:paraId="7DD467CC" w14:textId="77777777" w:rsidR="00843B52" w:rsidRPr="00741695" w:rsidRDefault="00843B52" w:rsidP="00843B52">
      <w:pPr>
        <w:pStyle w:val="SingleTxtG"/>
        <w:tabs>
          <w:tab w:val="left" w:pos="2268"/>
        </w:tabs>
        <w:ind w:left="2268" w:hanging="1134"/>
      </w:pPr>
      <w:r w:rsidRPr="00741695">
        <w:t xml:space="preserve">28.4.1.2.4 (new, former 28.4.1.2.6), in the first sentence insert “or Resistance Temperature Detector (RTD)” after “thermocouple”. </w:t>
      </w:r>
    </w:p>
    <w:p w14:paraId="589EF12C" w14:textId="77777777" w:rsidR="00843B52" w:rsidRPr="00741695" w:rsidRDefault="00843B52" w:rsidP="00843B52">
      <w:pPr>
        <w:pStyle w:val="SingleTxtG"/>
        <w:tabs>
          <w:tab w:val="left" w:pos="2268"/>
        </w:tabs>
        <w:ind w:left="2268" w:hanging="1134"/>
      </w:pPr>
      <w:r w:rsidRPr="00741695">
        <w:t>28.4.1.3.1</w:t>
      </w:r>
      <w:r w:rsidRPr="00741695">
        <w:tab/>
        <w:t>At the beginning of the second sentence insert “or RTD” after “thermocouple”.</w:t>
      </w:r>
    </w:p>
    <w:p w14:paraId="64970CC2" w14:textId="77777777" w:rsidR="00843B52" w:rsidRPr="00741695" w:rsidRDefault="00843B52" w:rsidP="00843B52">
      <w:pPr>
        <w:pStyle w:val="SingleTxtG"/>
        <w:tabs>
          <w:tab w:val="left" w:pos="2268"/>
        </w:tabs>
        <w:ind w:left="2268" w:hanging="1134"/>
      </w:pPr>
      <w:r w:rsidRPr="00741695">
        <w:t>28.4.1.3.2</w:t>
      </w:r>
      <w:r w:rsidRPr="00741695">
        <w:tab/>
        <w:t>Delete the last sentence (“Note the time….</w:t>
      </w:r>
      <w:r>
        <w:t xml:space="preserve"> </w:t>
      </w:r>
      <w:r w:rsidRPr="00741695">
        <w:t>maximum temperature.”).</w:t>
      </w:r>
    </w:p>
    <w:p w14:paraId="11D15E46" w14:textId="77777777" w:rsidR="00843B52" w:rsidRPr="00741695" w:rsidRDefault="00843B52" w:rsidP="00843B52">
      <w:pPr>
        <w:pStyle w:val="SingleTxtG"/>
        <w:tabs>
          <w:tab w:val="left" w:pos="2268"/>
        </w:tabs>
        <w:ind w:left="2268" w:hanging="1134"/>
      </w:pPr>
      <w:r w:rsidRPr="00741695">
        <w:t>28.4.1.3.4</w:t>
      </w:r>
      <w:r w:rsidRPr="00741695">
        <w:tab/>
        <w:t>Amend the end of the third sentence to read as follows: “…to determine if the SADT or SAPT is greater than the applicable temperature specified in Table 28.2.”.</w:t>
      </w:r>
    </w:p>
    <w:p w14:paraId="281A5735" w14:textId="77777777" w:rsidR="00843B52" w:rsidRDefault="00843B52" w:rsidP="00843B52">
      <w:pPr>
        <w:pStyle w:val="SingleTxtG"/>
        <w:tabs>
          <w:tab w:val="left" w:pos="2268"/>
        </w:tabs>
        <w:ind w:left="2268" w:hanging="1134"/>
      </w:pPr>
      <w:r w:rsidRPr="00741695">
        <w:t>28.4.1.5</w:t>
      </w:r>
      <w:r w:rsidRPr="00741695">
        <w:tab/>
      </w:r>
      <w:r>
        <w:t>In the table, i</w:t>
      </w:r>
      <w:r w:rsidRPr="00741695">
        <w:t>nser</w:t>
      </w:r>
      <w:r>
        <w:t>t</w:t>
      </w:r>
      <w:r w:rsidRPr="00741695">
        <w:t xml:space="preserve"> the following row</w:t>
      </w:r>
      <w:r>
        <w:t>s</w:t>
      </w:r>
      <w:r w:rsidRPr="00741695">
        <w:t xml:space="preserve"> at the end:</w:t>
      </w:r>
    </w:p>
    <w:tbl>
      <w:tblPr>
        <w:tblW w:w="7370" w:type="dxa"/>
        <w:tblInd w:w="1134" w:type="dxa"/>
        <w:tblCellMar>
          <w:left w:w="120" w:type="dxa"/>
          <w:right w:w="120" w:type="dxa"/>
        </w:tblCellMar>
        <w:tblLook w:val="0000" w:firstRow="0" w:lastRow="0" w:firstColumn="0" w:lastColumn="0" w:noHBand="0" w:noVBand="0"/>
      </w:tblPr>
      <w:tblGrid>
        <w:gridCol w:w="3319"/>
        <w:gridCol w:w="1413"/>
        <w:gridCol w:w="1297"/>
        <w:gridCol w:w="1341"/>
      </w:tblGrid>
      <w:tr w:rsidR="00843B52" w:rsidRPr="005A54E8" w14:paraId="70D9D569" w14:textId="77777777" w:rsidTr="00CB212B">
        <w:trPr>
          <w:cantSplit/>
        </w:trPr>
        <w:tc>
          <w:tcPr>
            <w:tcW w:w="2283" w:type="pct"/>
            <w:tcBorders>
              <w:top w:val="single" w:sz="8" w:space="0" w:color="auto"/>
              <w:bottom w:val="single" w:sz="8" w:space="0" w:color="auto"/>
            </w:tcBorders>
          </w:tcPr>
          <w:p w14:paraId="15905370" w14:textId="77777777" w:rsidR="00843B52" w:rsidRPr="005A54E8" w:rsidRDefault="00843B52" w:rsidP="00CB212B">
            <w:pPr>
              <w:pStyle w:val="MTabTxt"/>
              <w:rPr>
                <w:b/>
                <w:bCs/>
                <w:sz w:val="20"/>
                <w:szCs w:val="20"/>
              </w:rPr>
            </w:pPr>
            <w:r w:rsidRPr="005A54E8">
              <w:rPr>
                <w:b/>
                <w:bCs/>
                <w:sz w:val="20"/>
                <w:szCs w:val="20"/>
              </w:rPr>
              <w:t>Substance</w:t>
            </w:r>
          </w:p>
        </w:tc>
        <w:tc>
          <w:tcPr>
            <w:tcW w:w="990" w:type="pct"/>
            <w:tcBorders>
              <w:top w:val="single" w:sz="8" w:space="0" w:color="auto"/>
              <w:bottom w:val="single" w:sz="8" w:space="0" w:color="auto"/>
            </w:tcBorders>
          </w:tcPr>
          <w:p w14:paraId="5CDDB897" w14:textId="77777777" w:rsidR="00843B52" w:rsidRPr="005A54E8" w:rsidRDefault="00843B52" w:rsidP="00CB212B">
            <w:pPr>
              <w:pStyle w:val="MTabTxt"/>
              <w:jc w:val="right"/>
              <w:rPr>
                <w:b/>
                <w:bCs/>
                <w:sz w:val="20"/>
                <w:szCs w:val="20"/>
              </w:rPr>
            </w:pPr>
            <w:r w:rsidRPr="005A54E8">
              <w:rPr>
                <w:b/>
                <w:bCs/>
                <w:sz w:val="20"/>
                <w:szCs w:val="20"/>
              </w:rPr>
              <w:t xml:space="preserve">Sample mass </w:t>
            </w:r>
            <w:r w:rsidRPr="005A54E8">
              <w:rPr>
                <w:b/>
                <w:bCs/>
                <w:sz w:val="20"/>
                <w:szCs w:val="20"/>
              </w:rPr>
              <w:br/>
              <w:t>(kg)</w:t>
            </w:r>
          </w:p>
        </w:tc>
        <w:tc>
          <w:tcPr>
            <w:tcW w:w="911" w:type="pct"/>
            <w:tcBorders>
              <w:top w:val="single" w:sz="8" w:space="0" w:color="auto"/>
              <w:bottom w:val="single" w:sz="8" w:space="0" w:color="auto"/>
            </w:tcBorders>
          </w:tcPr>
          <w:p w14:paraId="40FF6EF1" w14:textId="77777777" w:rsidR="00843B52" w:rsidRPr="005A54E8" w:rsidRDefault="00843B52" w:rsidP="00CB212B">
            <w:pPr>
              <w:pStyle w:val="MTabTxt"/>
              <w:rPr>
                <w:b/>
                <w:bCs/>
                <w:sz w:val="20"/>
                <w:szCs w:val="20"/>
              </w:rPr>
            </w:pPr>
            <w:r w:rsidRPr="005A54E8">
              <w:rPr>
                <w:b/>
                <w:bCs/>
                <w:sz w:val="20"/>
                <w:szCs w:val="20"/>
              </w:rPr>
              <w:t>Packaging</w:t>
            </w:r>
          </w:p>
        </w:tc>
        <w:tc>
          <w:tcPr>
            <w:tcW w:w="816" w:type="pct"/>
            <w:tcBorders>
              <w:top w:val="single" w:sz="8" w:space="0" w:color="auto"/>
              <w:bottom w:val="single" w:sz="8" w:space="0" w:color="auto"/>
            </w:tcBorders>
          </w:tcPr>
          <w:p w14:paraId="224FF795" w14:textId="77777777" w:rsidR="00843B52" w:rsidRPr="005A54E8" w:rsidRDefault="00843B52" w:rsidP="00CB212B">
            <w:pPr>
              <w:pStyle w:val="MTabTxt"/>
              <w:jc w:val="right"/>
              <w:rPr>
                <w:b/>
                <w:bCs/>
                <w:sz w:val="20"/>
                <w:szCs w:val="20"/>
              </w:rPr>
            </w:pPr>
            <w:r w:rsidRPr="005A54E8">
              <w:rPr>
                <w:b/>
                <w:bCs/>
                <w:sz w:val="20"/>
                <w:szCs w:val="20"/>
              </w:rPr>
              <w:t xml:space="preserve">SADT/SAPT </w:t>
            </w:r>
            <w:r w:rsidRPr="005A54E8">
              <w:rPr>
                <w:b/>
                <w:bCs/>
                <w:sz w:val="20"/>
                <w:szCs w:val="20"/>
              </w:rPr>
              <w:br/>
              <w:t>(°C)</w:t>
            </w:r>
          </w:p>
        </w:tc>
      </w:tr>
      <w:tr w:rsidR="00843B52" w:rsidRPr="005A54E8" w14:paraId="500F461C" w14:textId="77777777" w:rsidTr="00CB212B">
        <w:trPr>
          <w:cantSplit/>
        </w:trPr>
        <w:tc>
          <w:tcPr>
            <w:tcW w:w="2283" w:type="pct"/>
            <w:tcBorders>
              <w:top w:val="single" w:sz="8" w:space="0" w:color="auto"/>
            </w:tcBorders>
          </w:tcPr>
          <w:p w14:paraId="6FDD0584" w14:textId="77777777" w:rsidR="00843B52" w:rsidRPr="005A54E8" w:rsidRDefault="00843B52" w:rsidP="00CB212B">
            <w:pPr>
              <w:pStyle w:val="MTabTxt"/>
              <w:rPr>
                <w:sz w:val="20"/>
                <w:szCs w:val="20"/>
              </w:rPr>
            </w:pPr>
            <w:proofErr w:type="spellStart"/>
            <w:r w:rsidRPr="005A54E8">
              <w:rPr>
                <w:bCs/>
                <w:sz w:val="20"/>
                <w:szCs w:val="20"/>
              </w:rPr>
              <w:t>Didecanoylperoxide</w:t>
            </w:r>
            <w:proofErr w:type="spellEnd"/>
            <w:r w:rsidRPr="005A54E8">
              <w:rPr>
                <w:bCs/>
                <w:sz w:val="20"/>
                <w:szCs w:val="20"/>
              </w:rPr>
              <w:t>, technically pure</w:t>
            </w:r>
          </w:p>
        </w:tc>
        <w:tc>
          <w:tcPr>
            <w:tcW w:w="990" w:type="pct"/>
            <w:tcBorders>
              <w:top w:val="single" w:sz="8" w:space="0" w:color="auto"/>
            </w:tcBorders>
            <w:vAlign w:val="bottom"/>
          </w:tcPr>
          <w:p w14:paraId="0D299A35" w14:textId="77777777" w:rsidR="00843B52" w:rsidRPr="005A54E8" w:rsidRDefault="00843B52" w:rsidP="00CB212B">
            <w:pPr>
              <w:numPr>
                <w:ilvl w:val="12"/>
                <w:numId w:val="0"/>
              </w:numPr>
              <w:tabs>
                <w:tab w:val="left" w:pos="1134"/>
                <w:tab w:val="left" w:pos="1701"/>
                <w:tab w:val="left" w:pos="2268"/>
                <w:tab w:val="left" w:pos="2835"/>
                <w:tab w:val="left" w:pos="3402"/>
                <w:tab w:val="left" w:pos="3969"/>
              </w:tabs>
              <w:spacing w:before="40" w:after="40"/>
              <w:jc w:val="right"/>
            </w:pPr>
            <w:r w:rsidRPr="005A54E8">
              <w:t>20</w:t>
            </w:r>
          </w:p>
        </w:tc>
        <w:tc>
          <w:tcPr>
            <w:tcW w:w="911" w:type="pct"/>
            <w:tcBorders>
              <w:top w:val="single" w:sz="8" w:space="0" w:color="auto"/>
            </w:tcBorders>
          </w:tcPr>
          <w:p w14:paraId="100DA379" w14:textId="77777777" w:rsidR="00843B52" w:rsidRPr="005A54E8" w:rsidRDefault="00843B52" w:rsidP="00CB212B">
            <w:pPr>
              <w:pStyle w:val="MTabTxt"/>
              <w:rPr>
                <w:sz w:val="20"/>
                <w:szCs w:val="20"/>
              </w:rPr>
            </w:pPr>
            <w:r w:rsidRPr="005A54E8">
              <w:rPr>
                <w:sz w:val="20"/>
                <w:szCs w:val="20"/>
              </w:rPr>
              <w:t>1G</w:t>
            </w:r>
          </w:p>
        </w:tc>
        <w:tc>
          <w:tcPr>
            <w:tcW w:w="816" w:type="pct"/>
            <w:tcBorders>
              <w:top w:val="single" w:sz="8" w:space="0" w:color="auto"/>
            </w:tcBorders>
            <w:vAlign w:val="bottom"/>
          </w:tcPr>
          <w:p w14:paraId="7644FF9E" w14:textId="77777777" w:rsidR="00843B52" w:rsidRPr="005A54E8" w:rsidRDefault="00843B52" w:rsidP="00CB212B">
            <w:pPr>
              <w:pStyle w:val="MTabTxt"/>
              <w:jc w:val="right"/>
              <w:rPr>
                <w:sz w:val="20"/>
                <w:szCs w:val="20"/>
              </w:rPr>
            </w:pPr>
            <w:r w:rsidRPr="005A54E8">
              <w:rPr>
                <w:sz w:val="20"/>
                <w:szCs w:val="20"/>
              </w:rPr>
              <w:t>40</w:t>
            </w:r>
          </w:p>
        </w:tc>
      </w:tr>
      <w:tr w:rsidR="00843B52" w:rsidRPr="005A54E8" w14:paraId="68A7BFD2" w14:textId="77777777" w:rsidTr="00CB212B">
        <w:trPr>
          <w:cantSplit/>
        </w:trPr>
        <w:tc>
          <w:tcPr>
            <w:tcW w:w="2283" w:type="pct"/>
            <w:tcBorders>
              <w:bottom w:val="single" w:sz="4" w:space="0" w:color="auto"/>
            </w:tcBorders>
          </w:tcPr>
          <w:p w14:paraId="750187CB" w14:textId="77777777" w:rsidR="00843B52" w:rsidRPr="005A54E8" w:rsidRDefault="00843B52" w:rsidP="00CB212B">
            <w:pPr>
              <w:pStyle w:val="MTabTxt"/>
              <w:rPr>
                <w:bCs/>
                <w:sz w:val="20"/>
                <w:szCs w:val="20"/>
              </w:rPr>
            </w:pPr>
            <w:r w:rsidRPr="005A54E8">
              <w:rPr>
                <w:bCs/>
                <w:sz w:val="20"/>
                <w:szCs w:val="20"/>
              </w:rPr>
              <w:t>2,2´-Azodi-(</w:t>
            </w:r>
            <w:proofErr w:type="spellStart"/>
            <w:r w:rsidRPr="005A54E8">
              <w:rPr>
                <w:bCs/>
                <w:sz w:val="20"/>
                <w:szCs w:val="20"/>
              </w:rPr>
              <w:t>isobutyronitrile</w:t>
            </w:r>
            <w:proofErr w:type="spellEnd"/>
            <w:r w:rsidRPr="005A54E8">
              <w:rPr>
                <w:bCs/>
                <w:sz w:val="20"/>
                <w:szCs w:val="20"/>
              </w:rPr>
              <w:t>)</w:t>
            </w:r>
          </w:p>
        </w:tc>
        <w:tc>
          <w:tcPr>
            <w:tcW w:w="990" w:type="pct"/>
            <w:tcBorders>
              <w:bottom w:val="single" w:sz="4" w:space="0" w:color="auto"/>
            </w:tcBorders>
            <w:vAlign w:val="bottom"/>
          </w:tcPr>
          <w:p w14:paraId="56C37EF7" w14:textId="77777777" w:rsidR="00843B52" w:rsidRPr="005A54E8" w:rsidRDefault="00843B52" w:rsidP="00CB212B">
            <w:pPr>
              <w:pStyle w:val="MTabTxt"/>
              <w:jc w:val="right"/>
              <w:rPr>
                <w:bCs/>
                <w:sz w:val="20"/>
                <w:szCs w:val="20"/>
              </w:rPr>
            </w:pPr>
            <w:r w:rsidRPr="005A54E8">
              <w:rPr>
                <w:bCs/>
                <w:sz w:val="20"/>
                <w:szCs w:val="20"/>
              </w:rPr>
              <w:t>50</w:t>
            </w:r>
          </w:p>
        </w:tc>
        <w:tc>
          <w:tcPr>
            <w:tcW w:w="911" w:type="pct"/>
            <w:tcBorders>
              <w:bottom w:val="single" w:sz="4" w:space="0" w:color="auto"/>
            </w:tcBorders>
          </w:tcPr>
          <w:p w14:paraId="24EAAC43" w14:textId="77777777" w:rsidR="00843B52" w:rsidRPr="005A54E8" w:rsidRDefault="00843B52" w:rsidP="00CB212B">
            <w:pPr>
              <w:pStyle w:val="MTabTxt"/>
              <w:rPr>
                <w:bCs/>
                <w:sz w:val="20"/>
                <w:szCs w:val="20"/>
              </w:rPr>
            </w:pPr>
            <w:r w:rsidRPr="005A54E8">
              <w:rPr>
                <w:bCs/>
                <w:sz w:val="20"/>
                <w:szCs w:val="20"/>
              </w:rPr>
              <w:t>1G</w:t>
            </w:r>
          </w:p>
        </w:tc>
        <w:tc>
          <w:tcPr>
            <w:tcW w:w="816" w:type="pct"/>
            <w:tcBorders>
              <w:bottom w:val="single" w:sz="4" w:space="0" w:color="auto"/>
            </w:tcBorders>
            <w:vAlign w:val="bottom"/>
          </w:tcPr>
          <w:p w14:paraId="59DF5AB5" w14:textId="77777777" w:rsidR="00843B52" w:rsidRPr="005A54E8" w:rsidRDefault="00843B52" w:rsidP="00CB212B">
            <w:pPr>
              <w:pStyle w:val="MTabTxt"/>
              <w:jc w:val="right"/>
              <w:rPr>
                <w:bCs/>
                <w:sz w:val="20"/>
                <w:szCs w:val="20"/>
              </w:rPr>
            </w:pPr>
            <w:r w:rsidRPr="005A54E8">
              <w:rPr>
                <w:bCs/>
                <w:sz w:val="20"/>
                <w:szCs w:val="20"/>
              </w:rPr>
              <w:t>50</w:t>
            </w:r>
          </w:p>
        </w:tc>
      </w:tr>
    </w:tbl>
    <w:p w14:paraId="0676D4FA" w14:textId="77777777" w:rsidR="00843B52" w:rsidRPr="00E62E76" w:rsidRDefault="00843B52" w:rsidP="00DC70EC">
      <w:pPr>
        <w:pStyle w:val="SingleTxtG"/>
        <w:spacing w:before="120"/>
        <w:ind w:left="2268" w:hanging="1134"/>
        <w:rPr>
          <w:noProof/>
        </w:rPr>
      </w:pPr>
      <w:r w:rsidRPr="00E62E76">
        <w:rPr>
          <w:noProof/>
        </w:rPr>
        <w:t>Figure 28.4.1.1</w:t>
      </w:r>
      <w:r w:rsidRPr="00E62E76">
        <w:rPr>
          <w:noProof/>
        </w:rPr>
        <w:tab/>
        <w:t xml:space="preserve">Amend the heading to read: “Small package oven (Example 1)” </w:t>
      </w:r>
    </w:p>
    <w:p w14:paraId="17D52DB3" w14:textId="0E27D4A1" w:rsidR="00843B52" w:rsidRPr="00E62E76" w:rsidRDefault="00843B52" w:rsidP="00DC70EC">
      <w:pPr>
        <w:pStyle w:val="SingleTxtG"/>
        <w:ind w:left="2268" w:hanging="1134"/>
        <w:rPr>
          <w:noProof/>
        </w:rPr>
      </w:pPr>
      <w:r w:rsidRPr="00E62E76">
        <w:rPr>
          <w:noProof/>
        </w:rPr>
        <w:t>Figure 28.4.1.2</w:t>
      </w:r>
      <w:r w:rsidRPr="00E62E76">
        <w:rPr>
          <w:noProof/>
        </w:rPr>
        <w:tab/>
        <w:t xml:space="preserve">Amend the heading to read: “Large package oven (top view and side </w:t>
      </w:r>
      <w:r w:rsidRPr="00E62E76">
        <w:rPr>
          <w:noProof/>
        </w:rPr>
        <w:tab/>
        <w:t>view) (Example 2)”</w:t>
      </w:r>
    </w:p>
    <w:p w14:paraId="6846EC50" w14:textId="77777777" w:rsidR="00843B52" w:rsidRPr="00741695" w:rsidRDefault="00843B52" w:rsidP="00843B52">
      <w:pPr>
        <w:pStyle w:val="SingleTxtG"/>
        <w:ind w:left="2268" w:hanging="1134"/>
        <w:rPr>
          <w:noProof/>
        </w:rPr>
      </w:pPr>
      <w:r w:rsidRPr="00741695">
        <w:rPr>
          <w:noProof/>
        </w:rPr>
        <w:t>28.4.2.</w:t>
      </w:r>
      <w:r>
        <w:rPr>
          <w:noProof/>
        </w:rPr>
        <w:t>1</w:t>
      </w:r>
      <w:r w:rsidRPr="00741695">
        <w:rPr>
          <w:noProof/>
        </w:rPr>
        <w:t>.1</w:t>
      </w:r>
      <w:r w:rsidRPr="00741695">
        <w:rPr>
          <w:noProof/>
        </w:rPr>
        <w:tab/>
        <w:t>In the second sentence replace “heat loss data relating to the package” by “heat loss data of the package”. Add the following last sentence and its related sub-paragraphs (a) and (b):</w:t>
      </w:r>
    </w:p>
    <w:p w14:paraId="03E4B36D" w14:textId="77777777" w:rsidR="00843B52" w:rsidRPr="00741695" w:rsidRDefault="00843B52" w:rsidP="00843B52">
      <w:pPr>
        <w:pStyle w:val="SingleTxtG"/>
      </w:pPr>
      <w:r w:rsidRPr="00741695">
        <w:t>“There are two versions of the adiabatic storage test:</w:t>
      </w:r>
    </w:p>
    <w:p w14:paraId="77C40176" w14:textId="77777777" w:rsidR="00843B52" w:rsidRPr="004E55D4" w:rsidRDefault="00843B52" w:rsidP="00843B52">
      <w:pPr>
        <w:pStyle w:val="SingleTxtG"/>
        <w:ind w:left="2268" w:hanging="567"/>
      </w:pPr>
      <w:r w:rsidRPr="004E55D4">
        <w:t>(a)</w:t>
      </w:r>
      <w:r w:rsidRPr="004E55D4">
        <w:tab/>
        <w:t xml:space="preserve">Open version: A Dewar vessel within an oven is used. This set-up uses a capillary to prevent pressure build-up and a cooling system to limit the temperature increase due to a thermal runaway reaction; </w:t>
      </w:r>
    </w:p>
    <w:p w14:paraId="3578F3CB" w14:textId="7068F2D5" w:rsidR="00843B52" w:rsidRPr="004E55D4" w:rsidRDefault="00843B52" w:rsidP="00843B52">
      <w:pPr>
        <w:pStyle w:val="SingleTxtG"/>
        <w:ind w:left="2268" w:hanging="567"/>
      </w:pPr>
      <w:r w:rsidRPr="004E55D4">
        <w:t>(b)</w:t>
      </w:r>
      <w:r w:rsidRPr="004E55D4">
        <w:tab/>
        <w:t>Closed version: A test vessel (e.g. Dewar or thin-walled vessel) is placed within an autoclave in an oven. Here the autoclave prevents the release of pressure to the surroundings during the test.”</w:t>
      </w:r>
    </w:p>
    <w:p w14:paraId="7C2D8A2F" w14:textId="77777777" w:rsidR="00843B52" w:rsidRPr="00741695" w:rsidRDefault="00843B52" w:rsidP="00843B52">
      <w:pPr>
        <w:pStyle w:val="SingleTxtG"/>
        <w:tabs>
          <w:tab w:val="left" w:pos="2268"/>
        </w:tabs>
      </w:pPr>
      <w:r w:rsidRPr="00741695">
        <w:t xml:space="preserve">28.4.2.1.2 </w:t>
      </w:r>
      <w:r w:rsidRPr="00741695">
        <w:tab/>
        <w:t>Amend to read as follows:</w:t>
      </w:r>
    </w:p>
    <w:p w14:paraId="7A1B2C4D" w14:textId="5D5EC4F4" w:rsidR="00843B52" w:rsidRPr="00741695" w:rsidRDefault="00843B52" w:rsidP="00843B52">
      <w:pPr>
        <w:pStyle w:val="SingleTxtG"/>
      </w:pPr>
      <w:r w:rsidRPr="00741695">
        <w:t>“28.4.2.1.2</w:t>
      </w:r>
      <w:r w:rsidRPr="00741695">
        <w:tab/>
        <w:t>The smallest temperature rise that can be detected with this method depends on the properties of the sample, but generally corresponds to a heat generation rate of 15 </w:t>
      </w:r>
      <w:proofErr w:type="spellStart"/>
      <w:r w:rsidRPr="00741695">
        <w:t>mW</w:t>
      </w:r>
      <w:proofErr w:type="spellEnd"/>
      <w:r w:rsidRPr="00741695">
        <w:t>/kg. The upper limit of the open version is determined by the capacity of the cooling system to safely cool the substance (up to 500 W/kg if water is used as coolant). The closed version can disregard this limit if performed in a high</w:t>
      </w:r>
      <w:r>
        <w:t>-</w:t>
      </w:r>
      <w:r w:rsidRPr="00741695">
        <w:t>pressure autoclave. The maximum allowable error in heat generation is 30</w:t>
      </w:r>
      <w:r>
        <w:t> </w:t>
      </w:r>
      <w:r w:rsidRPr="00741695">
        <w:t>% at 15 </w:t>
      </w:r>
      <w:proofErr w:type="spellStart"/>
      <w:r w:rsidRPr="00741695">
        <w:t>mW</w:t>
      </w:r>
      <w:proofErr w:type="spellEnd"/>
      <w:r w:rsidRPr="00741695">
        <w:t>/kg and 10</w:t>
      </w:r>
      <w:r>
        <w:t> </w:t>
      </w:r>
      <w:r w:rsidRPr="00741695">
        <w:t>% from 100 </w:t>
      </w:r>
      <w:proofErr w:type="spellStart"/>
      <w:r w:rsidRPr="00741695">
        <w:t>mW</w:t>
      </w:r>
      <w:proofErr w:type="spellEnd"/>
      <w:r w:rsidRPr="00741695">
        <w:t xml:space="preserve">/kg to 10 W/kg. The detection limit of the adiabatic test should be suitable for assessing the heat loss from the package under consideration (e.g. 100 to 500 </w:t>
      </w:r>
      <w:proofErr w:type="spellStart"/>
      <w:r w:rsidRPr="00741695">
        <w:t>mW</w:t>
      </w:r>
      <w:proofErr w:type="spellEnd"/>
      <w:r w:rsidRPr="00741695">
        <w:t>/kg for L</w:t>
      </w:r>
      <w:r>
        <w:t> </w:t>
      </w:r>
      <w:r w:rsidRPr="00741695">
        <w:t>=</w:t>
      </w:r>
      <w:r>
        <w:t> </w:t>
      </w:r>
      <w:r w:rsidRPr="00741695">
        <w:t xml:space="preserve">60 </w:t>
      </w:r>
      <w:proofErr w:type="spellStart"/>
      <w:r w:rsidRPr="00741695">
        <w:t>mW</w:t>
      </w:r>
      <w:proofErr w:type="spellEnd"/>
      <w:r w:rsidRPr="00741695">
        <w:t>/</w:t>
      </w:r>
      <w:proofErr w:type="spellStart"/>
      <w:r w:rsidRPr="00741695">
        <w:t>K</w:t>
      </w:r>
      <w:r>
        <w:t>·kg</w:t>
      </w:r>
      <w:proofErr w:type="spellEnd"/>
      <w:r w:rsidRPr="00741695">
        <w:t>). If significant extrapolation of heat production rates derived from adiabatic test data is required, a validation with additional isothermal tests is recommended.”</w:t>
      </w:r>
    </w:p>
    <w:p w14:paraId="7F7F704B" w14:textId="3224263A" w:rsidR="00843B52" w:rsidRPr="00741695" w:rsidRDefault="00843B52" w:rsidP="00843B52">
      <w:pPr>
        <w:pStyle w:val="SingleTxtG"/>
        <w:ind w:left="2268" w:hanging="1134"/>
      </w:pPr>
      <w:r w:rsidRPr="00741695">
        <w:t xml:space="preserve">28.4.2.1.3 </w:t>
      </w:r>
      <w:r w:rsidRPr="00741695">
        <w:tab/>
        <w:t>Replace the first sentence by the following:</w:t>
      </w:r>
    </w:p>
    <w:p w14:paraId="5703E3DB" w14:textId="17B6A5FA" w:rsidR="00843B52" w:rsidRPr="00741695" w:rsidRDefault="00843B52" w:rsidP="00843B52">
      <w:pPr>
        <w:pStyle w:val="SingleTxtG"/>
      </w:pPr>
      <w:r w:rsidRPr="00741695">
        <w:t>“An explosion may occur in the open version of the test if the cooling system is activated at a stage where the rate of heat generation exceeds the cooling capacity of the apparatus. For the closed version an explosion could lead to a rupture of the autoclave or its fittings.”</w:t>
      </w:r>
    </w:p>
    <w:p w14:paraId="4B493714" w14:textId="77777777" w:rsidR="00843B52" w:rsidRPr="00741695" w:rsidRDefault="00843B52" w:rsidP="00843B52">
      <w:pPr>
        <w:pStyle w:val="SingleTxtG"/>
        <w:keepNext/>
        <w:keepLines/>
        <w:ind w:left="2268" w:hanging="1134"/>
      </w:pPr>
      <w:r w:rsidRPr="00741695">
        <w:t xml:space="preserve">28.4.2.2.1 </w:t>
      </w:r>
      <w:r w:rsidRPr="00741695">
        <w:tab/>
        <w:t>Insert a heading to read as follows: “Open version” and amend the existing paragraph as follows:</w:t>
      </w:r>
    </w:p>
    <w:p w14:paraId="52D2D108" w14:textId="77777777" w:rsidR="00843B52" w:rsidRPr="00741695" w:rsidRDefault="00843B52" w:rsidP="00843B52">
      <w:pPr>
        <w:pStyle w:val="Bullet1G"/>
        <w:numPr>
          <w:ilvl w:val="0"/>
          <w:numId w:val="15"/>
        </w:numPr>
        <w:tabs>
          <w:tab w:val="clear" w:pos="1701"/>
        </w:tabs>
        <w:kinsoku/>
        <w:overflowPunct/>
        <w:autoSpaceDE/>
        <w:autoSpaceDN/>
        <w:adjustRightInd/>
        <w:snapToGrid/>
        <w:ind w:left="2552" w:hanging="284"/>
      </w:pPr>
      <w:r w:rsidRPr="00741695">
        <w:t>In the first sentence, replace “(1.0 or 1.5 litre)” by “(max. 3 litres) and insert a comma after “sample temperature”;</w:t>
      </w:r>
    </w:p>
    <w:p w14:paraId="7CAA06C8" w14:textId="77777777" w:rsidR="00843B52" w:rsidRPr="00741695" w:rsidRDefault="00843B52" w:rsidP="00843B52">
      <w:pPr>
        <w:pStyle w:val="Bullet1G"/>
        <w:numPr>
          <w:ilvl w:val="0"/>
          <w:numId w:val="15"/>
        </w:numPr>
        <w:tabs>
          <w:tab w:val="clear" w:pos="1701"/>
        </w:tabs>
        <w:kinsoku/>
        <w:overflowPunct/>
        <w:autoSpaceDE/>
        <w:autoSpaceDN/>
        <w:adjustRightInd/>
        <w:snapToGrid/>
        <w:ind w:left="2552" w:hanging="284"/>
      </w:pPr>
      <w:r w:rsidRPr="00741695">
        <w:lastRenderedPageBreak/>
        <w:t>Amend the fourth sentence to read as follows: “Pressure build-up in the Dewar vessel is prevented by a sufficiently long capillary tube made of an inert substance (e.g. 2 m long PTFE tube) through the insulated lid.”.</w:t>
      </w:r>
    </w:p>
    <w:p w14:paraId="21D30F8F" w14:textId="77777777" w:rsidR="00843B52" w:rsidRPr="00741695" w:rsidRDefault="00843B52" w:rsidP="00843B52">
      <w:pPr>
        <w:pStyle w:val="Bullet1G"/>
        <w:numPr>
          <w:ilvl w:val="0"/>
          <w:numId w:val="15"/>
        </w:numPr>
        <w:tabs>
          <w:tab w:val="clear" w:pos="1701"/>
        </w:tabs>
        <w:kinsoku/>
        <w:overflowPunct/>
        <w:autoSpaceDE/>
        <w:autoSpaceDN/>
        <w:adjustRightInd/>
        <w:snapToGrid/>
        <w:ind w:left="2552" w:hanging="284"/>
      </w:pPr>
      <w:r w:rsidRPr="00741695">
        <w:t xml:space="preserve">In the seventh sentence </w:t>
      </w:r>
      <w:r>
        <w:t>replace</w:t>
      </w:r>
      <w:r w:rsidRPr="00741695">
        <w:t xml:space="preserve"> “a secondary safety device is fitted which disconnects the power supply” by “a secondary safety device is used to disconnect the power supply”</w:t>
      </w:r>
    </w:p>
    <w:p w14:paraId="39089FD1" w14:textId="12E0833F" w:rsidR="00843B52" w:rsidRPr="00741695" w:rsidRDefault="00843B52" w:rsidP="00843B52">
      <w:pPr>
        <w:pStyle w:val="Bullet1G"/>
        <w:numPr>
          <w:ilvl w:val="0"/>
          <w:numId w:val="15"/>
        </w:numPr>
        <w:tabs>
          <w:tab w:val="clear" w:pos="1701"/>
        </w:tabs>
        <w:kinsoku/>
        <w:overflowPunct/>
        <w:autoSpaceDE/>
        <w:autoSpaceDN/>
        <w:adjustRightInd/>
        <w:snapToGrid/>
        <w:ind w:left="2552" w:hanging="284"/>
      </w:pPr>
      <w:r w:rsidRPr="00741695">
        <w:t xml:space="preserve">Amend the </w:t>
      </w:r>
      <w:r w:rsidR="00B96E85">
        <w:t xml:space="preserve">last </w:t>
      </w:r>
      <w:r w:rsidRPr="00741695">
        <w:t>sentence to read as follows: “A schematic drawing of an open apparatus for the adiabatic storage test is given in Figure 28.4.2.1.”.</w:t>
      </w:r>
    </w:p>
    <w:p w14:paraId="1AE7D79D" w14:textId="77777777" w:rsidR="00843B52" w:rsidRPr="00741695" w:rsidRDefault="00843B52" w:rsidP="00843B52">
      <w:pPr>
        <w:pStyle w:val="SingleTxtG"/>
      </w:pPr>
      <w:r w:rsidRPr="00741695">
        <w:tab/>
        <w:t>28.4.2.2.2</w:t>
      </w:r>
      <w:r w:rsidRPr="00741695">
        <w:tab/>
        <w:t>Insert the following new paragraphs (current 28.4.2.2.2 becomes 28.4.2.2.3):</w:t>
      </w:r>
    </w:p>
    <w:p w14:paraId="4B476ED6" w14:textId="77777777" w:rsidR="00843B52" w:rsidRPr="00741695" w:rsidRDefault="00843B52" w:rsidP="00843B52">
      <w:pPr>
        <w:pStyle w:val="SingleTxtG"/>
        <w:tabs>
          <w:tab w:val="left" w:pos="2268"/>
          <w:tab w:val="left" w:pos="3402"/>
        </w:tabs>
      </w:pPr>
      <w:r w:rsidRPr="00741695">
        <w:t>“28.4.2.2.2</w:t>
      </w:r>
      <w:r w:rsidRPr="00741695">
        <w:tab/>
        <w:t>Closed version</w:t>
      </w:r>
    </w:p>
    <w:p w14:paraId="0E73E88E" w14:textId="77777777" w:rsidR="00843B52" w:rsidRPr="00741695" w:rsidRDefault="00843B52" w:rsidP="00843B52">
      <w:pPr>
        <w:pStyle w:val="SingleTxtG"/>
        <w:tabs>
          <w:tab w:val="left" w:pos="2268"/>
        </w:tabs>
      </w:pPr>
      <w:r w:rsidRPr="00741695">
        <w:t>28.4.2.2.2.1</w:t>
      </w:r>
      <w:r w:rsidRPr="00741695">
        <w:tab/>
        <w:t>The apparatus consists of a suitable inert vessel (e.g. Dewar or thin-walled test cell) to contain the sample, a high-pressure autoclave and an insulated oven with a differential temperature control system. Thin-walled test cells require the use of a pressure control system to balance the internal and external cell pressure.</w:t>
      </w:r>
    </w:p>
    <w:p w14:paraId="0FAD36C7" w14:textId="77777777" w:rsidR="00843B52" w:rsidRPr="00741695" w:rsidRDefault="00843B52" w:rsidP="00843B52">
      <w:pPr>
        <w:pStyle w:val="SingleTxtG"/>
        <w:tabs>
          <w:tab w:val="left" w:pos="2268"/>
        </w:tabs>
      </w:pPr>
      <w:r w:rsidRPr="00741695">
        <w:t>28.4.2.2.2.2</w:t>
      </w:r>
      <w:r w:rsidRPr="00741695">
        <w:tab/>
        <w:t>The phi-factor (heat capacity of the set-up and the sample divided by heat capacity of the sample) of the system should be known and be considered in evaluating the tests results. Therefore, a suitable combination of phi-factor, insulation, and amount of substance should be chosen. The heat losses from the apparatus and detection limit of the system also have to be taken into consideration. An inert heating coil may be inserted into the sample. In addition to the high-pressure autoclave, a secondary safety device is used to disconnect the power supply to the oven at a pre</w:t>
      </w:r>
      <w:r>
        <w:t>-</w:t>
      </w:r>
      <w:r w:rsidRPr="00741695">
        <w:t>set temperature.</w:t>
      </w:r>
    </w:p>
    <w:p w14:paraId="031B23B3" w14:textId="77777777" w:rsidR="00843B52" w:rsidRPr="004E7A50" w:rsidRDefault="00843B52" w:rsidP="00843B52">
      <w:pPr>
        <w:pStyle w:val="SingleTxtG"/>
        <w:tabs>
          <w:tab w:val="left" w:pos="2268"/>
        </w:tabs>
      </w:pPr>
      <w:bookmarkStart w:id="1" w:name="_Hlk35357983"/>
      <w:r w:rsidRPr="004E7A50">
        <w:t>28.4.2.2.2.3</w:t>
      </w:r>
      <w:bookmarkEnd w:id="1"/>
      <w:r w:rsidRPr="004E7A50">
        <w:tab/>
        <w:t>The closed version of the test is preferred for substances with a high vapour pressure at the test temperature to prevent mass loss due to evaporation or for substances that decompose with severe pressure rises (which in case of an open version of the test would throw off the insulated lid or eject the sample from the test cell). The weight of the sample should be determined after the measurement to detect mass loss during the test. Leakage from the system and the resulting evaporation cooling can result in a significant loss of sensitivity in the test and a large margin of error in the results. The suitability of a test run in the open version can be evaluated by determining the mass loss of the sample after the test.”.</w:t>
      </w:r>
    </w:p>
    <w:p w14:paraId="43352E5E" w14:textId="77777777" w:rsidR="00843B52" w:rsidRPr="00741695" w:rsidRDefault="00843B52" w:rsidP="00843B52">
      <w:pPr>
        <w:pStyle w:val="SingleTxtG"/>
        <w:tabs>
          <w:tab w:val="left" w:pos="4253"/>
        </w:tabs>
      </w:pPr>
      <w:r w:rsidRPr="00741695">
        <w:t>28.4.2.2.3 (new, former 28.4.2.2.2)</w:t>
      </w:r>
      <w:r w:rsidRPr="00741695">
        <w:tab/>
        <w:t>Amend as follows:</w:t>
      </w:r>
    </w:p>
    <w:p w14:paraId="6A40A9A9" w14:textId="77777777" w:rsidR="00843B52" w:rsidRPr="005A54E8" w:rsidRDefault="00843B52" w:rsidP="00D44EC2">
      <w:pPr>
        <w:pStyle w:val="Bullet1G"/>
        <w:numPr>
          <w:ilvl w:val="0"/>
          <w:numId w:val="8"/>
        </w:numPr>
        <w:tabs>
          <w:tab w:val="clear" w:pos="1701"/>
        </w:tabs>
        <w:ind w:left="2268" w:hanging="284"/>
      </w:pPr>
      <w:r w:rsidRPr="005A54E8">
        <w:t>In the first sentence, after “platinum resistance sensors” insert “(RTD)”;</w:t>
      </w:r>
    </w:p>
    <w:p w14:paraId="4DB99D3F" w14:textId="77777777" w:rsidR="00843B52" w:rsidRPr="005A54E8" w:rsidRDefault="00843B52" w:rsidP="00D44EC2">
      <w:pPr>
        <w:pStyle w:val="Bullet1G"/>
        <w:numPr>
          <w:ilvl w:val="0"/>
          <w:numId w:val="8"/>
        </w:numPr>
        <w:tabs>
          <w:tab w:val="clear" w:pos="1701"/>
        </w:tabs>
        <w:ind w:left="2268" w:hanging="284"/>
      </w:pPr>
      <w:r w:rsidRPr="005A54E8">
        <w:t>In the second sentence, replace “surrounding air” with “surroundings”;</w:t>
      </w:r>
    </w:p>
    <w:p w14:paraId="64D26675" w14:textId="77777777" w:rsidR="00843B52" w:rsidRPr="005A54E8" w:rsidRDefault="00843B52" w:rsidP="00D44EC2">
      <w:pPr>
        <w:pStyle w:val="Bullet1G"/>
        <w:numPr>
          <w:ilvl w:val="0"/>
          <w:numId w:val="8"/>
        </w:numPr>
        <w:tabs>
          <w:tab w:val="clear" w:pos="1701"/>
        </w:tabs>
        <w:ind w:left="2268" w:hanging="284"/>
      </w:pPr>
      <w:r w:rsidRPr="005A54E8">
        <w:t>Amend the end of the third sentence to read as follows: “…to monitor the temperature of the substance as well as (the air) in the oven.”.</w:t>
      </w:r>
    </w:p>
    <w:p w14:paraId="76B177E8" w14:textId="77777777" w:rsidR="00843B52" w:rsidRPr="005A54E8" w:rsidRDefault="00843B52" w:rsidP="00D44EC2">
      <w:pPr>
        <w:pStyle w:val="Bullet1G"/>
        <w:numPr>
          <w:ilvl w:val="0"/>
          <w:numId w:val="8"/>
        </w:numPr>
        <w:tabs>
          <w:tab w:val="clear" w:pos="1701"/>
        </w:tabs>
        <w:ind w:left="2268" w:hanging="284"/>
      </w:pPr>
      <w:r w:rsidRPr="005A54E8">
        <w:t>Amend the last sentence to read as follows: “For substances with an SADT or SAPT below ambient temperature, the test should be performed with sufficient cooling.”.</w:t>
      </w:r>
    </w:p>
    <w:p w14:paraId="11520495" w14:textId="77777777" w:rsidR="00843B52" w:rsidRPr="00741695" w:rsidRDefault="00843B52" w:rsidP="00843B52">
      <w:pPr>
        <w:pStyle w:val="SingleTxtG"/>
      </w:pPr>
      <w:r w:rsidRPr="00741695">
        <w:t>28.4.2.3.1</w:t>
      </w:r>
      <w:r w:rsidRPr="00741695">
        <w:tab/>
        <w:t xml:space="preserve">Amend to read as follows: </w:t>
      </w:r>
    </w:p>
    <w:p w14:paraId="12868101" w14:textId="77777777" w:rsidR="00843B52" w:rsidRPr="00741695" w:rsidRDefault="00843B52" w:rsidP="00843B52">
      <w:pPr>
        <w:pStyle w:val="SingleTxtG"/>
        <w:tabs>
          <w:tab w:val="left" w:pos="2268"/>
        </w:tabs>
      </w:pPr>
      <w:r w:rsidRPr="00741695">
        <w:t>“</w:t>
      </w:r>
      <w:bookmarkStart w:id="2" w:name="_Hlk35358385"/>
      <w:r w:rsidRPr="00741695">
        <w:t>28.4.2.3.1</w:t>
      </w:r>
      <w:bookmarkEnd w:id="2"/>
      <w:r w:rsidRPr="00741695">
        <w:tab/>
        <w:t>Validation procedures</w:t>
      </w:r>
    </w:p>
    <w:p w14:paraId="4D0FB1AB" w14:textId="77777777" w:rsidR="00843B52" w:rsidRPr="00EB3C37" w:rsidRDefault="00843B52" w:rsidP="00843B52">
      <w:pPr>
        <w:pStyle w:val="SingleTxtG"/>
        <w:ind w:left="2268" w:hanging="567"/>
      </w:pPr>
      <w:r w:rsidRPr="00EB3C37">
        <w:t>(a)</w:t>
      </w:r>
      <w:r w:rsidRPr="00EB3C37">
        <w:tab/>
        <w:t>The validation procedure A is as follows:</w:t>
      </w:r>
    </w:p>
    <w:p w14:paraId="6E1FD0B3" w14:textId="77777777" w:rsidR="00843B52" w:rsidRPr="00EB3C37" w:rsidRDefault="00843B52" w:rsidP="00843B52">
      <w:pPr>
        <w:pStyle w:val="SingleTxtG"/>
        <w:ind w:left="2835" w:hanging="567"/>
      </w:pPr>
      <w:r w:rsidRPr="00EB3C37">
        <w:t>(</w:t>
      </w:r>
      <w:proofErr w:type="spellStart"/>
      <w:r w:rsidRPr="00EB3C37">
        <w:t>i</w:t>
      </w:r>
      <w:proofErr w:type="spellEnd"/>
      <w:r w:rsidRPr="00EB3C37">
        <w:t>)</w:t>
      </w:r>
      <w:r w:rsidRPr="00EB3C37">
        <w:tab/>
        <w:t>Fill the Dewar vessel with a suitable inorganic salt, preferably with similar physical properties to the test substance (e.g. sodium chloride or dense soda ash). Alternatively, an oil of known specific heat capacity at the temperature of interest (e.g. silicone oil, apparent density 0.96 ± 0.02 at 20 °C and heat capacity 1.46 ± 0.02 J/g at 25 °C) may be used;</w:t>
      </w:r>
    </w:p>
    <w:p w14:paraId="55964C3A" w14:textId="77777777" w:rsidR="00843B52" w:rsidRPr="00EB3C37" w:rsidRDefault="00843B52" w:rsidP="00843B52">
      <w:pPr>
        <w:pStyle w:val="SingleTxtG"/>
        <w:ind w:left="2835" w:hanging="567"/>
      </w:pPr>
      <w:r w:rsidRPr="00EB3C37">
        <w:t>(ii)</w:t>
      </w:r>
      <w:r w:rsidRPr="00EB3C37">
        <w:tab/>
        <w:t xml:space="preserve">Place the Dewar vessel in the vessel holder of the oven and heat the validation substance in 20 °C steps using the internal heating system at a known power rating </w:t>
      </w:r>
      <w:r>
        <w:t>(</w:t>
      </w:r>
      <w:r w:rsidRPr="00EB3C37">
        <w:t>e.g. 0.333 W or 1.000 W</w:t>
      </w:r>
      <w:r>
        <w:t>)</w:t>
      </w:r>
      <w:r w:rsidRPr="00EB3C37">
        <w:t xml:space="preserve"> and determine the heat losses at 40 °C, 60 °C, 80 °C and 100 °C;</w:t>
      </w:r>
    </w:p>
    <w:p w14:paraId="01F727D0" w14:textId="77777777" w:rsidR="00843B52" w:rsidRPr="00EB3C37" w:rsidRDefault="00843B52" w:rsidP="00843B52">
      <w:pPr>
        <w:pStyle w:val="SingleTxtG"/>
        <w:ind w:left="2835" w:hanging="567"/>
      </w:pPr>
      <w:r w:rsidRPr="00EB3C37">
        <w:lastRenderedPageBreak/>
        <w:t>(iii)</w:t>
      </w:r>
      <w:r w:rsidRPr="00EB3C37">
        <w:tab/>
        <w:t>Use the data to determine the heat capacity of the Dewar vessel and the test set-up using the method given in 28.4.2.4.</w:t>
      </w:r>
    </w:p>
    <w:p w14:paraId="01BF08C5" w14:textId="77777777" w:rsidR="00843B52" w:rsidRPr="00EB3C37" w:rsidRDefault="00843B52" w:rsidP="00843B52">
      <w:pPr>
        <w:pStyle w:val="SingleTxtG"/>
        <w:ind w:left="2268" w:hanging="567"/>
      </w:pPr>
      <w:r w:rsidRPr="00EB3C37">
        <w:t>(b)</w:t>
      </w:r>
      <w:r w:rsidRPr="00EB3C37">
        <w:tab/>
        <w:t>The validation procedure B is as follows:</w:t>
      </w:r>
    </w:p>
    <w:p w14:paraId="18C01582" w14:textId="77777777" w:rsidR="00843B52" w:rsidRPr="00EB3C37" w:rsidRDefault="00843B52" w:rsidP="00843B52">
      <w:pPr>
        <w:pStyle w:val="SingleTxtG"/>
        <w:ind w:left="2835" w:hanging="567"/>
      </w:pPr>
      <w:r w:rsidRPr="00EB3C37">
        <w:t>(</w:t>
      </w:r>
      <w:proofErr w:type="spellStart"/>
      <w:r w:rsidRPr="00EB3C37">
        <w:t>i</w:t>
      </w:r>
      <w:proofErr w:type="spellEnd"/>
      <w:r w:rsidRPr="00EB3C37">
        <w:t>)</w:t>
      </w:r>
      <w:r w:rsidRPr="00EB3C37">
        <w:tab/>
        <w:t>In order to perform validation procedure B the test set-up should be well characterized (e.g. by performing validation procedure A first);</w:t>
      </w:r>
    </w:p>
    <w:p w14:paraId="1C05DF96" w14:textId="60AEB528" w:rsidR="00843B52" w:rsidRPr="00EB3C37" w:rsidRDefault="00843B52" w:rsidP="00843B52">
      <w:pPr>
        <w:pStyle w:val="SingleTxtG"/>
        <w:ind w:left="2835" w:hanging="567"/>
      </w:pPr>
      <w:bookmarkStart w:id="3" w:name="_Hlk20254433"/>
      <w:r w:rsidRPr="00EB3C37">
        <w:t>(ii)</w:t>
      </w:r>
      <w:r w:rsidRPr="00EB3C37">
        <w:tab/>
        <w:t xml:space="preserve">The test set-up must be validated using the method described in 28.4.2.4 with at least two standard substances or mixtures. Suitable choices for these standards are </w:t>
      </w:r>
      <w:proofErr w:type="spellStart"/>
      <w:r w:rsidRPr="00EB3C37">
        <w:t>dicumylperoxide</w:t>
      </w:r>
      <w:proofErr w:type="spellEnd"/>
      <w:r w:rsidRPr="00EB3C37">
        <w:t xml:space="preserve"> in ethylbenzene</w:t>
      </w:r>
      <w:r w:rsidR="00AA63AD" w:rsidRPr="00C457DC">
        <w:rPr>
          <w:b/>
          <w:bCs/>
          <w:vertAlign w:val="superscript"/>
        </w:rPr>
        <w:t>2</w:t>
      </w:r>
      <w:r w:rsidRPr="00EB3C37">
        <w:t xml:space="preserve"> (40:60 % w/w, SADT for a heat loss of 60 </w:t>
      </w:r>
      <w:proofErr w:type="spellStart"/>
      <w:r w:rsidRPr="00EB3C37">
        <w:t>mW</w:t>
      </w:r>
      <w:proofErr w:type="spellEnd"/>
      <w:r w:rsidRPr="00EB3C37">
        <w:t>/</w:t>
      </w:r>
      <w:proofErr w:type="spellStart"/>
      <w:r>
        <w:t>K·</w:t>
      </w:r>
      <w:r w:rsidRPr="00EB3C37">
        <w:t>kg</w:t>
      </w:r>
      <w:proofErr w:type="spellEnd"/>
      <w:r w:rsidRPr="00EB3C37">
        <w:t xml:space="preserve"> should be 90 °C), or any of the substances from the example of results tables in chapter 28.</w:t>
      </w:r>
      <w:r>
        <w:t>”</w:t>
      </w:r>
    </w:p>
    <w:p w14:paraId="285F34A9" w14:textId="77777777" w:rsidR="00843B52" w:rsidRPr="004E7A50" w:rsidRDefault="00843B52" w:rsidP="00843B52">
      <w:pPr>
        <w:pStyle w:val="SingleTxtG"/>
        <w:ind w:left="2268"/>
      </w:pPr>
      <w:r w:rsidRPr="004E7A50">
        <w:t xml:space="preserve">Add the following footnote </w:t>
      </w:r>
      <w:r>
        <w:t>2</w:t>
      </w:r>
      <w:r w:rsidRPr="004E7A50">
        <w:t>:</w:t>
      </w:r>
    </w:p>
    <w:p w14:paraId="6773FD60" w14:textId="77777777" w:rsidR="00843B52" w:rsidRPr="00741695" w:rsidRDefault="00843B52" w:rsidP="00843B52">
      <w:pPr>
        <w:pStyle w:val="SingleTxtG"/>
        <w:tabs>
          <w:tab w:val="left" w:pos="1701"/>
        </w:tabs>
        <w:ind w:left="2268"/>
        <w:rPr>
          <w:i/>
          <w:iCs/>
        </w:rPr>
      </w:pPr>
      <w:r w:rsidRPr="004E7A50">
        <w:rPr>
          <w:vertAlign w:val="superscript"/>
          <w:lang w:eastAsia="fr-FR"/>
        </w:rPr>
        <w:t>“</w:t>
      </w:r>
      <w:r>
        <w:rPr>
          <w:vertAlign w:val="superscript"/>
          <w:lang w:eastAsia="fr-FR"/>
        </w:rPr>
        <w:t>2</w:t>
      </w:r>
      <w:r w:rsidRPr="004E7A50">
        <w:rPr>
          <w:lang w:eastAsia="fr-FR"/>
        </w:rPr>
        <w:tab/>
      </w:r>
      <w:r w:rsidRPr="00C457DC">
        <w:rPr>
          <w:i/>
          <w:iCs/>
          <w:lang w:eastAsia="fr-FR"/>
        </w:rPr>
        <w:t>Reference:</w:t>
      </w:r>
      <w:r w:rsidRPr="004E7A50">
        <w:rPr>
          <w:i/>
          <w:iCs/>
          <w:lang w:eastAsia="fr-FR"/>
        </w:rPr>
        <w:t xml:space="preserve"> </w:t>
      </w:r>
      <w:proofErr w:type="spellStart"/>
      <w:r w:rsidRPr="004E7A50">
        <w:rPr>
          <w:i/>
          <w:iCs/>
        </w:rPr>
        <w:t>Dürrstein</w:t>
      </w:r>
      <w:proofErr w:type="spellEnd"/>
      <w:r w:rsidRPr="004E7A50">
        <w:rPr>
          <w:i/>
          <w:iCs/>
        </w:rPr>
        <w:t xml:space="preserve"> S., </w:t>
      </w:r>
      <w:proofErr w:type="spellStart"/>
      <w:r w:rsidRPr="004E7A50">
        <w:rPr>
          <w:i/>
          <w:iCs/>
        </w:rPr>
        <w:t>Kappler</w:t>
      </w:r>
      <w:proofErr w:type="spellEnd"/>
      <w:r w:rsidRPr="004E7A50">
        <w:rPr>
          <w:i/>
          <w:iCs/>
        </w:rPr>
        <w:t xml:space="preserve"> C., Neuhaus I., Malow M., Michael-Schulz H., </w:t>
      </w:r>
      <w:proofErr w:type="spellStart"/>
      <w:r w:rsidRPr="004E7A50">
        <w:rPr>
          <w:i/>
          <w:iCs/>
        </w:rPr>
        <w:t>Gödde</w:t>
      </w:r>
      <w:proofErr w:type="spellEnd"/>
      <w:r w:rsidRPr="004E7A50">
        <w:rPr>
          <w:i/>
          <w:iCs/>
        </w:rPr>
        <w:t xml:space="preserve"> M., 2016, Modell-based prediction of the adiabatic induction period and SADT of </w:t>
      </w:r>
      <w:proofErr w:type="spellStart"/>
      <w:r w:rsidRPr="004E7A50">
        <w:rPr>
          <w:i/>
          <w:iCs/>
        </w:rPr>
        <w:t>dicumyl</w:t>
      </w:r>
      <w:proofErr w:type="spellEnd"/>
      <w:r w:rsidRPr="004E7A50">
        <w:rPr>
          <w:i/>
          <w:iCs/>
        </w:rPr>
        <w:t xml:space="preserve"> peroxide solution and comparison to large-scale experiments performed using 216.5-liter barrels in the H.1 test, Chemical Engineering Transactions, 48, 475-480.”.</w:t>
      </w:r>
    </w:p>
    <w:bookmarkEnd w:id="3"/>
    <w:p w14:paraId="67CC3EBD" w14:textId="77777777" w:rsidR="00843B52" w:rsidRPr="005A54E8" w:rsidRDefault="00843B52" w:rsidP="00843B52">
      <w:pPr>
        <w:pStyle w:val="SingleTxtG"/>
      </w:pPr>
      <w:r w:rsidRPr="005A54E8">
        <w:t>28.4.2.3.2</w:t>
      </w:r>
      <w:r w:rsidRPr="005A54E8">
        <w:tab/>
        <w:t>Amend to read as follows:</w:t>
      </w:r>
    </w:p>
    <w:p w14:paraId="218FC3F6" w14:textId="77777777" w:rsidR="00843B52" w:rsidRPr="005A54E8" w:rsidRDefault="00843B52" w:rsidP="00843B52">
      <w:pPr>
        <w:pStyle w:val="SingleTxtG"/>
      </w:pPr>
      <w:r w:rsidRPr="005A54E8">
        <w:t>“28.4.2.3.2</w:t>
      </w:r>
      <w:r w:rsidRPr="005A54E8">
        <w:tab/>
        <w:t>Test procedure</w:t>
      </w:r>
    </w:p>
    <w:p w14:paraId="235D6C0A" w14:textId="77777777" w:rsidR="00843B52" w:rsidRPr="00741695" w:rsidRDefault="00843B52" w:rsidP="00843B52">
      <w:pPr>
        <w:pStyle w:val="SingleTxtG"/>
        <w:ind w:left="2268" w:hanging="567"/>
      </w:pPr>
      <w:r w:rsidRPr="00741695">
        <w:t>The test procedure is as follows:</w:t>
      </w:r>
    </w:p>
    <w:p w14:paraId="520693E6" w14:textId="77777777" w:rsidR="00843B52" w:rsidRPr="005A54E8" w:rsidRDefault="00843B52" w:rsidP="00843B52">
      <w:pPr>
        <w:pStyle w:val="SingleTxtG"/>
        <w:ind w:left="2268" w:hanging="567"/>
      </w:pPr>
      <w:r w:rsidRPr="005A54E8">
        <w:t>(a)</w:t>
      </w:r>
      <w:r w:rsidRPr="005A54E8">
        <w:tab/>
        <w:t>Fill the Dewar vessel/test cell with the weighed sample, including a representative amount of packaging material (if necessary), and place it in the vessel holder of the oven;</w:t>
      </w:r>
    </w:p>
    <w:p w14:paraId="6164B758" w14:textId="77777777" w:rsidR="00843B52" w:rsidRPr="00FD09A6" w:rsidRDefault="00843B52" w:rsidP="00843B52">
      <w:pPr>
        <w:pStyle w:val="SingleTxtG"/>
        <w:ind w:left="2268" w:hanging="567"/>
      </w:pPr>
      <w:r w:rsidRPr="00741695">
        <w:t>(b)</w:t>
      </w:r>
      <w:r w:rsidRPr="00741695">
        <w:tab/>
      </w:r>
      <w:r w:rsidRPr="005A54E8">
        <w:t xml:space="preserve">Start the temperature monitoring and then increase the sample temperature </w:t>
      </w:r>
      <w:r w:rsidRPr="00FD09A6">
        <w:t>to a pre-set temperature at which detectable self-heating may occur. The specific heat of the substance can either be calculated from the temperature rise, heating time and heating power, or be determined by any suitable calorimetric test method beforehand;</w:t>
      </w:r>
    </w:p>
    <w:p w14:paraId="6FDA8E2C" w14:textId="77777777" w:rsidR="00843B52" w:rsidRPr="00FD09A6" w:rsidRDefault="00843B52" w:rsidP="00843B52">
      <w:pPr>
        <w:pStyle w:val="SingleTxtG"/>
        <w:ind w:left="2268" w:hanging="567"/>
      </w:pPr>
      <w:r w:rsidRPr="00FD09A6">
        <w:t>(c)</w:t>
      </w:r>
      <w:r w:rsidRPr="00FD09A6">
        <w:tab/>
        <w:t>Heat the sample to the set temperature, maintain the oven temperature and monitor the sample temperature. If no temperature rise due to self-heating is observed after temperature equilibration of the system (e.g. 24 h for the open system), increase the oven temperature by 5 °C. Repeat this procedure until self-heating is detected;</w:t>
      </w:r>
    </w:p>
    <w:p w14:paraId="2E8D1AB5" w14:textId="77777777" w:rsidR="00843B52" w:rsidRPr="00FD09A6" w:rsidRDefault="00843B52" w:rsidP="00843B52">
      <w:pPr>
        <w:pStyle w:val="SingleTxtG"/>
        <w:ind w:left="2268" w:hanging="567"/>
      </w:pPr>
      <w:r w:rsidRPr="00FD09A6">
        <w:tab/>
      </w:r>
      <w:r w:rsidRPr="00FD09A6">
        <w:tab/>
        <w:t>For the closed version the apparatus can be heated with &lt;</w:t>
      </w:r>
      <w:r>
        <w:t> </w:t>
      </w:r>
      <w:r w:rsidRPr="00FD09A6">
        <w:t>0.5 W/kg until self-heating is detected. The heating power per unit mass should remain below the sensitivity for self-heating detection of the test equipment or autoclave;</w:t>
      </w:r>
    </w:p>
    <w:p w14:paraId="76465ACE" w14:textId="77777777" w:rsidR="00843B52" w:rsidRPr="00FD09A6" w:rsidRDefault="00843B52" w:rsidP="00843B52">
      <w:pPr>
        <w:pStyle w:val="SingleTxtG"/>
        <w:ind w:left="2268" w:hanging="567"/>
      </w:pPr>
      <w:r w:rsidRPr="00FD09A6">
        <w:t>(d)</w:t>
      </w:r>
      <w:r w:rsidRPr="00FD09A6">
        <w:tab/>
        <w:t>When self-heating is detected, the sample is allowed to heat up under adiabatic conditions to a pre-set temperature, at which point the cooling system is activated or the oven temperature has reached its limit;</w:t>
      </w:r>
    </w:p>
    <w:p w14:paraId="041694DD" w14:textId="77777777" w:rsidR="00843B52" w:rsidRPr="00FD09A6" w:rsidRDefault="00843B52" w:rsidP="00843B52">
      <w:pPr>
        <w:pStyle w:val="SingleTxtG"/>
        <w:ind w:left="2268" w:hanging="567"/>
      </w:pPr>
      <w:r w:rsidRPr="00FD09A6">
        <w:tab/>
        <w:t>For the open version this temperature should be set so that the rate of heat generation does not exceed the cooling capacity of the system;</w:t>
      </w:r>
    </w:p>
    <w:p w14:paraId="715997DB" w14:textId="77777777" w:rsidR="00843B52" w:rsidRPr="00FD09A6" w:rsidRDefault="00843B52" w:rsidP="00843B52">
      <w:pPr>
        <w:pStyle w:val="SingleTxtG"/>
        <w:ind w:left="2268" w:hanging="567"/>
      </w:pPr>
      <w:r w:rsidRPr="00FD09A6">
        <w:tab/>
        <w:t>For the closed version this temperature is usually a pre-set maximum oven temperature. The sample may exceed this temperature under non-adiabatic conditions.”.</w:t>
      </w:r>
    </w:p>
    <w:p w14:paraId="2B1030A4" w14:textId="73051980" w:rsidR="00F477B6" w:rsidRDefault="00F477B6" w:rsidP="00843B52">
      <w:pPr>
        <w:pStyle w:val="SingleTxtG"/>
        <w:tabs>
          <w:tab w:val="left" w:pos="2268"/>
        </w:tabs>
        <w:ind w:left="2268" w:hanging="1134"/>
      </w:pPr>
      <w:r>
        <w:t>28.4.2.4.1</w:t>
      </w:r>
      <w:r w:rsidR="005C5366">
        <w:tab/>
        <w:t>Replace “</w:t>
      </w:r>
      <w:r w:rsidR="005C5366" w:rsidRPr="003431AB">
        <w:t>°C/h</w:t>
      </w:r>
      <w:r w:rsidR="005C5366">
        <w:t>”</w:t>
      </w:r>
      <w:r w:rsidR="000F38F0">
        <w:t xml:space="preserve"> by “K/h”.</w:t>
      </w:r>
    </w:p>
    <w:p w14:paraId="1523A7E5" w14:textId="58E8C3F2" w:rsidR="00843B52" w:rsidRDefault="00843B52" w:rsidP="00843B52">
      <w:pPr>
        <w:pStyle w:val="SingleTxtG"/>
        <w:tabs>
          <w:tab w:val="left" w:pos="2268"/>
        </w:tabs>
        <w:ind w:left="2268" w:hanging="1134"/>
      </w:pPr>
      <w:r w:rsidRPr="00FD09A6">
        <w:t>28.4.2.4.2</w:t>
      </w:r>
      <w:r w:rsidRPr="00FD09A6">
        <w:tab/>
      </w:r>
      <w:r w:rsidR="005E6677" w:rsidRPr="00074038">
        <w:t>In the first sentence, replace “J/°C” by “J/K”.</w:t>
      </w:r>
      <w:r w:rsidR="00736894">
        <w:t xml:space="preserve"> </w:t>
      </w:r>
      <w:r>
        <w:t>F</w:t>
      </w:r>
      <w:r w:rsidRPr="00C66C7D">
        <w:t>or “A” and “B”</w:t>
      </w:r>
      <w:r>
        <w:t>,</w:t>
      </w:r>
      <w:r w:rsidRPr="00C66C7D">
        <w:t xml:space="preserve"> replace the units by “K/h” and for Cp</w:t>
      </w:r>
      <w:r>
        <w:t>₁</w:t>
      </w:r>
      <w:r w:rsidRPr="00C66C7D">
        <w:t xml:space="preserve"> </w:t>
      </w:r>
      <w:r>
        <w:t>by</w:t>
      </w:r>
      <w:r w:rsidRPr="00C66C7D">
        <w:t xml:space="preserve"> “J/</w:t>
      </w:r>
      <w:proofErr w:type="spellStart"/>
      <w:r w:rsidRPr="00C66C7D">
        <w:t>K</w:t>
      </w:r>
      <w:r>
        <w:t>·</w:t>
      </w:r>
      <w:r w:rsidRPr="00C66C7D">
        <w:t>kg</w:t>
      </w:r>
      <w:proofErr w:type="spellEnd"/>
      <w:r w:rsidRPr="00C66C7D">
        <w:t>”.</w:t>
      </w:r>
      <w:r>
        <w:t xml:space="preserve"> </w:t>
      </w:r>
      <w:r w:rsidRPr="00FD09A6">
        <w:t xml:space="preserve">For </w:t>
      </w:r>
      <w:r>
        <w:t>“</w:t>
      </w:r>
      <w:r w:rsidRPr="00FD09A6">
        <w:t>B</w:t>
      </w:r>
      <w:r>
        <w:t>”</w:t>
      </w:r>
      <w:r w:rsidRPr="00FD09A6">
        <w:t xml:space="preserve">, </w:t>
      </w:r>
      <w:r>
        <w:t>“</w:t>
      </w:r>
      <w:r w:rsidRPr="00FD09A6">
        <w:t>M</w:t>
      </w:r>
      <w:r>
        <w:t>₁”</w:t>
      </w:r>
      <w:r w:rsidRPr="00FD09A6">
        <w:rPr>
          <w:vertAlign w:val="subscript"/>
        </w:rPr>
        <w:t xml:space="preserve"> </w:t>
      </w:r>
      <w:r w:rsidRPr="00FD09A6">
        <w:t>and</w:t>
      </w:r>
      <w:r w:rsidRPr="00FD09A6">
        <w:rPr>
          <w:vertAlign w:val="subscript"/>
        </w:rPr>
        <w:t xml:space="preserve"> </w:t>
      </w:r>
      <w:r>
        <w:t>“</w:t>
      </w:r>
      <w:r w:rsidRPr="00FD09A6">
        <w:t>Cp</w:t>
      </w:r>
      <w:r>
        <w:t>₁”,</w:t>
      </w:r>
      <w:r w:rsidRPr="00FD09A6">
        <w:t xml:space="preserve"> replace “calibration” by “validation”.</w:t>
      </w:r>
    </w:p>
    <w:p w14:paraId="59A11F35" w14:textId="41A78E86" w:rsidR="00FE0175" w:rsidRDefault="00FE0175" w:rsidP="00854254">
      <w:pPr>
        <w:pStyle w:val="SingleTxtG"/>
        <w:tabs>
          <w:tab w:val="left" w:pos="2268"/>
        </w:tabs>
        <w:ind w:left="2268" w:hanging="1134"/>
      </w:pPr>
      <w:r w:rsidRPr="00074038">
        <w:t>28.</w:t>
      </w:r>
      <w:r w:rsidR="00390759" w:rsidRPr="00074038">
        <w:t>4.2.4.4</w:t>
      </w:r>
      <w:r w:rsidR="00390759" w:rsidRPr="00074038">
        <w:tab/>
      </w:r>
      <w:r w:rsidR="00D156FB" w:rsidRPr="00074038">
        <w:t>In the first sentence, r</w:t>
      </w:r>
      <w:r w:rsidR="00390759" w:rsidRPr="00074038">
        <w:t>eplace</w:t>
      </w:r>
      <w:r w:rsidR="00D156FB" w:rsidRPr="00074038">
        <w:t xml:space="preserve"> “J/</w:t>
      </w:r>
      <w:proofErr w:type="spellStart"/>
      <w:r w:rsidR="00D156FB" w:rsidRPr="00074038">
        <w:t>kg.°C</w:t>
      </w:r>
      <w:proofErr w:type="spellEnd"/>
      <w:r w:rsidR="00D156FB" w:rsidRPr="00074038">
        <w:t>” by “</w:t>
      </w:r>
      <w:r w:rsidR="00164D2B" w:rsidRPr="00074038">
        <w:t>J/</w:t>
      </w:r>
      <w:proofErr w:type="spellStart"/>
      <w:r w:rsidR="00164D2B" w:rsidRPr="00074038">
        <w:t>K·kg</w:t>
      </w:r>
      <w:proofErr w:type="spellEnd"/>
      <w:r w:rsidR="00164D2B" w:rsidRPr="00074038">
        <w:t>”. For “C”, repla</w:t>
      </w:r>
      <w:r w:rsidR="00854254" w:rsidRPr="00074038">
        <w:t>ce “°C/h” by “K/h”.</w:t>
      </w:r>
    </w:p>
    <w:p w14:paraId="13ECAF12" w14:textId="15D9A524" w:rsidR="00843B52" w:rsidRPr="00843A49" w:rsidRDefault="00843B52" w:rsidP="00843B52">
      <w:pPr>
        <w:pStyle w:val="SingleTxtG"/>
      </w:pPr>
      <w:r w:rsidRPr="00843A49">
        <w:t>28.4.2.4.5</w:t>
      </w:r>
      <w:r w:rsidRPr="00843A49">
        <w:tab/>
      </w:r>
      <w:r>
        <w:t>R</w:t>
      </w:r>
      <w:r w:rsidRPr="00843A49">
        <w:t xml:space="preserve">eplace the unit for “D” </w:t>
      </w:r>
      <w:r>
        <w:t xml:space="preserve">by </w:t>
      </w:r>
      <w:r w:rsidRPr="00843A49">
        <w:t>“K/h”.</w:t>
      </w:r>
    </w:p>
    <w:p w14:paraId="2DBD6A03" w14:textId="77777777" w:rsidR="00843B52" w:rsidRPr="0005381F" w:rsidRDefault="00843B52" w:rsidP="0005381F">
      <w:pPr>
        <w:pStyle w:val="SingleTxtG"/>
        <w:tabs>
          <w:tab w:val="left" w:pos="2268"/>
        </w:tabs>
        <w:ind w:left="2268" w:hanging="1134"/>
      </w:pPr>
      <w:r w:rsidRPr="0005381F">
        <w:lastRenderedPageBreak/>
        <w:t>28.4.2.4.6</w:t>
      </w:r>
      <w:r w:rsidRPr="0005381F">
        <w:tab/>
        <w:t>In the first sentence insert “(QT)” after “per unit of mass”. In the second sentence, replace the unit of “L” by “W/</w:t>
      </w:r>
      <w:proofErr w:type="spellStart"/>
      <w:r w:rsidRPr="0005381F">
        <w:t>K·kg</w:t>
      </w:r>
      <w:proofErr w:type="spellEnd"/>
      <w:r w:rsidRPr="0005381F">
        <w:t>”.</w:t>
      </w:r>
    </w:p>
    <w:p w14:paraId="3F59E30B" w14:textId="74EEC685" w:rsidR="008C73F1" w:rsidRDefault="00843B52" w:rsidP="00843B52">
      <w:pPr>
        <w:pStyle w:val="SingleTxtG"/>
        <w:tabs>
          <w:tab w:val="left" w:pos="2268"/>
        </w:tabs>
        <w:ind w:left="2268" w:hanging="1134"/>
      </w:pPr>
      <w:r w:rsidRPr="00FD09A6">
        <w:t>28.4.2.5</w:t>
      </w:r>
      <w:r w:rsidRPr="00FD09A6">
        <w:tab/>
      </w:r>
      <w:r w:rsidR="00D14392" w:rsidRPr="0074789B">
        <w:t xml:space="preserve">In the heading of the table, </w:t>
      </w:r>
      <w:r w:rsidR="005D090D">
        <w:t xml:space="preserve">fourth column, </w:t>
      </w:r>
      <w:r w:rsidR="00D14392" w:rsidRPr="0074789B">
        <w:t>replace “</w:t>
      </w:r>
      <w:proofErr w:type="spellStart"/>
      <w:r w:rsidR="00D14392" w:rsidRPr="0074789B">
        <w:t>mW</w:t>
      </w:r>
      <w:proofErr w:type="spellEnd"/>
      <w:r w:rsidR="00D14392" w:rsidRPr="0074789B">
        <w:t>/</w:t>
      </w:r>
      <w:proofErr w:type="spellStart"/>
      <w:r w:rsidR="00D14392" w:rsidRPr="0074789B">
        <w:t>kg.K</w:t>
      </w:r>
      <w:proofErr w:type="spellEnd"/>
      <w:r w:rsidR="00D14392" w:rsidRPr="0074789B">
        <w:t>” by “</w:t>
      </w:r>
      <w:proofErr w:type="spellStart"/>
      <w:r w:rsidR="00D14392" w:rsidRPr="0074789B">
        <w:t>mW</w:t>
      </w:r>
      <w:proofErr w:type="spellEnd"/>
      <w:r w:rsidR="00D14392" w:rsidRPr="0074789B">
        <w:t>/</w:t>
      </w:r>
      <w:proofErr w:type="spellStart"/>
      <w:r w:rsidR="00D14392" w:rsidRPr="0074789B">
        <w:t>K·kg</w:t>
      </w:r>
      <w:proofErr w:type="spellEnd"/>
      <w:r w:rsidR="00D14392" w:rsidRPr="0074789B">
        <w:t>”.</w:t>
      </w:r>
    </w:p>
    <w:p w14:paraId="5698C064" w14:textId="7667E97F" w:rsidR="00843B52" w:rsidRPr="00FD09A6" w:rsidRDefault="008C73F1" w:rsidP="00843B52">
      <w:pPr>
        <w:pStyle w:val="SingleTxtG"/>
        <w:tabs>
          <w:tab w:val="left" w:pos="2268"/>
        </w:tabs>
        <w:ind w:left="2268" w:hanging="1134"/>
      </w:pPr>
      <w:r>
        <w:tab/>
      </w:r>
      <w:r w:rsidR="00843B52" w:rsidRPr="00FD09A6">
        <w:t>Insert a reference to note “a” against the name of the substances currently listed in the table and add a new row at the end as follows:</w:t>
      </w:r>
    </w:p>
    <w:tbl>
      <w:tblPr>
        <w:tblW w:w="7720" w:type="dxa"/>
        <w:tblInd w:w="1134" w:type="dxa"/>
        <w:tblCellMar>
          <w:left w:w="120" w:type="dxa"/>
          <w:right w:w="120" w:type="dxa"/>
        </w:tblCellMar>
        <w:tblLook w:val="0000" w:firstRow="0" w:lastRow="0" w:firstColumn="0" w:lastColumn="0" w:noHBand="0" w:noVBand="0"/>
      </w:tblPr>
      <w:tblGrid>
        <w:gridCol w:w="2125"/>
        <w:gridCol w:w="993"/>
        <w:gridCol w:w="1135"/>
        <w:gridCol w:w="2125"/>
        <w:gridCol w:w="1342"/>
      </w:tblGrid>
      <w:tr w:rsidR="00843B52" w:rsidRPr="00FD09A6" w14:paraId="2CCCFF86" w14:textId="77777777" w:rsidTr="00CB212B">
        <w:trPr>
          <w:cantSplit/>
        </w:trPr>
        <w:tc>
          <w:tcPr>
            <w:tcW w:w="1376" w:type="pct"/>
            <w:tcBorders>
              <w:top w:val="single" w:sz="8" w:space="0" w:color="auto"/>
              <w:bottom w:val="single" w:sz="8" w:space="0" w:color="auto"/>
            </w:tcBorders>
          </w:tcPr>
          <w:p w14:paraId="3D19AB39" w14:textId="77777777" w:rsidR="00843B52" w:rsidRPr="00FD09A6" w:rsidRDefault="00843B52" w:rsidP="00CB212B">
            <w:pPr>
              <w:pStyle w:val="MTabTxt"/>
              <w:rPr>
                <w:b/>
                <w:bCs/>
                <w:sz w:val="20"/>
                <w:szCs w:val="20"/>
              </w:rPr>
            </w:pPr>
            <w:r w:rsidRPr="00FD09A6">
              <w:rPr>
                <w:b/>
                <w:bCs/>
                <w:sz w:val="20"/>
                <w:szCs w:val="20"/>
              </w:rPr>
              <w:t>Substance</w:t>
            </w:r>
          </w:p>
        </w:tc>
        <w:tc>
          <w:tcPr>
            <w:tcW w:w="643" w:type="pct"/>
            <w:tcBorders>
              <w:top w:val="single" w:sz="8" w:space="0" w:color="auto"/>
              <w:bottom w:val="single" w:sz="8" w:space="0" w:color="auto"/>
            </w:tcBorders>
          </w:tcPr>
          <w:p w14:paraId="1CCA7CF4" w14:textId="77777777" w:rsidR="00843B52" w:rsidRPr="00FD09A6" w:rsidRDefault="00843B52" w:rsidP="00CB212B">
            <w:pPr>
              <w:pStyle w:val="MTabTxt"/>
              <w:jc w:val="right"/>
              <w:rPr>
                <w:b/>
                <w:bCs/>
                <w:sz w:val="20"/>
                <w:szCs w:val="20"/>
              </w:rPr>
            </w:pPr>
            <w:r w:rsidRPr="00FD09A6">
              <w:rPr>
                <w:b/>
                <w:bCs/>
                <w:sz w:val="20"/>
                <w:szCs w:val="20"/>
              </w:rPr>
              <w:t xml:space="preserve">Mass </w:t>
            </w:r>
            <w:r w:rsidRPr="00FD09A6">
              <w:rPr>
                <w:b/>
                <w:bCs/>
                <w:sz w:val="20"/>
                <w:szCs w:val="20"/>
              </w:rPr>
              <w:br/>
              <w:t>(kg)</w:t>
            </w:r>
          </w:p>
        </w:tc>
        <w:tc>
          <w:tcPr>
            <w:tcW w:w="735" w:type="pct"/>
            <w:tcBorders>
              <w:top w:val="single" w:sz="8" w:space="0" w:color="auto"/>
              <w:bottom w:val="single" w:sz="8" w:space="0" w:color="auto"/>
            </w:tcBorders>
          </w:tcPr>
          <w:p w14:paraId="1F286EEA" w14:textId="77777777" w:rsidR="00843B52" w:rsidRPr="00FD09A6" w:rsidRDefault="00843B52" w:rsidP="00CB212B">
            <w:pPr>
              <w:pStyle w:val="MTabTxt"/>
              <w:rPr>
                <w:b/>
                <w:bCs/>
                <w:sz w:val="20"/>
                <w:szCs w:val="20"/>
              </w:rPr>
            </w:pPr>
            <w:r w:rsidRPr="00FD09A6">
              <w:rPr>
                <w:b/>
                <w:bCs/>
                <w:sz w:val="20"/>
                <w:szCs w:val="20"/>
              </w:rPr>
              <w:t>Packaging</w:t>
            </w:r>
          </w:p>
        </w:tc>
        <w:tc>
          <w:tcPr>
            <w:tcW w:w="1376" w:type="pct"/>
            <w:tcBorders>
              <w:top w:val="single" w:sz="8" w:space="0" w:color="auto"/>
              <w:bottom w:val="single" w:sz="8" w:space="0" w:color="auto"/>
            </w:tcBorders>
          </w:tcPr>
          <w:p w14:paraId="6D33CB6A" w14:textId="77777777" w:rsidR="00843B52" w:rsidRPr="00FD09A6" w:rsidRDefault="00843B52" w:rsidP="00CB212B">
            <w:pPr>
              <w:pStyle w:val="MTabTxt"/>
              <w:jc w:val="right"/>
              <w:rPr>
                <w:b/>
                <w:bCs/>
                <w:sz w:val="20"/>
                <w:szCs w:val="20"/>
              </w:rPr>
            </w:pPr>
            <w:r w:rsidRPr="00FD09A6">
              <w:rPr>
                <w:b/>
                <w:bCs/>
                <w:sz w:val="20"/>
                <w:szCs w:val="20"/>
              </w:rPr>
              <w:t>Heat loss per unit mass (</w:t>
            </w:r>
            <w:proofErr w:type="spellStart"/>
            <w:r w:rsidRPr="00FD09A6">
              <w:rPr>
                <w:b/>
                <w:bCs/>
                <w:sz w:val="20"/>
                <w:szCs w:val="20"/>
              </w:rPr>
              <w:t>mW</w:t>
            </w:r>
            <w:proofErr w:type="spellEnd"/>
            <w:r w:rsidRPr="00FD09A6">
              <w:rPr>
                <w:b/>
                <w:bCs/>
                <w:sz w:val="20"/>
                <w:szCs w:val="20"/>
              </w:rPr>
              <w:t>/</w:t>
            </w:r>
            <w:proofErr w:type="spellStart"/>
            <w:r>
              <w:rPr>
                <w:b/>
                <w:bCs/>
                <w:sz w:val="20"/>
                <w:szCs w:val="20"/>
              </w:rPr>
              <w:t>K·</w:t>
            </w:r>
            <w:r w:rsidRPr="00FD09A6">
              <w:rPr>
                <w:b/>
                <w:bCs/>
                <w:sz w:val="20"/>
                <w:szCs w:val="20"/>
              </w:rPr>
              <w:t>kg</w:t>
            </w:r>
            <w:proofErr w:type="spellEnd"/>
            <w:r w:rsidRPr="00FD09A6">
              <w:rPr>
                <w:b/>
                <w:bCs/>
                <w:sz w:val="20"/>
                <w:szCs w:val="20"/>
              </w:rPr>
              <w:t>)</w:t>
            </w:r>
          </w:p>
        </w:tc>
        <w:tc>
          <w:tcPr>
            <w:tcW w:w="869" w:type="pct"/>
            <w:tcBorders>
              <w:top w:val="single" w:sz="8" w:space="0" w:color="auto"/>
              <w:bottom w:val="single" w:sz="8" w:space="0" w:color="auto"/>
            </w:tcBorders>
          </w:tcPr>
          <w:p w14:paraId="770F9B7D" w14:textId="77777777" w:rsidR="00843B52" w:rsidRPr="00FD09A6" w:rsidRDefault="00843B52" w:rsidP="00CB212B">
            <w:pPr>
              <w:pStyle w:val="MTabTxt"/>
              <w:jc w:val="right"/>
              <w:rPr>
                <w:b/>
                <w:bCs/>
                <w:sz w:val="20"/>
                <w:szCs w:val="20"/>
              </w:rPr>
            </w:pPr>
            <w:r w:rsidRPr="00FD09A6">
              <w:rPr>
                <w:b/>
                <w:bCs/>
                <w:sz w:val="20"/>
                <w:szCs w:val="20"/>
              </w:rPr>
              <w:t xml:space="preserve">SADT/SAPT </w:t>
            </w:r>
            <w:r w:rsidRPr="00FD09A6">
              <w:rPr>
                <w:b/>
                <w:bCs/>
                <w:sz w:val="20"/>
                <w:szCs w:val="20"/>
              </w:rPr>
              <w:br/>
              <w:t>(°C)</w:t>
            </w:r>
          </w:p>
        </w:tc>
      </w:tr>
      <w:tr w:rsidR="00843B52" w:rsidRPr="00FD09A6" w14:paraId="6470CD9F" w14:textId="77777777" w:rsidTr="00CB212B">
        <w:trPr>
          <w:cantSplit/>
        </w:trPr>
        <w:tc>
          <w:tcPr>
            <w:tcW w:w="1376" w:type="pct"/>
            <w:tcBorders>
              <w:bottom w:val="single" w:sz="4" w:space="0" w:color="auto"/>
            </w:tcBorders>
          </w:tcPr>
          <w:p w14:paraId="4F738DEC" w14:textId="77777777" w:rsidR="00843B52" w:rsidRPr="00FD09A6" w:rsidRDefault="00843B52" w:rsidP="00CB212B">
            <w:pPr>
              <w:pStyle w:val="MTabTxt"/>
              <w:rPr>
                <w:bCs/>
                <w:sz w:val="20"/>
                <w:szCs w:val="20"/>
              </w:rPr>
            </w:pPr>
            <w:r w:rsidRPr="00FD09A6">
              <w:rPr>
                <w:sz w:val="20"/>
                <w:szCs w:val="20"/>
              </w:rPr>
              <w:t>N-</w:t>
            </w:r>
            <w:proofErr w:type="spellStart"/>
            <w:r w:rsidRPr="00FD09A6">
              <w:rPr>
                <w:sz w:val="20"/>
                <w:szCs w:val="20"/>
              </w:rPr>
              <w:t>Vinylformamide</w:t>
            </w:r>
            <w:proofErr w:type="spellEnd"/>
          </w:p>
        </w:tc>
        <w:tc>
          <w:tcPr>
            <w:tcW w:w="643" w:type="pct"/>
            <w:tcBorders>
              <w:bottom w:val="single" w:sz="4" w:space="0" w:color="auto"/>
            </w:tcBorders>
            <w:vAlign w:val="bottom"/>
          </w:tcPr>
          <w:p w14:paraId="1F187333" w14:textId="77777777" w:rsidR="00843B52" w:rsidRPr="00FD09A6" w:rsidRDefault="00843B52" w:rsidP="00CB212B">
            <w:pPr>
              <w:pStyle w:val="MTabTxt"/>
              <w:jc w:val="right"/>
              <w:rPr>
                <w:bCs/>
                <w:sz w:val="20"/>
                <w:szCs w:val="20"/>
              </w:rPr>
            </w:pPr>
            <w:r w:rsidRPr="00FD09A6">
              <w:rPr>
                <w:sz w:val="20"/>
                <w:szCs w:val="20"/>
              </w:rPr>
              <w:t>1000</w:t>
            </w:r>
          </w:p>
        </w:tc>
        <w:tc>
          <w:tcPr>
            <w:tcW w:w="735" w:type="pct"/>
            <w:tcBorders>
              <w:bottom w:val="single" w:sz="4" w:space="0" w:color="auto"/>
            </w:tcBorders>
          </w:tcPr>
          <w:p w14:paraId="0808248D" w14:textId="77777777" w:rsidR="00843B52" w:rsidRPr="00FD09A6" w:rsidRDefault="00843B52" w:rsidP="00CB212B">
            <w:pPr>
              <w:pStyle w:val="MTabTxt"/>
              <w:rPr>
                <w:bCs/>
                <w:sz w:val="20"/>
                <w:szCs w:val="20"/>
              </w:rPr>
            </w:pPr>
            <w:r w:rsidRPr="00FD09A6">
              <w:rPr>
                <w:sz w:val="20"/>
                <w:szCs w:val="20"/>
              </w:rPr>
              <w:t>31H1</w:t>
            </w:r>
          </w:p>
        </w:tc>
        <w:tc>
          <w:tcPr>
            <w:tcW w:w="1376" w:type="pct"/>
            <w:tcBorders>
              <w:bottom w:val="single" w:sz="4" w:space="0" w:color="auto"/>
            </w:tcBorders>
          </w:tcPr>
          <w:p w14:paraId="3B6EF177" w14:textId="77777777" w:rsidR="00843B52" w:rsidRPr="00FD09A6" w:rsidRDefault="00843B52" w:rsidP="00CB212B">
            <w:pPr>
              <w:pStyle w:val="MTabTxt"/>
              <w:jc w:val="right"/>
              <w:rPr>
                <w:bCs/>
                <w:sz w:val="20"/>
                <w:szCs w:val="20"/>
              </w:rPr>
            </w:pPr>
            <w:r w:rsidRPr="00FD09A6">
              <w:rPr>
                <w:sz w:val="20"/>
                <w:szCs w:val="20"/>
              </w:rPr>
              <w:t>33</w:t>
            </w:r>
          </w:p>
        </w:tc>
        <w:tc>
          <w:tcPr>
            <w:tcW w:w="869" w:type="pct"/>
            <w:tcBorders>
              <w:bottom w:val="single" w:sz="4" w:space="0" w:color="auto"/>
            </w:tcBorders>
            <w:vAlign w:val="bottom"/>
          </w:tcPr>
          <w:p w14:paraId="2A323D92" w14:textId="77777777" w:rsidR="00843B52" w:rsidRPr="00FD09A6" w:rsidRDefault="00843B52" w:rsidP="00CB212B">
            <w:pPr>
              <w:pStyle w:val="MTabTxt"/>
              <w:jc w:val="right"/>
              <w:rPr>
                <w:bCs/>
                <w:sz w:val="20"/>
                <w:szCs w:val="20"/>
              </w:rPr>
            </w:pPr>
            <w:r w:rsidRPr="00FD09A6">
              <w:rPr>
                <w:sz w:val="20"/>
                <w:szCs w:val="20"/>
              </w:rPr>
              <w:t>55</w:t>
            </w:r>
          </w:p>
        </w:tc>
      </w:tr>
    </w:tbl>
    <w:p w14:paraId="568D46D2" w14:textId="77777777" w:rsidR="00843B52" w:rsidRPr="00FD09A6" w:rsidRDefault="00843B52" w:rsidP="00843B52">
      <w:pPr>
        <w:numPr>
          <w:ilvl w:val="12"/>
          <w:numId w:val="0"/>
        </w:numPr>
        <w:tabs>
          <w:tab w:val="left" w:pos="1134"/>
          <w:tab w:val="left" w:pos="1701"/>
          <w:tab w:val="left" w:pos="2268"/>
          <w:tab w:val="left" w:pos="2835"/>
          <w:tab w:val="left" w:pos="3402"/>
          <w:tab w:val="left" w:pos="3969"/>
        </w:tabs>
        <w:jc w:val="both"/>
      </w:pPr>
    </w:p>
    <w:p w14:paraId="04E2BC03" w14:textId="77777777" w:rsidR="00843B52" w:rsidRPr="00FD09A6" w:rsidRDefault="00843B52" w:rsidP="00843B52">
      <w:pPr>
        <w:pStyle w:val="SingleTxtG"/>
        <w:tabs>
          <w:tab w:val="left" w:pos="2268"/>
        </w:tabs>
      </w:pPr>
      <w:r w:rsidRPr="00FD09A6">
        <w:tab/>
        <w:t xml:space="preserve">Add the following note “a” under the table: </w:t>
      </w:r>
    </w:p>
    <w:p w14:paraId="09536AC7" w14:textId="77777777" w:rsidR="00843B52" w:rsidRPr="00FD09A6" w:rsidRDefault="00843B52" w:rsidP="009E46C3">
      <w:pPr>
        <w:pStyle w:val="SingleTxtG"/>
        <w:rPr>
          <w:i/>
          <w:iCs/>
        </w:rPr>
      </w:pPr>
      <w:r w:rsidRPr="00FD09A6">
        <w:rPr>
          <w:i/>
          <w:iCs/>
          <w:vertAlign w:val="superscript"/>
        </w:rPr>
        <w:t>“</w:t>
      </w:r>
      <w:proofErr w:type="spellStart"/>
      <w:r w:rsidRPr="00FD09A6">
        <w:rPr>
          <w:i/>
          <w:iCs/>
          <w:vertAlign w:val="superscript"/>
        </w:rPr>
        <w:t>a</w:t>
      </w:r>
      <w:proofErr w:type="spellEnd"/>
      <w:r w:rsidRPr="00FD09A6">
        <w:rPr>
          <w:i/>
          <w:iCs/>
          <w:vertAlign w:val="superscript"/>
        </w:rPr>
        <w:t xml:space="preserve"> </w:t>
      </w:r>
      <w:r w:rsidRPr="00FD09A6">
        <w:rPr>
          <w:i/>
          <w:iCs/>
          <w:vertAlign w:val="superscript"/>
        </w:rPr>
        <w:tab/>
      </w:r>
      <w:r w:rsidRPr="00FD09A6">
        <w:rPr>
          <w:i/>
          <w:iCs/>
        </w:rPr>
        <w:t>These historical examples were determined using heat losses that are higher than those currently recommended for classification purposes (see table 28.4).”.</w:t>
      </w:r>
    </w:p>
    <w:p w14:paraId="603403CC" w14:textId="77777777" w:rsidR="00843B52" w:rsidRPr="00FD09A6" w:rsidRDefault="00843B52" w:rsidP="00843B52">
      <w:pPr>
        <w:pStyle w:val="SingleTxtG"/>
      </w:pPr>
      <w:r w:rsidRPr="00FD09A6">
        <w:t>Figure 28.4.2.2</w:t>
      </w:r>
      <w:r w:rsidRPr="00FD09A6">
        <w:tab/>
        <w:t>Replace with the following:</w:t>
      </w:r>
    </w:p>
    <w:p w14:paraId="46828918" w14:textId="77777777" w:rsidR="00843B52" w:rsidRPr="00FD09A6" w:rsidRDefault="00843B52" w:rsidP="00843B52">
      <w:pPr>
        <w:keepNext/>
        <w:keepLines/>
        <w:numPr>
          <w:ilvl w:val="12"/>
          <w:numId w:val="0"/>
        </w:numPr>
        <w:tabs>
          <w:tab w:val="left" w:pos="1134"/>
          <w:tab w:val="left" w:pos="1701"/>
          <w:tab w:val="left" w:pos="2268"/>
          <w:tab w:val="left" w:pos="2835"/>
          <w:tab w:val="left" w:pos="3402"/>
          <w:tab w:val="left" w:pos="3969"/>
        </w:tabs>
        <w:jc w:val="center"/>
        <w:rPr>
          <w:rStyle w:val="SingleTxtGChar"/>
          <w:b/>
          <w:bCs/>
        </w:rPr>
      </w:pPr>
      <w:r w:rsidRPr="00FD09A6">
        <w:rPr>
          <w:rStyle w:val="SingleTxtGChar"/>
          <w:bCs/>
        </w:rPr>
        <w:t>“</w:t>
      </w:r>
      <w:r w:rsidRPr="00843B52">
        <w:rPr>
          <w:rStyle w:val="SingleTxtGChar"/>
          <w:b/>
        </w:rPr>
        <w:t>Figure 28.4.2.2: Example of determination of SADT or SAPT</w:t>
      </w:r>
    </w:p>
    <w:bookmarkStart w:id="4" w:name="_Hlk35359022"/>
    <w:p w14:paraId="18D22B59" w14:textId="77777777" w:rsidR="00843B52" w:rsidRPr="00FD09A6" w:rsidRDefault="00843B52" w:rsidP="00843B52">
      <w:pPr>
        <w:keepNext/>
        <w:keepLines/>
        <w:numPr>
          <w:ilvl w:val="12"/>
          <w:numId w:val="0"/>
        </w:numPr>
        <w:tabs>
          <w:tab w:val="left" w:pos="1134"/>
          <w:tab w:val="left" w:pos="1701"/>
          <w:tab w:val="left" w:pos="2268"/>
          <w:tab w:val="left" w:pos="2835"/>
          <w:tab w:val="left" w:pos="3402"/>
          <w:tab w:val="left" w:pos="3969"/>
        </w:tabs>
        <w:jc w:val="center"/>
        <w:rPr>
          <w:rStyle w:val="SingleTxtGChar"/>
          <w:b/>
          <w:bCs/>
        </w:rPr>
      </w:pPr>
      <w:r w:rsidRPr="00FD09A6">
        <w:object w:dxaOrig="5986" w:dyaOrig="5131" w14:anchorId="46C8266A">
          <v:shape id="_x0000_i1026" type="#_x0000_t75" style="width:330.05pt;height:282.3pt" o:ole="">
            <v:imagedata r:id="rId20" o:title=""/>
          </v:shape>
          <o:OLEObject Type="Embed" ProgID="Visio.Drawing.15" ShapeID="_x0000_i1026" DrawAspect="Content" ObjectID="_1678018544" r:id="rId21"/>
        </w:object>
      </w:r>
      <w:bookmarkEnd w:id="4"/>
    </w:p>
    <w:tbl>
      <w:tblPr>
        <w:tblStyle w:val="TableGrid"/>
        <w:tblW w:w="8504"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3"/>
        <w:gridCol w:w="16"/>
        <w:gridCol w:w="3431"/>
        <w:gridCol w:w="105"/>
        <w:gridCol w:w="473"/>
        <w:gridCol w:w="117"/>
        <w:gridCol w:w="3417"/>
        <w:gridCol w:w="22"/>
      </w:tblGrid>
      <w:tr w:rsidR="00843B52" w:rsidRPr="00FD09A6" w14:paraId="31DBCEA5" w14:textId="77777777" w:rsidTr="00CB212B">
        <w:trPr>
          <w:gridAfter w:val="1"/>
          <w:wAfter w:w="26" w:type="dxa"/>
          <w:trHeight w:hRule="exact" w:val="113"/>
        </w:trPr>
        <w:tc>
          <w:tcPr>
            <w:tcW w:w="1153" w:type="dxa"/>
            <w:gridSpan w:val="2"/>
            <w:shd w:val="clear" w:color="auto" w:fill="auto"/>
            <w:vAlign w:val="bottom"/>
          </w:tcPr>
          <w:p w14:paraId="51D5AFB3" w14:textId="77777777" w:rsidR="00843B52" w:rsidRPr="00FD09A6" w:rsidRDefault="00843B52" w:rsidP="00CB212B">
            <w:pPr>
              <w:spacing w:line="220" w:lineRule="exact"/>
              <w:rPr>
                <w:i/>
                <w:szCs w:val="24"/>
              </w:rPr>
            </w:pPr>
            <w:bookmarkStart w:id="5" w:name="_Hlk35359044"/>
          </w:p>
        </w:tc>
        <w:tc>
          <w:tcPr>
            <w:tcW w:w="4362" w:type="dxa"/>
            <w:gridSpan w:val="2"/>
            <w:shd w:val="clear" w:color="auto" w:fill="auto"/>
            <w:vAlign w:val="bottom"/>
          </w:tcPr>
          <w:p w14:paraId="0DC252FA" w14:textId="77777777" w:rsidR="00843B52" w:rsidRPr="00FD09A6" w:rsidRDefault="00843B52" w:rsidP="00CB212B">
            <w:pPr>
              <w:spacing w:line="220" w:lineRule="exact"/>
              <w:rPr>
                <w:i/>
                <w:szCs w:val="24"/>
              </w:rPr>
            </w:pPr>
          </w:p>
        </w:tc>
        <w:tc>
          <w:tcPr>
            <w:tcW w:w="724" w:type="dxa"/>
            <w:gridSpan w:val="2"/>
            <w:shd w:val="clear" w:color="auto" w:fill="auto"/>
            <w:vAlign w:val="bottom"/>
          </w:tcPr>
          <w:p w14:paraId="72F5F857" w14:textId="77777777" w:rsidR="00843B52" w:rsidRPr="00FD09A6" w:rsidRDefault="00843B52" w:rsidP="00CB212B">
            <w:pPr>
              <w:spacing w:line="220" w:lineRule="exact"/>
              <w:rPr>
                <w:i/>
                <w:szCs w:val="24"/>
              </w:rPr>
            </w:pPr>
          </w:p>
        </w:tc>
        <w:tc>
          <w:tcPr>
            <w:tcW w:w="4215" w:type="dxa"/>
            <w:shd w:val="clear" w:color="auto" w:fill="auto"/>
            <w:vAlign w:val="bottom"/>
          </w:tcPr>
          <w:p w14:paraId="6145124C" w14:textId="77777777" w:rsidR="00843B52" w:rsidRPr="00FD09A6" w:rsidRDefault="00843B52" w:rsidP="00CB212B">
            <w:pPr>
              <w:spacing w:line="220" w:lineRule="exact"/>
              <w:rPr>
                <w:iCs/>
                <w:szCs w:val="24"/>
              </w:rPr>
            </w:pPr>
          </w:p>
        </w:tc>
      </w:tr>
      <w:tr w:rsidR="00843B52" w:rsidRPr="00FD09A6" w14:paraId="55CF257D" w14:textId="77777777" w:rsidTr="00CB212B">
        <w:tc>
          <w:tcPr>
            <w:tcW w:w="1134" w:type="dxa"/>
            <w:shd w:val="clear" w:color="auto" w:fill="auto"/>
          </w:tcPr>
          <w:p w14:paraId="58934C08" w14:textId="77777777" w:rsidR="00843B52" w:rsidRPr="00FD09A6" w:rsidRDefault="00843B52" w:rsidP="00CB212B">
            <w:pPr>
              <w:spacing w:before="40" w:line="220" w:lineRule="exact"/>
              <w:rPr>
                <w:rFonts w:asciiTheme="majorBidi" w:hAnsiTheme="majorBidi" w:cstheme="majorBidi"/>
                <w:szCs w:val="24"/>
              </w:rPr>
            </w:pPr>
            <w:r w:rsidRPr="00FD09A6">
              <w:rPr>
                <w:rFonts w:asciiTheme="majorBidi" w:hAnsiTheme="majorBidi" w:cstheme="majorBidi"/>
                <w:noProof/>
                <w:szCs w:val="24"/>
              </w:rPr>
              <mc:AlternateContent>
                <mc:Choice Requires="wps">
                  <w:drawing>
                    <wp:anchor distT="0" distB="0" distL="114300" distR="114300" simplePos="0" relativeHeight="251658275" behindDoc="0" locked="0" layoutInCell="1" allowOverlap="1" wp14:anchorId="77E477CF" wp14:editId="12D5341E">
                      <wp:simplePos x="0" y="0"/>
                      <wp:positionH relativeFrom="column">
                        <wp:posOffset>20498</wp:posOffset>
                      </wp:positionH>
                      <wp:positionV relativeFrom="paragraph">
                        <wp:posOffset>71158</wp:posOffset>
                      </wp:positionV>
                      <wp:extent cx="52143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214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F82BAC7">
                    <v:line id="Straight Connector 9" style="position:absolute;z-index:2516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6pt,5.6pt" to="42.65pt,5.6pt" w14:anchorId="629151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">
                      <v:stroke dashstyle="longDashDot"/>
                    </v:line>
                  </w:pict>
                </mc:Fallback>
              </mc:AlternateContent>
            </w:r>
          </w:p>
        </w:tc>
        <w:tc>
          <w:tcPr>
            <w:tcW w:w="4253" w:type="dxa"/>
            <w:gridSpan w:val="2"/>
            <w:shd w:val="clear" w:color="auto" w:fill="auto"/>
          </w:tcPr>
          <w:p w14:paraId="25D8C2AC" w14:textId="77777777" w:rsidR="00843B52" w:rsidRPr="00FD09A6" w:rsidRDefault="00843B52" w:rsidP="00CB212B">
            <w:pPr>
              <w:spacing w:before="40" w:line="220" w:lineRule="exact"/>
              <w:rPr>
                <w:rFonts w:asciiTheme="majorBidi" w:hAnsiTheme="majorBidi" w:cstheme="majorBidi"/>
                <w:szCs w:val="24"/>
              </w:rPr>
            </w:pPr>
            <w:r w:rsidRPr="00FD09A6">
              <w:rPr>
                <w:rFonts w:asciiTheme="majorBidi" w:hAnsiTheme="majorBidi" w:cstheme="majorBidi"/>
                <w:szCs w:val="24"/>
              </w:rPr>
              <w:t>Heat generation curve</w:t>
            </w:r>
          </w:p>
        </w:tc>
        <w:tc>
          <w:tcPr>
            <w:tcW w:w="709" w:type="dxa"/>
            <w:gridSpan w:val="2"/>
            <w:shd w:val="clear" w:color="auto" w:fill="auto"/>
          </w:tcPr>
          <w:p w14:paraId="07B10C51" w14:textId="77777777" w:rsidR="00843B52" w:rsidRPr="00FD09A6" w:rsidRDefault="00843B52" w:rsidP="00CB212B">
            <w:pPr>
              <w:spacing w:before="40" w:line="220" w:lineRule="exact"/>
              <w:rPr>
                <w:rFonts w:asciiTheme="majorBidi" w:hAnsiTheme="majorBidi" w:cstheme="majorBidi"/>
                <w:szCs w:val="24"/>
              </w:rPr>
            </w:pPr>
            <w:r w:rsidRPr="00FD09A6">
              <w:rPr>
                <w:rFonts w:asciiTheme="majorBidi" w:hAnsiTheme="majorBidi" w:cstheme="majorBidi"/>
                <w:noProof/>
                <w:szCs w:val="24"/>
              </w:rPr>
              <mc:AlternateContent>
                <mc:Choice Requires="wps">
                  <w:drawing>
                    <wp:anchor distT="0" distB="0" distL="114300" distR="114300" simplePos="0" relativeHeight="251658276" behindDoc="0" locked="0" layoutInCell="1" allowOverlap="1" wp14:anchorId="183D2D4E" wp14:editId="7DFFCAF8">
                      <wp:simplePos x="0" y="0"/>
                      <wp:positionH relativeFrom="column">
                        <wp:posOffset>-5867</wp:posOffset>
                      </wp:positionH>
                      <wp:positionV relativeFrom="paragraph">
                        <wp:posOffset>70847</wp:posOffset>
                      </wp:positionV>
                      <wp:extent cx="2418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41825"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4DD0CD1">
                    <v:line id="Straight Connector 10" style="position:absolute;z-index:2516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45pt,5.6pt" to="18.6pt,5.6pt" w14:anchorId="0F813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"/>
                  </w:pict>
                </mc:Fallback>
              </mc:AlternateContent>
            </w:r>
          </w:p>
        </w:tc>
        <w:tc>
          <w:tcPr>
            <w:tcW w:w="4384" w:type="dxa"/>
            <w:gridSpan w:val="3"/>
            <w:shd w:val="clear" w:color="auto" w:fill="auto"/>
          </w:tcPr>
          <w:p w14:paraId="2E322C02" w14:textId="77777777" w:rsidR="00843B52" w:rsidRPr="00FD09A6" w:rsidRDefault="00843B52" w:rsidP="00CB212B">
            <w:pPr>
              <w:spacing w:before="40" w:line="220" w:lineRule="exact"/>
              <w:rPr>
                <w:rFonts w:asciiTheme="majorBidi" w:hAnsiTheme="majorBidi" w:cstheme="majorBidi"/>
                <w:szCs w:val="24"/>
              </w:rPr>
            </w:pPr>
            <w:r w:rsidRPr="00FD09A6">
              <w:rPr>
                <w:rFonts w:asciiTheme="majorBidi" w:hAnsiTheme="majorBidi" w:cstheme="majorBidi"/>
                <w:szCs w:val="24"/>
              </w:rPr>
              <w:t>Heat loss curve L = 0.06</w:t>
            </w:r>
            <w:r>
              <w:t> </w:t>
            </w:r>
            <w:r w:rsidRPr="00FD09A6">
              <w:rPr>
                <w:rFonts w:asciiTheme="majorBidi" w:hAnsiTheme="majorBidi" w:cstheme="majorBidi"/>
                <w:szCs w:val="24"/>
              </w:rPr>
              <w:t>W</w:t>
            </w:r>
            <w:r>
              <w:rPr>
                <w:rFonts w:asciiTheme="majorBidi" w:hAnsiTheme="majorBidi" w:cstheme="majorBidi"/>
                <w:szCs w:val="24"/>
              </w:rPr>
              <w:t>/</w:t>
            </w:r>
            <w:proofErr w:type="spellStart"/>
            <w:r>
              <w:rPr>
                <w:rFonts w:asciiTheme="majorBidi" w:hAnsiTheme="majorBidi" w:cstheme="majorBidi"/>
                <w:szCs w:val="24"/>
              </w:rPr>
              <w:t>K·</w:t>
            </w:r>
            <w:r w:rsidRPr="00FD09A6">
              <w:rPr>
                <w:rFonts w:asciiTheme="majorBidi" w:hAnsiTheme="majorBidi" w:cstheme="majorBidi"/>
                <w:szCs w:val="24"/>
              </w:rPr>
              <w:t>Kg</w:t>
            </w:r>
            <w:proofErr w:type="spellEnd"/>
          </w:p>
        </w:tc>
      </w:tr>
      <w:tr w:rsidR="00843B52" w:rsidRPr="00FD09A6" w14:paraId="42A3A298" w14:textId="77777777" w:rsidTr="00CB212B">
        <w:tc>
          <w:tcPr>
            <w:tcW w:w="1134" w:type="dxa"/>
            <w:shd w:val="clear" w:color="auto" w:fill="auto"/>
          </w:tcPr>
          <w:p w14:paraId="06DE014F" w14:textId="77777777" w:rsidR="00843B52" w:rsidRPr="00FD09A6" w:rsidRDefault="00843B52" w:rsidP="00CB212B">
            <w:pPr>
              <w:spacing w:before="40" w:line="220" w:lineRule="exact"/>
              <w:rPr>
                <w:rFonts w:asciiTheme="majorBidi" w:hAnsiTheme="majorBidi" w:cstheme="majorBidi"/>
                <w:szCs w:val="24"/>
              </w:rPr>
            </w:pPr>
            <w:r w:rsidRPr="00FD09A6">
              <w:rPr>
                <w:rFonts w:asciiTheme="majorBidi" w:hAnsiTheme="majorBidi" w:cstheme="majorBidi"/>
                <w:szCs w:val="24"/>
              </w:rPr>
              <w:t>(A)</w:t>
            </w:r>
          </w:p>
        </w:tc>
        <w:tc>
          <w:tcPr>
            <w:tcW w:w="4253" w:type="dxa"/>
            <w:gridSpan w:val="2"/>
            <w:shd w:val="clear" w:color="auto" w:fill="auto"/>
          </w:tcPr>
          <w:p w14:paraId="0DE4DF76" w14:textId="77777777" w:rsidR="00843B52" w:rsidRPr="00FD09A6" w:rsidRDefault="00843B52" w:rsidP="00CB212B">
            <w:pPr>
              <w:spacing w:before="40" w:line="220" w:lineRule="exact"/>
              <w:rPr>
                <w:rFonts w:asciiTheme="majorBidi" w:hAnsiTheme="majorBidi" w:cstheme="majorBidi"/>
                <w:szCs w:val="24"/>
              </w:rPr>
            </w:pPr>
            <w:r w:rsidRPr="00FD09A6">
              <w:rPr>
                <w:rFonts w:asciiTheme="majorBidi" w:hAnsiTheme="majorBidi" w:cstheme="majorBidi"/>
                <w:szCs w:val="24"/>
              </w:rPr>
              <w:t xml:space="preserve">Critical ambient temperature </w:t>
            </w:r>
            <w:r w:rsidRPr="00FD09A6">
              <w:rPr>
                <w:rFonts w:asciiTheme="majorBidi" w:hAnsiTheme="majorBidi" w:cstheme="majorBidi"/>
                <w:szCs w:val="24"/>
              </w:rPr>
              <w:br/>
              <w:t>(intercept of heat loss with the abscissa)</w:t>
            </w:r>
          </w:p>
        </w:tc>
        <w:tc>
          <w:tcPr>
            <w:tcW w:w="709" w:type="dxa"/>
            <w:gridSpan w:val="2"/>
            <w:shd w:val="clear" w:color="auto" w:fill="auto"/>
          </w:tcPr>
          <w:p w14:paraId="205D6858" w14:textId="77777777" w:rsidR="00843B52" w:rsidRPr="00FD09A6" w:rsidRDefault="00843B52" w:rsidP="00CB212B">
            <w:pPr>
              <w:spacing w:before="40" w:line="220" w:lineRule="exact"/>
              <w:rPr>
                <w:rFonts w:asciiTheme="majorBidi" w:hAnsiTheme="majorBidi" w:cstheme="majorBidi"/>
                <w:szCs w:val="24"/>
              </w:rPr>
            </w:pPr>
            <w:r w:rsidRPr="00FD09A6">
              <w:rPr>
                <w:rFonts w:asciiTheme="majorBidi" w:hAnsiTheme="majorBidi" w:cstheme="majorBidi"/>
                <w:szCs w:val="24"/>
              </w:rPr>
              <w:t>(B)</w:t>
            </w:r>
          </w:p>
        </w:tc>
        <w:tc>
          <w:tcPr>
            <w:tcW w:w="4384" w:type="dxa"/>
            <w:gridSpan w:val="3"/>
            <w:shd w:val="clear" w:color="auto" w:fill="auto"/>
          </w:tcPr>
          <w:p w14:paraId="3A78AD78" w14:textId="5633FBB0" w:rsidR="00843B52" w:rsidRPr="00FD09A6" w:rsidRDefault="00843B52" w:rsidP="00CB212B">
            <w:pPr>
              <w:spacing w:before="40" w:line="220" w:lineRule="exact"/>
              <w:rPr>
                <w:rFonts w:asciiTheme="majorBidi" w:hAnsiTheme="majorBidi" w:cstheme="majorBidi"/>
                <w:szCs w:val="24"/>
              </w:rPr>
            </w:pPr>
            <w:r w:rsidRPr="00FD09A6">
              <w:rPr>
                <w:rFonts w:asciiTheme="majorBidi" w:hAnsiTheme="majorBidi" w:cstheme="majorBidi"/>
                <w:szCs w:val="24"/>
              </w:rPr>
              <w:t>SADT or SAPT (</w:t>
            </w:r>
            <w:r w:rsidR="006E21D8">
              <w:rPr>
                <w:rFonts w:asciiTheme="majorBidi" w:hAnsiTheme="majorBidi" w:cstheme="majorBidi"/>
                <w:szCs w:val="24"/>
              </w:rPr>
              <w:t>c</w:t>
            </w:r>
            <w:r w:rsidRPr="00FD09A6">
              <w:rPr>
                <w:rFonts w:asciiTheme="majorBidi" w:hAnsiTheme="majorBidi" w:cstheme="majorBidi"/>
                <w:szCs w:val="24"/>
              </w:rPr>
              <w:t>ritical ambient temperature rounded up to next higher multiple of 5</w:t>
            </w:r>
            <w:r>
              <w:t> </w:t>
            </w:r>
            <w:r w:rsidRPr="00FD09A6">
              <w:rPr>
                <w:rFonts w:asciiTheme="majorBidi" w:hAnsiTheme="majorBidi" w:cstheme="majorBidi"/>
                <w:szCs w:val="24"/>
              </w:rPr>
              <w:t>°C)</w:t>
            </w:r>
          </w:p>
        </w:tc>
      </w:tr>
    </w:tbl>
    <w:bookmarkEnd w:id="5"/>
    <w:p w14:paraId="1AA17E6F" w14:textId="77777777" w:rsidR="00843B52" w:rsidRPr="00FD09A6" w:rsidRDefault="00843B52" w:rsidP="00843B52">
      <w:pPr>
        <w:pStyle w:val="SingleTxtG"/>
        <w:jc w:val="right"/>
      </w:pPr>
      <w:r w:rsidRPr="00FD09A6">
        <w:t>”.</w:t>
      </w:r>
    </w:p>
    <w:p w14:paraId="407C1A4D" w14:textId="77777777" w:rsidR="00843B52" w:rsidRPr="00FD09A6" w:rsidRDefault="00843B52" w:rsidP="00843B52">
      <w:pPr>
        <w:pStyle w:val="SingleTxtG"/>
        <w:keepNext/>
        <w:keepLines/>
        <w:tabs>
          <w:tab w:val="left" w:pos="2268"/>
        </w:tabs>
        <w:ind w:left="2268" w:hanging="1134"/>
      </w:pPr>
      <w:r w:rsidRPr="00FD09A6">
        <w:t>28.4.3.1.2</w:t>
      </w:r>
      <w:r w:rsidRPr="00FD09A6">
        <w:tab/>
        <w:t>Delete. Current paragraph 28.4.3.1.3 becomes new paragraph 28.4.3.1.2.</w:t>
      </w:r>
    </w:p>
    <w:p w14:paraId="7409DBBA" w14:textId="77777777" w:rsidR="00843B52" w:rsidRPr="00FD09A6" w:rsidRDefault="00843B52" w:rsidP="00843B52">
      <w:pPr>
        <w:pStyle w:val="SingleTxtG"/>
        <w:keepNext/>
        <w:keepLines/>
        <w:tabs>
          <w:tab w:val="left" w:pos="2268"/>
        </w:tabs>
        <w:ind w:left="2268" w:hanging="1134"/>
      </w:pPr>
      <w:r w:rsidRPr="00FD09A6">
        <w:t>28.4.3.1.2 (new, former 28.4.3.1.3) Amend the beginning of the first sentence to read as follows: “The usually robust construction of readily available apparatus, …”.</w:t>
      </w:r>
    </w:p>
    <w:p w14:paraId="393F7405" w14:textId="18F03231" w:rsidR="00843B52" w:rsidRPr="00FD09A6" w:rsidRDefault="00843B52" w:rsidP="00843B52">
      <w:pPr>
        <w:pStyle w:val="SingleTxtG"/>
        <w:tabs>
          <w:tab w:val="left" w:pos="2268"/>
        </w:tabs>
      </w:pPr>
      <w:r w:rsidRPr="00FF2B49">
        <w:t xml:space="preserve">28.4.3.2 </w:t>
      </w:r>
      <w:r w:rsidRPr="00FF2B49">
        <w:tab/>
        <w:t xml:space="preserve">Amend </w:t>
      </w:r>
      <w:r w:rsidR="00FF2B49" w:rsidRPr="00FF2B49">
        <w:t>the section</w:t>
      </w:r>
      <w:r w:rsidR="00A54DD5" w:rsidRPr="00FF2B49">
        <w:t xml:space="preserve"> </w:t>
      </w:r>
      <w:r w:rsidRPr="00FF2B49">
        <w:t>to read as follows:</w:t>
      </w:r>
    </w:p>
    <w:p w14:paraId="5252AA9F" w14:textId="77777777" w:rsidR="00843B52" w:rsidRPr="00FD09A6" w:rsidRDefault="00843B52" w:rsidP="00843B52">
      <w:pPr>
        <w:pStyle w:val="SingleTxtG"/>
        <w:tabs>
          <w:tab w:val="left" w:pos="2268"/>
        </w:tabs>
      </w:pPr>
      <w:r w:rsidRPr="00FD09A6">
        <w:t>“28.4.3.2</w:t>
      </w:r>
      <w:r w:rsidRPr="00FD09A6">
        <w:tab/>
      </w:r>
      <w:r w:rsidRPr="00FD09A6">
        <w:rPr>
          <w:i/>
        </w:rPr>
        <w:t>Apparatus and materials</w:t>
      </w:r>
    </w:p>
    <w:p w14:paraId="4868888D" w14:textId="77777777" w:rsidR="00843B52" w:rsidRPr="00FD09A6" w:rsidRDefault="00843B52" w:rsidP="00843B52">
      <w:pPr>
        <w:pStyle w:val="SingleTxtG"/>
        <w:tabs>
          <w:tab w:val="left" w:pos="2268"/>
        </w:tabs>
      </w:pPr>
      <w:r w:rsidRPr="00FD09A6">
        <w:t>28.4.3.2.1</w:t>
      </w:r>
      <w:r w:rsidRPr="00FD09A6">
        <w:tab/>
        <w:t>Isothermal calorimetry (IC)</w:t>
      </w:r>
    </w:p>
    <w:p w14:paraId="6D4B6D8D" w14:textId="77777777" w:rsidR="00843B52" w:rsidRPr="00741695" w:rsidRDefault="00843B52" w:rsidP="00843B52">
      <w:pPr>
        <w:pStyle w:val="SingleTxtG"/>
        <w:tabs>
          <w:tab w:val="left" w:pos="2268"/>
        </w:tabs>
      </w:pPr>
      <w:r w:rsidRPr="00FD09A6">
        <w:tab/>
      </w:r>
      <w:r w:rsidRPr="00FD09A6">
        <w:tab/>
        <w:t>Appropriate isothermal calorimeters can be used. The equipment should be able to measure heat generation values of 1 </w:t>
      </w:r>
      <w:proofErr w:type="spellStart"/>
      <w:r w:rsidRPr="00FD09A6">
        <w:t>mW</w:t>
      </w:r>
      <w:proofErr w:type="spellEnd"/>
      <w:r w:rsidRPr="00FD09A6">
        <w:t xml:space="preserve">/kg to 1500 </w:t>
      </w:r>
      <w:proofErr w:type="spellStart"/>
      <w:r w:rsidRPr="00FD09A6">
        <w:t>mW</w:t>
      </w:r>
      <w:proofErr w:type="spellEnd"/>
      <w:r w:rsidRPr="00FD09A6">
        <w:t>/kg in a temperature range of -20 °C to 200 °C. The maximum error in the heat generation should be less than 5</w:t>
      </w:r>
      <w:r>
        <w:t> </w:t>
      </w:r>
      <w:r w:rsidRPr="00FD09A6">
        <w:t xml:space="preserve">%. The </w:t>
      </w:r>
      <w:r w:rsidRPr="00FD09A6">
        <w:lastRenderedPageBreak/>
        <w:t>equipment should be capable of maintaining the temperature to within 0.2 °C of the set</w:t>
      </w:r>
      <w:r w:rsidRPr="00741695">
        <w:t xml:space="preserve"> temperature. Sample mass of test material should be at least 200 mg. Closed pressure resistant sample holders should be used and the material of the sample holder should not have catalytic effect on the decomposition behaviour of the test substance. This can be achieved by selecting the appropriate materials for the sample holders or by an appropriate passivation method of the sample holders.</w:t>
      </w:r>
    </w:p>
    <w:p w14:paraId="01B69C62" w14:textId="77777777" w:rsidR="00843B52" w:rsidRPr="00741695" w:rsidRDefault="00843B52" w:rsidP="00843B52">
      <w:pPr>
        <w:pStyle w:val="SingleTxtG"/>
        <w:tabs>
          <w:tab w:val="left" w:pos="2268"/>
        </w:tabs>
        <w:rPr>
          <w:strike/>
        </w:rPr>
      </w:pPr>
      <w:r w:rsidRPr="00741695">
        <w:t>28.4.3.2.2</w:t>
      </w:r>
      <w:r w:rsidRPr="00741695">
        <w:tab/>
        <w:t xml:space="preserve">The sample </w:t>
      </w:r>
      <w:r w:rsidRPr="00741695">
        <w:rPr>
          <w:color w:val="000000" w:themeColor="text1"/>
        </w:rPr>
        <w:t>holder</w:t>
      </w:r>
      <w:r w:rsidRPr="00741695">
        <w:t xml:space="preserve"> is placed on or around heat flow meter. The amount of substance in the sample holder is at least 200 mg. The material of the holder should be compatible with the sample. If an external reference is used it should be handled identical to the sample. </w:t>
      </w:r>
    </w:p>
    <w:p w14:paraId="559A0D47" w14:textId="77777777" w:rsidR="00843B52" w:rsidRDefault="00843B52" w:rsidP="00843B52">
      <w:pPr>
        <w:pStyle w:val="SingleTxtG"/>
        <w:tabs>
          <w:tab w:val="left" w:pos="2268"/>
        </w:tabs>
      </w:pPr>
      <w:r w:rsidRPr="00741695">
        <w:t>28.4.3.2.3</w:t>
      </w:r>
      <w:r w:rsidRPr="00741695">
        <w:tab/>
        <w:t>The heat flow from the sample is continuously recorded as a function of time (differential measurement) by a recorder or computer.</w:t>
      </w:r>
      <w:r>
        <w:t>”.</w:t>
      </w:r>
    </w:p>
    <w:p w14:paraId="11FC470C" w14:textId="526BAC0C" w:rsidR="00843B52" w:rsidRPr="00741695" w:rsidRDefault="00843B52" w:rsidP="00843B52">
      <w:pPr>
        <w:pStyle w:val="SingleTxtG"/>
        <w:keepNext/>
        <w:keepLines/>
        <w:tabs>
          <w:tab w:val="left" w:pos="2268"/>
        </w:tabs>
      </w:pPr>
      <w:r w:rsidRPr="00FF2B49">
        <w:t>28.4.3.3</w:t>
      </w:r>
      <w:r w:rsidRPr="00FF2B49">
        <w:tab/>
      </w:r>
      <w:r w:rsidR="00441840" w:rsidRPr="00FF2B49">
        <w:t xml:space="preserve">Amend </w:t>
      </w:r>
      <w:r w:rsidR="00FF2B49" w:rsidRPr="00FF2B49">
        <w:t>the section</w:t>
      </w:r>
      <w:r w:rsidR="00441840" w:rsidRPr="00FF2B49">
        <w:t xml:space="preserve"> to read as follows</w:t>
      </w:r>
      <w:r w:rsidRPr="00FF2B49">
        <w:t>:</w:t>
      </w:r>
      <w:r w:rsidRPr="00741695">
        <w:t xml:space="preserve"> </w:t>
      </w:r>
    </w:p>
    <w:p w14:paraId="163E5135" w14:textId="77777777" w:rsidR="00843B52" w:rsidRPr="00741695" w:rsidRDefault="00843B52" w:rsidP="00843B52">
      <w:pPr>
        <w:pStyle w:val="SingleTxtG"/>
        <w:tabs>
          <w:tab w:val="left" w:pos="2268"/>
        </w:tabs>
      </w:pPr>
      <w:r>
        <w:t>“</w:t>
      </w:r>
      <w:r w:rsidRPr="00741695">
        <w:t>28.4.3.3</w:t>
      </w:r>
      <w:r w:rsidRPr="00741695">
        <w:tab/>
      </w:r>
      <w:r w:rsidRPr="00741695">
        <w:rPr>
          <w:i/>
          <w:iCs/>
        </w:rPr>
        <w:t>Procedure</w:t>
      </w:r>
    </w:p>
    <w:p w14:paraId="6FBE1A6B" w14:textId="77777777" w:rsidR="00843B52" w:rsidRPr="00741695" w:rsidRDefault="00843B52" w:rsidP="00843B52">
      <w:pPr>
        <w:pStyle w:val="SingleTxtG"/>
        <w:tabs>
          <w:tab w:val="left" w:pos="2268"/>
        </w:tabs>
      </w:pPr>
      <w:r w:rsidRPr="00741695">
        <w:t>28.4.3.3.1</w:t>
      </w:r>
      <w:r w:rsidRPr="00741695">
        <w:tab/>
        <w:t>Calibration procedure</w:t>
      </w:r>
    </w:p>
    <w:p w14:paraId="6B08759A" w14:textId="77777777" w:rsidR="00843B52" w:rsidRPr="00741695" w:rsidRDefault="00843B52" w:rsidP="00843B52">
      <w:pPr>
        <w:pStyle w:val="SingleTxtG"/>
        <w:tabs>
          <w:tab w:val="left" w:pos="2268"/>
        </w:tabs>
      </w:pPr>
      <w:r w:rsidRPr="00741695">
        <w:tab/>
      </w:r>
      <w:r w:rsidRPr="00741695">
        <w:tab/>
        <w:t>Before a measurement can be performed, the blank signal and the sensitivity of the heat flow meter need to be determined by the applicable calibration procedure for the equipment used covering the temperature range of the measurement.</w:t>
      </w:r>
    </w:p>
    <w:p w14:paraId="3E94832A" w14:textId="77777777" w:rsidR="00843B52" w:rsidRPr="00D543C2" w:rsidRDefault="00843B52" w:rsidP="00843B52">
      <w:pPr>
        <w:pStyle w:val="SingleTxtG"/>
      </w:pPr>
      <w:r w:rsidRPr="00D543C2">
        <w:t>28.4.3.3.2</w:t>
      </w:r>
      <w:r w:rsidRPr="00D543C2">
        <w:tab/>
        <w:t xml:space="preserve">Test procedure </w:t>
      </w:r>
    </w:p>
    <w:p w14:paraId="6278C396" w14:textId="77777777" w:rsidR="00843B52" w:rsidRPr="00D543C2" w:rsidRDefault="00843B52" w:rsidP="00843B52">
      <w:pPr>
        <w:pStyle w:val="SingleTxtG"/>
      </w:pPr>
      <w:r w:rsidRPr="00D543C2">
        <w:tab/>
      </w:r>
      <w:r w:rsidRPr="00D543C2">
        <w:tab/>
      </w:r>
      <w:r w:rsidRPr="00D543C2">
        <w:tab/>
        <w:t>The test procedure is as follows:</w:t>
      </w:r>
    </w:p>
    <w:p w14:paraId="4DF44FD2" w14:textId="77777777" w:rsidR="00843B52" w:rsidRPr="00D543C2" w:rsidRDefault="00843B52" w:rsidP="00843B52">
      <w:pPr>
        <w:pStyle w:val="SingleTxtG"/>
        <w:ind w:left="2835" w:hanging="567"/>
      </w:pPr>
      <w:r w:rsidRPr="00D543C2">
        <w:t>(a)</w:t>
      </w:r>
      <w:r w:rsidRPr="00D543C2">
        <w:tab/>
        <w:t>Set the apparatus for the desired test temperature. The temperature selected should be sufficient to give a rate of heat generation between 5 </w:t>
      </w:r>
      <w:proofErr w:type="spellStart"/>
      <w:r w:rsidRPr="00D543C2">
        <w:t>mW</w:t>
      </w:r>
      <w:proofErr w:type="spellEnd"/>
      <w:r w:rsidRPr="00D543C2">
        <w:t xml:space="preserve"> to 1000 </w:t>
      </w:r>
      <w:proofErr w:type="spellStart"/>
      <w:r w:rsidRPr="00D543C2">
        <w:t>mW</w:t>
      </w:r>
      <w:proofErr w:type="spellEnd"/>
      <w:r w:rsidRPr="00D543C2">
        <w:t xml:space="preserve"> per kg of substance or for tanks a maximum heat generation rate between 1 and 100 </w:t>
      </w:r>
      <w:proofErr w:type="spellStart"/>
      <w:r w:rsidRPr="00D543C2">
        <w:t>mW</w:t>
      </w:r>
      <w:proofErr w:type="spellEnd"/>
      <w:r w:rsidRPr="00D543C2">
        <w:t>/kg;</w:t>
      </w:r>
    </w:p>
    <w:p w14:paraId="30A70E92" w14:textId="77777777" w:rsidR="00843B52" w:rsidRPr="00D543C2" w:rsidRDefault="00843B52" w:rsidP="00843B52">
      <w:pPr>
        <w:pStyle w:val="SingleTxtG"/>
        <w:ind w:left="2835" w:hanging="567"/>
        <w:rPr>
          <w:strike/>
        </w:rPr>
      </w:pPr>
      <w:r w:rsidRPr="00D543C2">
        <w:t>(b)</w:t>
      </w:r>
      <w:r w:rsidRPr="00D543C2">
        <w:tab/>
        <w:t xml:space="preserve">Fill the sample holder with the weighed sample and with a representative quantity of packaging material (if metal) and insert the holder into the apparatus; </w:t>
      </w:r>
    </w:p>
    <w:p w14:paraId="13E6C45E" w14:textId="358BB53A" w:rsidR="00843B52" w:rsidRPr="00074038" w:rsidRDefault="00843B52" w:rsidP="00843B52">
      <w:pPr>
        <w:pStyle w:val="SingleTxtG"/>
        <w:ind w:left="2835" w:hanging="567"/>
        <w:rPr>
          <w:sz w:val="22"/>
          <w:szCs w:val="22"/>
          <w:vertAlign w:val="superscript"/>
        </w:rPr>
      </w:pPr>
      <w:r w:rsidRPr="00D543C2">
        <w:rPr>
          <w:rStyle w:val="SingleTxtGChar"/>
        </w:rPr>
        <w:t>(c)</w:t>
      </w:r>
      <w:r w:rsidRPr="00D543C2">
        <w:rPr>
          <w:rStyle w:val="SingleTxtGChar"/>
        </w:rPr>
        <w:tab/>
        <w:t xml:space="preserve">Start monitoring the rate of heat production. The duration of each test depends on the test temperature and on the rate of heat production. </w:t>
      </w:r>
      <w:r w:rsidRPr="00D543C2">
        <w:rPr>
          <w:rStyle w:val="SingleTxtGChar"/>
        </w:rPr>
        <w:br/>
        <w:t xml:space="preserve">The measuring time as given in Figure 28.4.3.1 can be used as guidance unless it leads to unrealistic measuring times (e.g. greater than 1000 hours). </w:t>
      </w:r>
      <w:r w:rsidRPr="00074038">
        <w:rPr>
          <w:rStyle w:val="SingleTxtGChar"/>
        </w:rPr>
        <w:t>These measuring times are given to achieve a certain degree of conversion of the substance in order to take auto-catalytic effects into account</w:t>
      </w:r>
      <w:r w:rsidRPr="00074038">
        <w:rPr>
          <w:rStyle w:val="SingleTxtGChar"/>
          <w:b/>
          <w:bCs/>
          <w:vertAlign w:val="superscript"/>
        </w:rPr>
        <w:t>3</w:t>
      </w:r>
      <w:r w:rsidR="007B61D0" w:rsidRPr="00074038">
        <w:rPr>
          <w:rStyle w:val="SingleTxtGChar"/>
        </w:rPr>
        <w:t>;</w:t>
      </w:r>
    </w:p>
    <w:p w14:paraId="17080F03" w14:textId="77777777" w:rsidR="00843B52" w:rsidRPr="00D543C2" w:rsidRDefault="00843B52" w:rsidP="00843B52">
      <w:pPr>
        <w:pStyle w:val="SingleTxtG"/>
        <w:ind w:left="2835" w:hanging="567"/>
      </w:pPr>
      <w:r w:rsidRPr="00074038">
        <w:t>(d)</w:t>
      </w:r>
      <w:r w:rsidRPr="00074038">
        <w:tab/>
        <w:t>At the end of the</w:t>
      </w:r>
      <w:r w:rsidRPr="00D543C2">
        <w:t xml:space="preserve"> test the change in sample mass should be determined;</w:t>
      </w:r>
    </w:p>
    <w:p w14:paraId="2B3496CB" w14:textId="51A28C79" w:rsidR="00843B52" w:rsidRDefault="00843B52" w:rsidP="00843B52">
      <w:pPr>
        <w:pStyle w:val="SingleTxtG"/>
        <w:ind w:left="2835" w:hanging="567"/>
      </w:pPr>
      <w:r w:rsidRPr="00D543C2">
        <w:t>(e)</w:t>
      </w:r>
      <w:r w:rsidRPr="00D543C2">
        <w:tab/>
        <w:t>The test is repeated with new samples at temperature intervals of 5 °C s</w:t>
      </w:r>
      <w:r w:rsidRPr="00AD1AD4">
        <w:t>o that there are at least five results with a maximum heat generation rate between 5 and 100</w:t>
      </w:r>
      <w:r w:rsidR="00A3244E" w:rsidRPr="00AD1AD4">
        <w:t>0</w:t>
      </w:r>
      <w:r w:rsidRPr="00AD1AD4">
        <w:t> </w:t>
      </w:r>
      <w:proofErr w:type="spellStart"/>
      <w:r w:rsidRPr="00AD1AD4">
        <w:t>mW</w:t>
      </w:r>
      <w:proofErr w:type="spellEnd"/>
      <w:r w:rsidRPr="00AD1AD4">
        <w:t>/kg or for tanks a maximum heat generation rate between 1</w:t>
      </w:r>
      <w:r w:rsidR="0036071E" w:rsidRPr="00AD1AD4">
        <w:t xml:space="preserve"> and </w:t>
      </w:r>
      <w:r w:rsidRPr="00AD1AD4">
        <w:t xml:space="preserve">100 </w:t>
      </w:r>
      <w:proofErr w:type="spellStart"/>
      <w:r w:rsidRPr="00AD1AD4">
        <w:t>mW</w:t>
      </w:r>
      <w:proofErr w:type="spellEnd"/>
      <w:r w:rsidRPr="00D543C2">
        <w:t>/kg.</w:t>
      </w:r>
    </w:p>
    <w:p w14:paraId="28850F3B" w14:textId="1410BCFD" w:rsidR="006C0753" w:rsidRPr="00741695" w:rsidRDefault="006C0753" w:rsidP="006C0753">
      <w:pPr>
        <w:pStyle w:val="SingleTxtG"/>
        <w:keepNext/>
        <w:keepLines/>
        <w:jc w:val="center"/>
      </w:pPr>
      <w:r w:rsidRPr="00074038">
        <w:rPr>
          <w:b/>
          <w:bCs/>
        </w:rPr>
        <w:lastRenderedPageBreak/>
        <w:t>Figure 28.4.3.1:  Measuring period as a function of maximum heat generation measured</w:t>
      </w:r>
    </w:p>
    <w:p w14:paraId="13A615F7" w14:textId="612EF0CD" w:rsidR="006C0753" w:rsidRDefault="006C0753" w:rsidP="006C0753">
      <w:pPr>
        <w:pStyle w:val="SingleTxtG"/>
        <w:jc w:val="center"/>
      </w:pPr>
      <w:r w:rsidRPr="00F52C6C">
        <w:rPr>
          <w:noProof/>
        </w:rPr>
        <w:drawing>
          <wp:inline distT="0" distB="0" distL="0" distR="0" wp14:anchorId="65A55BCD" wp14:editId="13BFB4B9">
            <wp:extent cx="4213555" cy="2516428"/>
            <wp:effectExtent l="0" t="0" r="15875" b="17780"/>
            <wp:docPr id="13" name="Chart 13">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w:t>
      </w:r>
    </w:p>
    <w:p w14:paraId="1B89C623" w14:textId="0A826149" w:rsidR="00843B52" w:rsidRPr="00613F40" w:rsidRDefault="00843B52" w:rsidP="00843B52">
      <w:pPr>
        <w:pStyle w:val="SingleTxtG"/>
        <w:tabs>
          <w:tab w:val="left" w:pos="2268"/>
        </w:tabs>
      </w:pPr>
      <w:r>
        <w:tab/>
      </w:r>
      <w:r w:rsidRPr="00613F40">
        <w:t>Insert a new footnote “</w:t>
      </w:r>
      <w:r w:rsidR="00333E6F">
        <w:t>3</w:t>
      </w:r>
      <w:r w:rsidRPr="00613F40">
        <w:t>” to read as follows:</w:t>
      </w:r>
    </w:p>
    <w:p w14:paraId="0F82DEC5" w14:textId="77777777" w:rsidR="00843B52" w:rsidRPr="004E7A50" w:rsidRDefault="00843B52" w:rsidP="00E263CA">
      <w:pPr>
        <w:pStyle w:val="SingleTxtG"/>
        <w:rPr>
          <w:b/>
          <w:bCs/>
          <w:i/>
          <w:iCs/>
        </w:rPr>
      </w:pPr>
      <w:r w:rsidRPr="004E7A50">
        <w:rPr>
          <w:i/>
          <w:iCs/>
        </w:rPr>
        <w:t>“</w:t>
      </w:r>
      <w:r>
        <w:rPr>
          <w:i/>
          <w:iCs/>
          <w:vertAlign w:val="superscript"/>
        </w:rPr>
        <w:t>3</w:t>
      </w:r>
      <w:r w:rsidRPr="004E7A50">
        <w:rPr>
          <w:i/>
          <w:iCs/>
        </w:rPr>
        <w:tab/>
      </w:r>
      <w:r w:rsidRPr="00CB1B31">
        <w:rPr>
          <w:i/>
          <w:iCs/>
        </w:rPr>
        <w:t>References:</w:t>
      </w:r>
    </w:p>
    <w:p w14:paraId="2AA8EBEE" w14:textId="6267EB03" w:rsidR="00843B52" w:rsidRPr="004E7A50" w:rsidRDefault="00843B52" w:rsidP="00E263CA">
      <w:pPr>
        <w:pStyle w:val="SingleTxtG"/>
        <w:rPr>
          <w:i/>
          <w:iCs/>
        </w:rPr>
      </w:pPr>
      <w:r w:rsidRPr="004E7A50">
        <w:rPr>
          <w:i/>
          <w:iCs/>
        </w:rPr>
        <w:t>1</w:t>
      </w:r>
      <w:r>
        <w:rPr>
          <w:i/>
          <w:iCs/>
        </w:rPr>
        <w:t xml:space="preserve">) </w:t>
      </w:r>
      <w:r w:rsidRPr="004E7A50">
        <w:rPr>
          <w:i/>
          <w:iCs/>
        </w:rPr>
        <w:t xml:space="preserve"> J. L. C. van </w:t>
      </w:r>
      <w:proofErr w:type="spellStart"/>
      <w:r w:rsidRPr="004E7A50">
        <w:rPr>
          <w:i/>
          <w:iCs/>
        </w:rPr>
        <w:t>Geel</w:t>
      </w:r>
      <w:proofErr w:type="spellEnd"/>
      <w:r w:rsidRPr="004E7A50">
        <w:rPr>
          <w:i/>
          <w:iCs/>
        </w:rPr>
        <w:t>, Investigations into Self-Ignition Hazard of Nitrate Ester Propellants,</w:t>
      </w:r>
      <w:r w:rsidR="00677027">
        <w:rPr>
          <w:i/>
          <w:iCs/>
        </w:rPr>
        <w:t xml:space="preserve"> </w:t>
      </w:r>
      <w:r w:rsidRPr="004E7A50">
        <w:rPr>
          <w:i/>
          <w:iCs/>
        </w:rPr>
        <w:tab/>
        <w:t>Thesis, Technical University of Delft, The Netherlands, 1969.</w:t>
      </w:r>
    </w:p>
    <w:p w14:paraId="2D6FE46D" w14:textId="77777777" w:rsidR="00843B52" w:rsidRPr="00613F40" w:rsidRDefault="00843B52" w:rsidP="00E263CA">
      <w:pPr>
        <w:pStyle w:val="SingleTxtG"/>
        <w:rPr>
          <w:i/>
          <w:iCs/>
        </w:rPr>
      </w:pPr>
      <w:r w:rsidRPr="004E7A50">
        <w:rPr>
          <w:i/>
          <w:iCs/>
        </w:rPr>
        <w:t>2</w:t>
      </w:r>
      <w:r>
        <w:rPr>
          <w:i/>
          <w:iCs/>
        </w:rPr>
        <w:t xml:space="preserve">) </w:t>
      </w:r>
      <w:r w:rsidRPr="004E7A50">
        <w:rPr>
          <w:i/>
          <w:iCs/>
        </w:rPr>
        <w:t xml:space="preserve"> </w:t>
      </w:r>
      <w:proofErr w:type="spellStart"/>
      <w:r w:rsidRPr="004E7A50">
        <w:rPr>
          <w:i/>
          <w:iCs/>
        </w:rPr>
        <w:t>Barendregt</w:t>
      </w:r>
      <w:proofErr w:type="spellEnd"/>
      <w:r w:rsidRPr="004E7A50">
        <w:rPr>
          <w:i/>
          <w:iCs/>
        </w:rPr>
        <w:t>, R.B., Thermal Investigation of Unstable Substances, Including a Comparison of Different Thermal Analytical Techniques, Thesis, Technical University of Delft, The Netherlands, 1981.”</w:t>
      </w:r>
    </w:p>
    <w:p w14:paraId="68AD7A18" w14:textId="105A75C0" w:rsidR="00843B52" w:rsidRDefault="00843B52" w:rsidP="00843B52">
      <w:pPr>
        <w:pStyle w:val="SingleTxtG"/>
        <w:tabs>
          <w:tab w:val="left" w:pos="2268"/>
        </w:tabs>
        <w:ind w:left="2268" w:hanging="1134"/>
      </w:pPr>
      <w:r w:rsidRPr="009F372C">
        <w:t>28.4.3.4.1 and 28.4.3.4.2</w:t>
      </w:r>
      <w:r w:rsidRPr="009F372C">
        <w:tab/>
        <w:t>Delete. Current 28.4.3.4.3 becomes 28.4.3.4.1.</w:t>
      </w:r>
    </w:p>
    <w:p w14:paraId="7963FDAB" w14:textId="0D6C0BF0" w:rsidR="00BE3337" w:rsidRPr="009F372C" w:rsidRDefault="00BE3337" w:rsidP="00843B52">
      <w:pPr>
        <w:pStyle w:val="SingleTxtG"/>
        <w:tabs>
          <w:tab w:val="left" w:pos="2268"/>
        </w:tabs>
        <w:ind w:left="2268" w:hanging="1134"/>
      </w:pPr>
      <w:r>
        <w:tab/>
        <w:t xml:space="preserve">In the renumbered 28.4.3.4.1, </w:t>
      </w:r>
      <w:r w:rsidR="007C50C8">
        <w:t xml:space="preserve">in the </w:t>
      </w:r>
      <w:r>
        <w:t>second sentence, replace</w:t>
      </w:r>
      <w:r w:rsidR="00446289">
        <w:t xml:space="preserve"> </w:t>
      </w:r>
      <w:r w:rsidR="00446289" w:rsidRPr="00074038">
        <w:t>“</w:t>
      </w:r>
      <w:proofErr w:type="spellStart"/>
      <w:r w:rsidR="00446289">
        <w:t>mW</w:t>
      </w:r>
      <w:proofErr w:type="spellEnd"/>
      <w:r w:rsidR="00446289" w:rsidRPr="00074038">
        <w:t>/</w:t>
      </w:r>
      <w:proofErr w:type="spellStart"/>
      <w:r w:rsidR="00446289" w:rsidRPr="00074038">
        <w:t>kg.°C</w:t>
      </w:r>
      <w:proofErr w:type="spellEnd"/>
      <w:r w:rsidR="00446289" w:rsidRPr="00074038">
        <w:t>” by “</w:t>
      </w:r>
      <w:proofErr w:type="spellStart"/>
      <w:r w:rsidR="00623929">
        <w:t>mW</w:t>
      </w:r>
      <w:proofErr w:type="spellEnd"/>
      <w:r w:rsidR="00446289" w:rsidRPr="00074038">
        <w:t>/</w:t>
      </w:r>
      <w:proofErr w:type="spellStart"/>
      <w:r w:rsidR="00446289" w:rsidRPr="00074038">
        <w:t>K·kg</w:t>
      </w:r>
      <w:proofErr w:type="spellEnd"/>
      <w:r w:rsidR="00446289" w:rsidRPr="00074038">
        <w:t>”</w:t>
      </w:r>
    </w:p>
    <w:p w14:paraId="3B9F0286" w14:textId="77777777" w:rsidR="0043360C" w:rsidRDefault="00843B52" w:rsidP="00843B52">
      <w:pPr>
        <w:pStyle w:val="SingleTxtG"/>
        <w:tabs>
          <w:tab w:val="left" w:pos="2268"/>
        </w:tabs>
        <w:ind w:left="2268" w:hanging="1134"/>
      </w:pPr>
      <w:r w:rsidRPr="009F372C">
        <w:t>28.4.3.5</w:t>
      </w:r>
      <w:r w:rsidRPr="009F372C">
        <w:tab/>
      </w:r>
      <w:r w:rsidR="0043360C" w:rsidRPr="0074789B">
        <w:t>In the heading of the table, replace “</w:t>
      </w:r>
      <w:proofErr w:type="spellStart"/>
      <w:r w:rsidR="0043360C" w:rsidRPr="0074789B">
        <w:t>mW</w:t>
      </w:r>
      <w:proofErr w:type="spellEnd"/>
      <w:r w:rsidR="0043360C" w:rsidRPr="0074789B">
        <w:t>/</w:t>
      </w:r>
      <w:proofErr w:type="spellStart"/>
      <w:r w:rsidR="0043360C" w:rsidRPr="0074789B">
        <w:t>kg.K</w:t>
      </w:r>
      <w:proofErr w:type="spellEnd"/>
      <w:r w:rsidR="0043360C" w:rsidRPr="0074789B">
        <w:t>” by “</w:t>
      </w:r>
      <w:proofErr w:type="spellStart"/>
      <w:r w:rsidR="0043360C" w:rsidRPr="0074789B">
        <w:t>mW</w:t>
      </w:r>
      <w:proofErr w:type="spellEnd"/>
      <w:r w:rsidR="0043360C" w:rsidRPr="0074789B">
        <w:t>/</w:t>
      </w:r>
      <w:proofErr w:type="spellStart"/>
      <w:r w:rsidR="0043360C" w:rsidRPr="0074789B">
        <w:t>K·kg</w:t>
      </w:r>
      <w:proofErr w:type="spellEnd"/>
      <w:r w:rsidR="0043360C" w:rsidRPr="0074789B">
        <w:t>”.</w:t>
      </w:r>
    </w:p>
    <w:p w14:paraId="6231DAE2" w14:textId="5E3093D6" w:rsidR="00843B52" w:rsidRPr="009F372C" w:rsidRDefault="0043360C" w:rsidP="00843B52">
      <w:pPr>
        <w:pStyle w:val="SingleTxtG"/>
        <w:tabs>
          <w:tab w:val="left" w:pos="2268"/>
        </w:tabs>
        <w:ind w:left="2268" w:hanging="1134"/>
      </w:pPr>
      <w:r>
        <w:tab/>
      </w:r>
      <w:r w:rsidR="00843B52">
        <w:t>Insert a reference to note “a” against the names of all current substances listed in the table and add the following entries at the end:</w:t>
      </w:r>
    </w:p>
    <w:tbl>
      <w:tblPr>
        <w:tblW w:w="5000" w:type="pct"/>
        <w:tblCellMar>
          <w:left w:w="120" w:type="dxa"/>
          <w:right w:w="120" w:type="dxa"/>
        </w:tblCellMar>
        <w:tblLook w:val="0000" w:firstRow="0" w:lastRow="0" w:firstColumn="0" w:lastColumn="0" w:noHBand="0" w:noVBand="0"/>
      </w:tblPr>
      <w:tblGrid>
        <w:gridCol w:w="4445"/>
        <w:gridCol w:w="750"/>
        <w:gridCol w:w="1218"/>
        <w:gridCol w:w="1774"/>
        <w:gridCol w:w="1452"/>
      </w:tblGrid>
      <w:tr w:rsidR="00843B52" w:rsidRPr="00904ADC" w14:paraId="6762EC05" w14:textId="77777777" w:rsidTr="00CB212B">
        <w:trPr>
          <w:cantSplit/>
        </w:trPr>
        <w:tc>
          <w:tcPr>
            <w:tcW w:w="2306" w:type="pct"/>
            <w:tcBorders>
              <w:top w:val="single" w:sz="8" w:space="0" w:color="auto"/>
              <w:bottom w:val="single" w:sz="8" w:space="0" w:color="auto"/>
            </w:tcBorders>
          </w:tcPr>
          <w:p w14:paraId="2DA70D15" w14:textId="77777777" w:rsidR="00843B52" w:rsidRPr="00904ADC" w:rsidRDefault="00843B52" w:rsidP="00CB212B">
            <w:pPr>
              <w:pStyle w:val="MTabTxt"/>
              <w:rPr>
                <w:b/>
                <w:bCs/>
                <w:sz w:val="20"/>
                <w:szCs w:val="20"/>
              </w:rPr>
            </w:pPr>
            <w:r w:rsidRPr="00904ADC">
              <w:rPr>
                <w:b/>
                <w:bCs/>
                <w:sz w:val="20"/>
                <w:szCs w:val="20"/>
              </w:rPr>
              <w:t>Substance</w:t>
            </w:r>
          </w:p>
        </w:tc>
        <w:tc>
          <w:tcPr>
            <w:tcW w:w="389" w:type="pct"/>
            <w:tcBorders>
              <w:top w:val="single" w:sz="8" w:space="0" w:color="auto"/>
              <w:bottom w:val="single" w:sz="8" w:space="0" w:color="auto"/>
            </w:tcBorders>
          </w:tcPr>
          <w:p w14:paraId="7CADB791" w14:textId="77777777" w:rsidR="00843B52" w:rsidRPr="00904ADC" w:rsidRDefault="00843B52" w:rsidP="00CB212B">
            <w:pPr>
              <w:pStyle w:val="MTabTxt"/>
              <w:jc w:val="right"/>
              <w:rPr>
                <w:b/>
                <w:bCs/>
                <w:sz w:val="20"/>
                <w:szCs w:val="20"/>
              </w:rPr>
            </w:pPr>
            <w:r w:rsidRPr="00904ADC">
              <w:rPr>
                <w:b/>
                <w:bCs/>
                <w:sz w:val="20"/>
                <w:szCs w:val="20"/>
              </w:rPr>
              <w:t>Mass</w:t>
            </w:r>
            <w:r w:rsidRPr="00904ADC">
              <w:rPr>
                <w:b/>
                <w:bCs/>
                <w:sz w:val="20"/>
                <w:szCs w:val="20"/>
              </w:rPr>
              <w:br/>
              <w:t>(kg)</w:t>
            </w:r>
          </w:p>
        </w:tc>
        <w:tc>
          <w:tcPr>
            <w:tcW w:w="632" w:type="pct"/>
            <w:tcBorders>
              <w:top w:val="single" w:sz="8" w:space="0" w:color="auto"/>
              <w:bottom w:val="single" w:sz="8" w:space="0" w:color="auto"/>
            </w:tcBorders>
          </w:tcPr>
          <w:p w14:paraId="2F6826D2" w14:textId="77777777" w:rsidR="00843B52" w:rsidRPr="00904ADC" w:rsidRDefault="00843B52" w:rsidP="00CB212B">
            <w:pPr>
              <w:pStyle w:val="MTabTxt"/>
              <w:rPr>
                <w:b/>
                <w:bCs/>
                <w:sz w:val="20"/>
                <w:szCs w:val="20"/>
              </w:rPr>
            </w:pPr>
            <w:r w:rsidRPr="00904ADC">
              <w:rPr>
                <w:b/>
                <w:bCs/>
                <w:sz w:val="20"/>
                <w:szCs w:val="20"/>
              </w:rPr>
              <w:t>Packaging</w:t>
            </w:r>
          </w:p>
        </w:tc>
        <w:tc>
          <w:tcPr>
            <w:tcW w:w="920" w:type="pct"/>
            <w:tcBorders>
              <w:top w:val="single" w:sz="8" w:space="0" w:color="auto"/>
              <w:bottom w:val="single" w:sz="8" w:space="0" w:color="auto"/>
            </w:tcBorders>
          </w:tcPr>
          <w:p w14:paraId="49A6048E" w14:textId="77777777" w:rsidR="00843B52" w:rsidRPr="00904ADC" w:rsidRDefault="00843B52" w:rsidP="00CB212B">
            <w:pPr>
              <w:pStyle w:val="MTabTxt"/>
              <w:jc w:val="right"/>
              <w:rPr>
                <w:b/>
                <w:bCs/>
                <w:sz w:val="20"/>
                <w:szCs w:val="20"/>
              </w:rPr>
            </w:pPr>
            <w:r w:rsidRPr="00904ADC">
              <w:rPr>
                <w:b/>
                <w:bCs/>
                <w:sz w:val="20"/>
                <w:szCs w:val="20"/>
              </w:rPr>
              <w:t>Heat loss per unit mass (</w:t>
            </w:r>
            <w:proofErr w:type="spellStart"/>
            <w:r w:rsidRPr="00904ADC">
              <w:rPr>
                <w:b/>
                <w:bCs/>
                <w:sz w:val="20"/>
                <w:szCs w:val="20"/>
              </w:rPr>
              <w:t>mW</w:t>
            </w:r>
            <w:proofErr w:type="spellEnd"/>
            <w:r w:rsidRPr="00904ADC">
              <w:rPr>
                <w:b/>
                <w:bCs/>
                <w:sz w:val="20"/>
                <w:szCs w:val="20"/>
              </w:rPr>
              <w:t>/</w:t>
            </w:r>
            <w:proofErr w:type="spellStart"/>
            <w:r>
              <w:rPr>
                <w:b/>
                <w:bCs/>
                <w:sz w:val="20"/>
                <w:szCs w:val="20"/>
              </w:rPr>
              <w:t>K·</w:t>
            </w:r>
            <w:r w:rsidRPr="00904ADC">
              <w:rPr>
                <w:b/>
                <w:bCs/>
                <w:sz w:val="20"/>
                <w:szCs w:val="20"/>
              </w:rPr>
              <w:t>kg</w:t>
            </w:r>
            <w:proofErr w:type="spellEnd"/>
            <w:r w:rsidRPr="00904ADC">
              <w:rPr>
                <w:b/>
                <w:bCs/>
                <w:sz w:val="20"/>
                <w:szCs w:val="20"/>
              </w:rPr>
              <w:t>)</w:t>
            </w:r>
          </w:p>
        </w:tc>
        <w:tc>
          <w:tcPr>
            <w:tcW w:w="753" w:type="pct"/>
            <w:tcBorders>
              <w:top w:val="single" w:sz="8" w:space="0" w:color="auto"/>
              <w:bottom w:val="single" w:sz="8" w:space="0" w:color="auto"/>
            </w:tcBorders>
          </w:tcPr>
          <w:p w14:paraId="01099342" w14:textId="77777777" w:rsidR="00843B52" w:rsidRPr="00904ADC" w:rsidRDefault="00843B52" w:rsidP="00CB212B">
            <w:pPr>
              <w:pStyle w:val="MTabTxt"/>
              <w:jc w:val="right"/>
              <w:rPr>
                <w:b/>
                <w:bCs/>
                <w:sz w:val="20"/>
                <w:szCs w:val="20"/>
              </w:rPr>
            </w:pPr>
            <w:r w:rsidRPr="00904ADC">
              <w:rPr>
                <w:b/>
                <w:bCs/>
                <w:sz w:val="20"/>
                <w:szCs w:val="20"/>
              </w:rPr>
              <w:t>SADT/SAPT</w:t>
            </w:r>
            <w:r w:rsidRPr="00904ADC">
              <w:rPr>
                <w:b/>
                <w:bCs/>
                <w:sz w:val="20"/>
                <w:szCs w:val="20"/>
              </w:rPr>
              <w:br/>
              <w:t>(°C)</w:t>
            </w:r>
          </w:p>
        </w:tc>
      </w:tr>
      <w:tr w:rsidR="00843B52" w:rsidRPr="00904ADC" w14:paraId="05B0330A" w14:textId="77777777" w:rsidTr="00CB212B">
        <w:trPr>
          <w:cantSplit/>
        </w:trPr>
        <w:tc>
          <w:tcPr>
            <w:tcW w:w="2306" w:type="pct"/>
          </w:tcPr>
          <w:p w14:paraId="590559A0" w14:textId="77777777" w:rsidR="00843B52" w:rsidRPr="00904ADC" w:rsidRDefault="00843B52" w:rsidP="00CB212B">
            <w:pPr>
              <w:pStyle w:val="MTabTxt"/>
              <w:rPr>
                <w:sz w:val="20"/>
                <w:szCs w:val="20"/>
              </w:rPr>
            </w:pPr>
            <w:r w:rsidRPr="00904ADC">
              <w:rPr>
                <w:sz w:val="20"/>
                <w:szCs w:val="20"/>
              </w:rPr>
              <w:t xml:space="preserve">Cumyl </w:t>
            </w:r>
            <w:proofErr w:type="spellStart"/>
            <w:r w:rsidRPr="00904ADC">
              <w:rPr>
                <w:sz w:val="20"/>
                <w:szCs w:val="20"/>
              </w:rPr>
              <w:t>peroxyneodecanoate</w:t>
            </w:r>
            <w:proofErr w:type="spellEnd"/>
            <w:r w:rsidRPr="00904ADC">
              <w:rPr>
                <w:sz w:val="20"/>
                <w:szCs w:val="20"/>
              </w:rPr>
              <w:t xml:space="preserve"> (75</w:t>
            </w:r>
            <w:r>
              <w:t> </w:t>
            </w:r>
            <w:r w:rsidRPr="00904ADC">
              <w:rPr>
                <w:sz w:val="20"/>
                <w:szCs w:val="20"/>
              </w:rPr>
              <w:t>%)</w:t>
            </w:r>
          </w:p>
        </w:tc>
        <w:tc>
          <w:tcPr>
            <w:tcW w:w="389" w:type="pct"/>
          </w:tcPr>
          <w:p w14:paraId="3D4C4450" w14:textId="77777777" w:rsidR="00843B52" w:rsidRPr="00904ADC" w:rsidRDefault="00843B52" w:rsidP="00CB212B">
            <w:pPr>
              <w:pStyle w:val="MTabTxt"/>
              <w:jc w:val="right"/>
              <w:rPr>
                <w:sz w:val="20"/>
                <w:szCs w:val="20"/>
              </w:rPr>
            </w:pPr>
            <w:r w:rsidRPr="00904ADC">
              <w:rPr>
                <w:sz w:val="20"/>
                <w:szCs w:val="20"/>
              </w:rPr>
              <w:t>25</w:t>
            </w:r>
          </w:p>
        </w:tc>
        <w:tc>
          <w:tcPr>
            <w:tcW w:w="632" w:type="pct"/>
          </w:tcPr>
          <w:p w14:paraId="31E58E33" w14:textId="77777777" w:rsidR="00843B52" w:rsidRPr="00904ADC" w:rsidRDefault="00843B52" w:rsidP="00CB212B">
            <w:pPr>
              <w:pStyle w:val="MTabTxt"/>
              <w:rPr>
                <w:sz w:val="20"/>
                <w:szCs w:val="20"/>
              </w:rPr>
            </w:pPr>
            <w:r w:rsidRPr="00904ADC">
              <w:rPr>
                <w:sz w:val="20"/>
                <w:szCs w:val="20"/>
              </w:rPr>
              <w:t>3H1</w:t>
            </w:r>
          </w:p>
        </w:tc>
        <w:tc>
          <w:tcPr>
            <w:tcW w:w="920" w:type="pct"/>
          </w:tcPr>
          <w:p w14:paraId="4E8D0BE6" w14:textId="77777777" w:rsidR="00843B52" w:rsidRPr="00904ADC" w:rsidRDefault="00843B52" w:rsidP="00CB212B">
            <w:pPr>
              <w:pStyle w:val="MTabTxt"/>
              <w:jc w:val="right"/>
              <w:rPr>
                <w:sz w:val="20"/>
                <w:szCs w:val="20"/>
              </w:rPr>
            </w:pPr>
            <w:r w:rsidRPr="00904ADC">
              <w:rPr>
                <w:sz w:val="20"/>
                <w:szCs w:val="20"/>
              </w:rPr>
              <w:t>40</w:t>
            </w:r>
          </w:p>
        </w:tc>
        <w:tc>
          <w:tcPr>
            <w:tcW w:w="753" w:type="pct"/>
          </w:tcPr>
          <w:p w14:paraId="140E5A70" w14:textId="77777777" w:rsidR="00843B52" w:rsidRPr="00904ADC" w:rsidRDefault="00843B52" w:rsidP="00CB212B">
            <w:pPr>
              <w:pStyle w:val="MTabTxt"/>
              <w:jc w:val="right"/>
              <w:rPr>
                <w:sz w:val="20"/>
                <w:szCs w:val="20"/>
              </w:rPr>
            </w:pPr>
            <w:r w:rsidRPr="00904ADC">
              <w:rPr>
                <w:sz w:val="20"/>
                <w:szCs w:val="20"/>
              </w:rPr>
              <w:t>10</w:t>
            </w:r>
          </w:p>
        </w:tc>
      </w:tr>
      <w:tr w:rsidR="00843B52" w:rsidRPr="00904ADC" w14:paraId="13A07464" w14:textId="77777777" w:rsidTr="00CB212B">
        <w:trPr>
          <w:cantSplit/>
        </w:trPr>
        <w:tc>
          <w:tcPr>
            <w:tcW w:w="2306" w:type="pct"/>
          </w:tcPr>
          <w:p w14:paraId="53A2AA86" w14:textId="77777777" w:rsidR="00843B52" w:rsidRPr="00904ADC" w:rsidRDefault="00843B52" w:rsidP="00CB212B">
            <w:pPr>
              <w:pStyle w:val="MTabTxt"/>
              <w:rPr>
                <w:sz w:val="20"/>
                <w:szCs w:val="20"/>
              </w:rPr>
            </w:pPr>
            <w:r w:rsidRPr="00904ADC">
              <w:rPr>
                <w:sz w:val="20"/>
                <w:szCs w:val="20"/>
              </w:rPr>
              <w:t xml:space="preserve">tert-Butyl </w:t>
            </w:r>
            <w:proofErr w:type="spellStart"/>
            <w:r w:rsidRPr="00904ADC">
              <w:rPr>
                <w:sz w:val="20"/>
                <w:szCs w:val="20"/>
              </w:rPr>
              <w:t>peroxyneodecanoate</w:t>
            </w:r>
            <w:proofErr w:type="spellEnd"/>
          </w:p>
        </w:tc>
        <w:tc>
          <w:tcPr>
            <w:tcW w:w="389" w:type="pct"/>
          </w:tcPr>
          <w:p w14:paraId="2274B0BF" w14:textId="77777777" w:rsidR="00843B52" w:rsidRPr="00904ADC" w:rsidRDefault="00843B52" w:rsidP="00CB212B">
            <w:pPr>
              <w:pStyle w:val="MTabTxt"/>
              <w:jc w:val="right"/>
              <w:rPr>
                <w:sz w:val="20"/>
                <w:szCs w:val="20"/>
              </w:rPr>
            </w:pPr>
            <w:r w:rsidRPr="00904ADC">
              <w:rPr>
                <w:sz w:val="20"/>
                <w:szCs w:val="20"/>
              </w:rPr>
              <w:t>25</w:t>
            </w:r>
          </w:p>
        </w:tc>
        <w:tc>
          <w:tcPr>
            <w:tcW w:w="632" w:type="pct"/>
          </w:tcPr>
          <w:p w14:paraId="71AD4F99" w14:textId="77777777" w:rsidR="00843B52" w:rsidRPr="00904ADC" w:rsidRDefault="00843B52" w:rsidP="00CB212B">
            <w:pPr>
              <w:pStyle w:val="MTabTxt"/>
              <w:rPr>
                <w:sz w:val="20"/>
                <w:szCs w:val="20"/>
              </w:rPr>
            </w:pPr>
            <w:r w:rsidRPr="00904ADC">
              <w:rPr>
                <w:sz w:val="20"/>
                <w:szCs w:val="20"/>
              </w:rPr>
              <w:t>3H1</w:t>
            </w:r>
          </w:p>
        </w:tc>
        <w:tc>
          <w:tcPr>
            <w:tcW w:w="920" w:type="pct"/>
          </w:tcPr>
          <w:p w14:paraId="20D393F9" w14:textId="77777777" w:rsidR="00843B52" w:rsidRPr="00904ADC" w:rsidRDefault="00843B52" w:rsidP="00CB212B">
            <w:pPr>
              <w:pStyle w:val="MTabTxt"/>
              <w:jc w:val="right"/>
              <w:rPr>
                <w:sz w:val="20"/>
                <w:szCs w:val="20"/>
              </w:rPr>
            </w:pPr>
            <w:r w:rsidRPr="00904ADC">
              <w:rPr>
                <w:sz w:val="20"/>
                <w:szCs w:val="20"/>
              </w:rPr>
              <w:t>40</w:t>
            </w:r>
          </w:p>
        </w:tc>
        <w:tc>
          <w:tcPr>
            <w:tcW w:w="753" w:type="pct"/>
          </w:tcPr>
          <w:p w14:paraId="6FE086CE" w14:textId="77777777" w:rsidR="00843B52" w:rsidRPr="00904ADC" w:rsidRDefault="00843B52" w:rsidP="00CB212B">
            <w:pPr>
              <w:pStyle w:val="MTabTxt"/>
              <w:jc w:val="right"/>
              <w:rPr>
                <w:sz w:val="20"/>
                <w:szCs w:val="20"/>
              </w:rPr>
            </w:pPr>
            <w:r w:rsidRPr="00904ADC">
              <w:rPr>
                <w:sz w:val="20"/>
                <w:szCs w:val="20"/>
              </w:rPr>
              <w:t>15</w:t>
            </w:r>
          </w:p>
        </w:tc>
      </w:tr>
      <w:tr w:rsidR="00843B52" w:rsidRPr="00904ADC" w14:paraId="18B5CAFC" w14:textId="77777777" w:rsidTr="00CB212B">
        <w:trPr>
          <w:cantSplit/>
        </w:trPr>
        <w:tc>
          <w:tcPr>
            <w:tcW w:w="2306" w:type="pct"/>
            <w:tcBorders>
              <w:bottom w:val="single" w:sz="8" w:space="0" w:color="auto"/>
            </w:tcBorders>
          </w:tcPr>
          <w:p w14:paraId="0D9DD502" w14:textId="77777777" w:rsidR="00843B52" w:rsidRPr="00904ADC" w:rsidRDefault="00843B52" w:rsidP="00CB212B">
            <w:pPr>
              <w:pStyle w:val="MTabTxt"/>
              <w:rPr>
                <w:sz w:val="20"/>
                <w:szCs w:val="20"/>
              </w:rPr>
            </w:pPr>
            <w:r w:rsidRPr="00904ADC">
              <w:rPr>
                <w:sz w:val="20"/>
                <w:szCs w:val="20"/>
              </w:rPr>
              <w:t>N-</w:t>
            </w:r>
            <w:proofErr w:type="spellStart"/>
            <w:r w:rsidRPr="00904ADC">
              <w:rPr>
                <w:sz w:val="20"/>
                <w:szCs w:val="20"/>
              </w:rPr>
              <w:t>Vinylformamide</w:t>
            </w:r>
            <w:proofErr w:type="spellEnd"/>
          </w:p>
        </w:tc>
        <w:tc>
          <w:tcPr>
            <w:tcW w:w="389" w:type="pct"/>
            <w:tcBorders>
              <w:bottom w:val="single" w:sz="8" w:space="0" w:color="auto"/>
            </w:tcBorders>
          </w:tcPr>
          <w:p w14:paraId="7B01556F" w14:textId="77777777" w:rsidR="00843B52" w:rsidRPr="00904ADC" w:rsidRDefault="00843B52" w:rsidP="00CB212B">
            <w:pPr>
              <w:pStyle w:val="MTabTxt"/>
              <w:jc w:val="right"/>
              <w:rPr>
                <w:sz w:val="20"/>
                <w:szCs w:val="20"/>
              </w:rPr>
            </w:pPr>
            <w:r w:rsidRPr="00904ADC">
              <w:rPr>
                <w:sz w:val="20"/>
                <w:szCs w:val="20"/>
              </w:rPr>
              <w:t>1000</w:t>
            </w:r>
          </w:p>
        </w:tc>
        <w:tc>
          <w:tcPr>
            <w:tcW w:w="632" w:type="pct"/>
            <w:tcBorders>
              <w:bottom w:val="single" w:sz="8" w:space="0" w:color="auto"/>
            </w:tcBorders>
          </w:tcPr>
          <w:p w14:paraId="7D378DDD" w14:textId="77777777" w:rsidR="00843B52" w:rsidRPr="00904ADC" w:rsidRDefault="00843B52" w:rsidP="00CB212B">
            <w:pPr>
              <w:pStyle w:val="MTabTxt"/>
              <w:rPr>
                <w:sz w:val="20"/>
                <w:szCs w:val="20"/>
              </w:rPr>
            </w:pPr>
            <w:r w:rsidRPr="00904ADC">
              <w:rPr>
                <w:sz w:val="20"/>
                <w:szCs w:val="20"/>
              </w:rPr>
              <w:t>31H1</w:t>
            </w:r>
          </w:p>
        </w:tc>
        <w:tc>
          <w:tcPr>
            <w:tcW w:w="920" w:type="pct"/>
            <w:tcBorders>
              <w:bottom w:val="single" w:sz="8" w:space="0" w:color="auto"/>
            </w:tcBorders>
          </w:tcPr>
          <w:p w14:paraId="574A51F1" w14:textId="77777777" w:rsidR="00843B52" w:rsidRPr="00904ADC" w:rsidRDefault="00843B52" w:rsidP="00CB212B">
            <w:pPr>
              <w:pStyle w:val="MTabTxt"/>
              <w:jc w:val="right"/>
              <w:rPr>
                <w:sz w:val="20"/>
                <w:szCs w:val="20"/>
              </w:rPr>
            </w:pPr>
            <w:r w:rsidRPr="00904ADC">
              <w:rPr>
                <w:sz w:val="20"/>
                <w:szCs w:val="20"/>
              </w:rPr>
              <w:t>33</w:t>
            </w:r>
          </w:p>
        </w:tc>
        <w:tc>
          <w:tcPr>
            <w:tcW w:w="753" w:type="pct"/>
            <w:tcBorders>
              <w:bottom w:val="single" w:sz="8" w:space="0" w:color="auto"/>
            </w:tcBorders>
          </w:tcPr>
          <w:p w14:paraId="593671BA" w14:textId="77777777" w:rsidR="00843B52" w:rsidRPr="00904ADC" w:rsidRDefault="00843B52" w:rsidP="00CB212B">
            <w:pPr>
              <w:pStyle w:val="MTabTxt"/>
              <w:jc w:val="right"/>
              <w:rPr>
                <w:sz w:val="20"/>
                <w:szCs w:val="20"/>
              </w:rPr>
            </w:pPr>
            <w:r w:rsidRPr="00904ADC">
              <w:rPr>
                <w:sz w:val="20"/>
                <w:szCs w:val="20"/>
              </w:rPr>
              <w:t>55</w:t>
            </w:r>
          </w:p>
        </w:tc>
      </w:tr>
    </w:tbl>
    <w:p w14:paraId="1138D3EE" w14:textId="77777777" w:rsidR="00843B52" w:rsidRDefault="00843B52" w:rsidP="00843B52">
      <w:pPr>
        <w:numPr>
          <w:ilvl w:val="12"/>
          <w:numId w:val="0"/>
        </w:numPr>
        <w:tabs>
          <w:tab w:val="left" w:pos="1418"/>
        </w:tabs>
        <w:jc w:val="both"/>
        <w:rPr>
          <w:sz w:val="22"/>
          <w:szCs w:val="22"/>
        </w:rPr>
      </w:pPr>
      <w:r>
        <w:rPr>
          <w:sz w:val="22"/>
          <w:szCs w:val="22"/>
        </w:rPr>
        <w:tab/>
      </w:r>
    </w:p>
    <w:p w14:paraId="4C2715A5" w14:textId="77777777" w:rsidR="00843B52" w:rsidRPr="009F372C" w:rsidRDefault="00843B52" w:rsidP="00843B52">
      <w:pPr>
        <w:pStyle w:val="SingleTxtG"/>
      </w:pPr>
      <w:r w:rsidRPr="009F372C">
        <w:t xml:space="preserve">Add the following note </w:t>
      </w:r>
      <w:r>
        <w:t xml:space="preserve">“a” </w:t>
      </w:r>
      <w:r w:rsidRPr="009F372C">
        <w:t>under the table:</w:t>
      </w:r>
    </w:p>
    <w:p w14:paraId="12764006" w14:textId="77777777" w:rsidR="00843B52" w:rsidRPr="005D2A23" w:rsidRDefault="00843B52" w:rsidP="00843B52">
      <w:pPr>
        <w:pStyle w:val="SingleTxtG"/>
        <w:rPr>
          <w:i/>
          <w:iCs/>
        </w:rPr>
      </w:pPr>
      <w:r>
        <w:rPr>
          <w:b/>
          <w:vertAlign w:val="superscript"/>
        </w:rPr>
        <w:t>“</w:t>
      </w:r>
      <w:proofErr w:type="spellStart"/>
      <w:r w:rsidRPr="005D2A23">
        <w:rPr>
          <w:b/>
          <w:vertAlign w:val="superscript"/>
        </w:rPr>
        <w:t>a</w:t>
      </w:r>
      <w:proofErr w:type="spellEnd"/>
      <w:r w:rsidRPr="005D2A23">
        <w:rPr>
          <w:b/>
          <w:vertAlign w:val="superscript"/>
        </w:rPr>
        <w:t xml:space="preserve"> </w:t>
      </w:r>
      <w:r w:rsidRPr="005D2A23">
        <w:rPr>
          <w:i/>
          <w:iCs/>
        </w:rPr>
        <w:t>These historical examples were determined using heat losses that are higher than those currently recommended for classification purposes (see table 28.4).”.</w:t>
      </w:r>
    </w:p>
    <w:p w14:paraId="5D82DAED" w14:textId="77777777" w:rsidR="00843B52" w:rsidRPr="0085508E" w:rsidRDefault="00843B52" w:rsidP="00843B52">
      <w:pPr>
        <w:pStyle w:val="SingleTxtG"/>
      </w:pPr>
      <w:r w:rsidRPr="0085508E">
        <w:t>Current figures 28.4.3.1 and 28.4.3.2</w:t>
      </w:r>
      <w:r w:rsidRPr="0085508E">
        <w:tab/>
        <w:t>Delete.</w:t>
      </w:r>
    </w:p>
    <w:p w14:paraId="0015B182" w14:textId="77777777" w:rsidR="00843B52" w:rsidRPr="0085508E" w:rsidRDefault="00843B52" w:rsidP="00843B52">
      <w:pPr>
        <w:pStyle w:val="SingleTxtG"/>
        <w:keepNext/>
        <w:keepLines/>
      </w:pPr>
      <w:r w:rsidRPr="0085508E">
        <w:lastRenderedPageBreak/>
        <w:t>Insert the following new figure 28.4.3.2:</w:t>
      </w:r>
    </w:p>
    <w:p w14:paraId="5B4781EC" w14:textId="77777777" w:rsidR="00843B52" w:rsidRDefault="00843B52" w:rsidP="00843B52">
      <w:pPr>
        <w:keepNext/>
        <w:keepLines/>
        <w:numPr>
          <w:ilvl w:val="12"/>
          <w:numId w:val="0"/>
        </w:numPr>
        <w:tabs>
          <w:tab w:val="left" w:pos="1134"/>
          <w:tab w:val="left" w:pos="1701"/>
          <w:tab w:val="left" w:pos="2268"/>
          <w:tab w:val="left" w:pos="2835"/>
          <w:tab w:val="left" w:pos="3402"/>
          <w:tab w:val="left" w:pos="3969"/>
        </w:tabs>
        <w:jc w:val="center"/>
        <w:rPr>
          <w:rStyle w:val="SingleTxtGChar"/>
          <w:b/>
          <w:bCs/>
        </w:rPr>
      </w:pPr>
      <w:r>
        <w:rPr>
          <w:rStyle w:val="SingleTxtGChar"/>
          <w:bCs/>
        </w:rPr>
        <w:t>“</w:t>
      </w:r>
      <w:r w:rsidRPr="0085508E">
        <w:rPr>
          <w:rStyle w:val="SingleTxtGChar"/>
          <w:bCs/>
        </w:rPr>
        <w:t>Figure 28.4.3.2: Example of determination of SADT or SAPT</w:t>
      </w:r>
    </w:p>
    <w:p w14:paraId="61500F54" w14:textId="77777777" w:rsidR="00843B52" w:rsidRDefault="00843B52" w:rsidP="00843B52">
      <w:pPr>
        <w:keepNext/>
        <w:keepLines/>
        <w:numPr>
          <w:ilvl w:val="12"/>
          <w:numId w:val="0"/>
        </w:numPr>
        <w:tabs>
          <w:tab w:val="left" w:pos="1134"/>
          <w:tab w:val="left" w:pos="1701"/>
          <w:tab w:val="left" w:pos="2268"/>
          <w:tab w:val="left" w:pos="2835"/>
          <w:tab w:val="left" w:pos="3402"/>
          <w:tab w:val="left" w:pos="3969"/>
        </w:tabs>
        <w:jc w:val="center"/>
        <w:rPr>
          <w:rStyle w:val="SingleTxtGChar"/>
          <w:b/>
          <w:bCs/>
        </w:rPr>
      </w:pPr>
      <w:r>
        <w:object w:dxaOrig="5986" w:dyaOrig="5131" w14:anchorId="07768375">
          <v:shape id="_x0000_i1027" type="#_x0000_t75" style="width:330.05pt;height:283pt" o:ole="">
            <v:imagedata r:id="rId20" o:title=""/>
          </v:shape>
          <o:OLEObject Type="Embed" ProgID="Visio.Drawing.15" ShapeID="_x0000_i1027" DrawAspect="Content" ObjectID="_1678018545" r:id="rId23"/>
        </w:object>
      </w:r>
    </w:p>
    <w:tbl>
      <w:tblPr>
        <w:tblStyle w:val="TableGrid"/>
        <w:tblW w:w="8659"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3"/>
        <w:gridCol w:w="16"/>
        <w:gridCol w:w="3431"/>
        <w:gridCol w:w="105"/>
        <w:gridCol w:w="628"/>
        <w:gridCol w:w="118"/>
        <w:gridCol w:w="3417"/>
        <w:gridCol w:w="21"/>
      </w:tblGrid>
      <w:tr w:rsidR="00843B52" w:rsidRPr="005D2A23" w14:paraId="7CE7C6CC" w14:textId="77777777" w:rsidTr="00CB212B">
        <w:trPr>
          <w:gridAfter w:val="1"/>
          <w:wAfter w:w="21" w:type="dxa"/>
          <w:trHeight w:hRule="exact" w:val="113"/>
        </w:trPr>
        <w:tc>
          <w:tcPr>
            <w:tcW w:w="939" w:type="dxa"/>
            <w:gridSpan w:val="2"/>
            <w:shd w:val="clear" w:color="auto" w:fill="auto"/>
            <w:vAlign w:val="bottom"/>
          </w:tcPr>
          <w:p w14:paraId="5768F3C3" w14:textId="77777777" w:rsidR="00843B52" w:rsidRPr="005D2A23" w:rsidRDefault="00843B52" w:rsidP="00CB212B">
            <w:pPr>
              <w:spacing w:line="220" w:lineRule="exact"/>
              <w:rPr>
                <w:i/>
                <w:szCs w:val="24"/>
              </w:rPr>
            </w:pPr>
          </w:p>
        </w:tc>
        <w:tc>
          <w:tcPr>
            <w:tcW w:w="3536" w:type="dxa"/>
            <w:gridSpan w:val="2"/>
            <w:shd w:val="clear" w:color="auto" w:fill="auto"/>
            <w:vAlign w:val="bottom"/>
          </w:tcPr>
          <w:p w14:paraId="705C6F68" w14:textId="77777777" w:rsidR="00843B52" w:rsidRPr="005D2A23" w:rsidRDefault="00843B52" w:rsidP="00CB212B">
            <w:pPr>
              <w:spacing w:line="220" w:lineRule="exact"/>
              <w:rPr>
                <w:i/>
                <w:szCs w:val="24"/>
              </w:rPr>
            </w:pPr>
          </w:p>
        </w:tc>
        <w:tc>
          <w:tcPr>
            <w:tcW w:w="746" w:type="dxa"/>
            <w:gridSpan w:val="2"/>
            <w:shd w:val="clear" w:color="auto" w:fill="auto"/>
            <w:vAlign w:val="bottom"/>
          </w:tcPr>
          <w:p w14:paraId="252AD461" w14:textId="77777777" w:rsidR="00843B52" w:rsidRPr="005D2A23" w:rsidRDefault="00843B52" w:rsidP="00CB212B">
            <w:pPr>
              <w:spacing w:line="220" w:lineRule="exact"/>
              <w:rPr>
                <w:i/>
                <w:szCs w:val="24"/>
              </w:rPr>
            </w:pPr>
          </w:p>
        </w:tc>
        <w:tc>
          <w:tcPr>
            <w:tcW w:w="3417" w:type="dxa"/>
            <w:shd w:val="clear" w:color="auto" w:fill="auto"/>
            <w:vAlign w:val="bottom"/>
          </w:tcPr>
          <w:p w14:paraId="772260C8" w14:textId="77777777" w:rsidR="00843B52" w:rsidRPr="005D2A23" w:rsidRDefault="00843B52" w:rsidP="00CB212B">
            <w:pPr>
              <w:spacing w:line="220" w:lineRule="exact"/>
              <w:rPr>
                <w:iCs/>
                <w:szCs w:val="24"/>
              </w:rPr>
            </w:pPr>
          </w:p>
        </w:tc>
      </w:tr>
      <w:tr w:rsidR="00843B52" w:rsidRPr="005D2A23" w14:paraId="6D124B2A" w14:textId="77777777" w:rsidTr="00CB212B">
        <w:tc>
          <w:tcPr>
            <w:tcW w:w="923" w:type="dxa"/>
            <w:shd w:val="clear" w:color="auto" w:fill="auto"/>
          </w:tcPr>
          <w:p w14:paraId="62C280E9" w14:textId="77777777" w:rsidR="00843B52" w:rsidRPr="005D2A23" w:rsidRDefault="00843B52" w:rsidP="00CB212B">
            <w:pPr>
              <w:spacing w:before="40" w:line="220" w:lineRule="exact"/>
              <w:rPr>
                <w:rFonts w:asciiTheme="majorBidi" w:hAnsiTheme="majorBidi" w:cstheme="majorBidi"/>
                <w:szCs w:val="24"/>
              </w:rPr>
            </w:pPr>
            <w:r w:rsidRPr="005D2A23">
              <w:rPr>
                <w:rFonts w:asciiTheme="majorBidi" w:hAnsiTheme="majorBidi" w:cstheme="majorBidi"/>
                <w:noProof/>
                <w:szCs w:val="24"/>
              </w:rPr>
              <mc:AlternateContent>
                <mc:Choice Requires="wps">
                  <w:drawing>
                    <wp:anchor distT="0" distB="0" distL="114300" distR="114300" simplePos="0" relativeHeight="251658273" behindDoc="0" locked="0" layoutInCell="1" allowOverlap="1" wp14:anchorId="667881DB" wp14:editId="381A8F4B">
                      <wp:simplePos x="0" y="0"/>
                      <wp:positionH relativeFrom="column">
                        <wp:posOffset>20498</wp:posOffset>
                      </wp:positionH>
                      <wp:positionV relativeFrom="paragraph">
                        <wp:posOffset>71158</wp:posOffset>
                      </wp:positionV>
                      <wp:extent cx="52143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214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63A4E5A">
                    <v:line id="Straight Connector 11" style="position:absolute;z-index:2516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6pt,5.6pt" to="42.65pt,5.6pt" w14:anchorId="3315F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">
                      <v:stroke dashstyle="longDashDot"/>
                    </v:line>
                  </w:pict>
                </mc:Fallback>
              </mc:AlternateContent>
            </w:r>
          </w:p>
        </w:tc>
        <w:tc>
          <w:tcPr>
            <w:tcW w:w="3447" w:type="dxa"/>
            <w:gridSpan w:val="2"/>
            <w:shd w:val="clear" w:color="auto" w:fill="auto"/>
          </w:tcPr>
          <w:p w14:paraId="5AD84DC6" w14:textId="77777777" w:rsidR="00843B52" w:rsidRPr="005D2A23" w:rsidRDefault="00843B52" w:rsidP="00CB212B">
            <w:pPr>
              <w:spacing w:before="40" w:line="220" w:lineRule="exact"/>
              <w:rPr>
                <w:rFonts w:asciiTheme="majorBidi" w:hAnsiTheme="majorBidi" w:cstheme="majorBidi"/>
                <w:szCs w:val="24"/>
              </w:rPr>
            </w:pPr>
            <w:r w:rsidRPr="005D2A23">
              <w:rPr>
                <w:rFonts w:asciiTheme="majorBidi" w:hAnsiTheme="majorBidi" w:cstheme="majorBidi"/>
                <w:szCs w:val="24"/>
              </w:rPr>
              <w:t>Heat generation curve</w:t>
            </w:r>
          </w:p>
        </w:tc>
        <w:tc>
          <w:tcPr>
            <w:tcW w:w="733" w:type="dxa"/>
            <w:gridSpan w:val="2"/>
            <w:shd w:val="clear" w:color="auto" w:fill="auto"/>
          </w:tcPr>
          <w:p w14:paraId="372C8AAF" w14:textId="77777777" w:rsidR="00843B52" w:rsidRPr="005D2A23" w:rsidRDefault="00843B52" w:rsidP="00CB212B">
            <w:pPr>
              <w:spacing w:before="40" w:line="220" w:lineRule="exact"/>
              <w:rPr>
                <w:rFonts w:asciiTheme="majorBidi" w:hAnsiTheme="majorBidi" w:cstheme="majorBidi"/>
                <w:szCs w:val="24"/>
              </w:rPr>
            </w:pPr>
            <w:r w:rsidRPr="005D2A23">
              <w:rPr>
                <w:rFonts w:asciiTheme="majorBidi" w:hAnsiTheme="majorBidi" w:cstheme="majorBidi"/>
                <w:noProof/>
                <w:szCs w:val="24"/>
              </w:rPr>
              <mc:AlternateContent>
                <mc:Choice Requires="wps">
                  <w:drawing>
                    <wp:anchor distT="0" distB="0" distL="114300" distR="114300" simplePos="0" relativeHeight="251658274" behindDoc="0" locked="0" layoutInCell="1" allowOverlap="1" wp14:anchorId="6DF7F6D3" wp14:editId="5CC500E6">
                      <wp:simplePos x="0" y="0"/>
                      <wp:positionH relativeFrom="column">
                        <wp:posOffset>-5253</wp:posOffset>
                      </wp:positionH>
                      <wp:positionV relativeFrom="paragraph">
                        <wp:posOffset>72101</wp:posOffset>
                      </wp:positionV>
                      <wp:extent cx="394854"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94854"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BA805E8">
                    <v:line id="Straight Connector 12" style="position:absolute;z-index:2516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4pt,5.7pt" to="30.7pt,5.7pt" w14:anchorId="0EE9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"/>
                  </w:pict>
                </mc:Fallback>
              </mc:AlternateContent>
            </w:r>
          </w:p>
        </w:tc>
        <w:tc>
          <w:tcPr>
            <w:tcW w:w="3556" w:type="dxa"/>
            <w:gridSpan w:val="3"/>
            <w:shd w:val="clear" w:color="auto" w:fill="auto"/>
          </w:tcPr>
          <w:p w14:paraId="42D128AD" w14:textId="431626D9" w:rsidR="00843B52" w:rsidRPr="00273E1C" w:rsidRDefault="00843B52" w:rsidP="00CB212B">
            <w:pPr>
              <w:spacing w:before="40" w:line="220" w:lineRule="exact"/>
              <w:rPr>
                <w:rFonts w:asciiTheme="majorBidi" w:hAnsiTheme="majorBidi" w:cstheme="majorBidi"/>
                <w:szCs w:val="24"/>
              </w:rPr>
            </w:pPr>
            <w:r w:rsidRPr="00273E1C">
              <w:rPr>
                <w:rFonts w:asciiTheme="majorBidi" w:hAnsiTheme="majorBidi" w:cstheme="majorBidi"/>
                <w:szCs w:val="24"/>
              </w:rPr>
              <w:t>Heat loss curve L = 0.06 W</w:t>
            </w:r>
            <w:r w:rsidR="00B0531A" w:rsidRPr="00273E1C">
              <w:rPr>
                <w:rFonts w:asciiTheme="majorBidi" w:hAnsiTheme="majorBidi" w:cstheme="majorBidi"/>
                <w:szCs w:val="24"/>
              </w:rPr>
              <w:t>/</w:t>
            </w:r>
            <w:proofErr w:type="spellStart"/>
            <w:r w:rsidR="00B0531A" w:rsidRPr="00273E1C">
              <w:rPr>
                <w:rFonts w:asciiTheme="majorBidi" w:hAnsiTheme="majorBidi" w:cstheme="majorBidi"/>
                <w:szCs w:val="24"/>
              </w:rPr>
              <w:t>K·k</w:t>
            </w:r>
            <w:r w:rsidRPr="00273E1C">
              <w:rPr>
                <w:rFonts w:asciiTheme="majorBidi" w:hAnsiTheme="majorBidi" w:cstheme="majorBidi"/>
                <w:szCs w:val="24"/>
              </w:rPr>
              <w:t>g</w:t>
            </w:r>
            <w:proofErr w:type="spellEnd"/>
          </w:p>
        </w:tc>
      </w:tr>
      <w:tr w:rsidR="00843B52" w:rsidRPr="005D2A23" w14:paraId="1B847F6F" w14:textId="77777777" w:rsidTr="00CB212B">
        <w:tc>
          <w:tcPr>
            <w:tcW w:w="923" w:type="dxa"/>
            <w:shd w:val="clear" w:color="auto" w:fill="auto"/>
          </w:tcPr>
          <w:p w14:paraId="71DA6DAF" w14:textId="77777777" w:rsidR="00843B52" w:rsidRPr="005D2A23" w:rsidRDefault="00843B52" w:rsidP="00CB212B">
            <w:pPr>
              <w:spacing w:before="40" w:line="220" w:lineRule="exact"/>
              <w:rPr>
                <w:rFonts w:asciiTheme="majorBidi" w:hAnsiTheme="majorBidi" w:cstheme="majorBidi"/>
                <w:szCs w:val="24"/>
              </w:rPr>
            </w:pPr>
            <w:r w:rsidRPr="005D2A23">
              <w:rPr>
                <w:rFonts w:asciiTheme="majorBidi" w:hAnsiTheme="majorBidi" w:cstheme="majorBidi"/>
                <w:szCs w:val="24"/>
              </w:rPr>
              <w:t>(A)</w:t>
            </w:r>
          </w:p>
        </w:tc>
        <w:tc>
          <w:tcPr>
            <w:tcW w:w="3447" w:type="dxa"/>
            <w:gridSpan w:val="2"/>
            <w:shd w:val="clear" w:color="auto" w:fill="auto"/>
          </w:tcPr>
          <w:p w14:paraId="63AED446" w14:textId="77777777" w:rsidR="00843B52" w:rsidRPr="005D2A23" w:rsidRDefault="00843B52" w:rsidP="00CB212B">
            <w:pPr>
              <w:spacing w:before="40" w:line="220" w:lineRule="exact"/>
              <w:rPr>
                <w:rFonts w:asciiTheme="majorBidi" w:hAnsiTheme="majorBidi" w:cstheme="majorBidi"/>
                <w:szCs w:val="24"/>
              </w:rPr>
            </w:pPr>
            <w:r w:rsidRPr="005D2A23">
              <w:rPr>
                <w:rFonts w:asciiTheme="majorBidi" w:hAnsiTheme="majorBidi" w:cstheme="majorBidi"/>
                <w:szCs w:val="24"/>
              </w:rPr>
              <w:t xml:space="preserve">Critical ambient temperature </w:t>
            </w:r>
            <w:r w:rsidRPr="005D2A23">
              <w:rPr>
                <w:rFonts w:asciiTheme="majorBidi" w:hAnsiTheme="majorBidi" w:cstheme="majorBidi"/>
                <w:szCs w:val="24"/>
              </w:rPr>
              <w:br/>
              <w:t>(intercept of heat loss with the abscissa)</w:t>
            </w:r>
          </w:p>
        </w:tc>
        <w:tc>
          <w:tcPr>
            <w:tcW w:w="733" w:type="dxa"/>
            <w:gridSpan w:val="2"/>
            <w:shd w:val="clear" w:color="auto" w:fill="auto"/>
          </w:tcPr>
          <w:p w14:paraId="45126B74" w14:textId="77777777" w:rsidR="00843B52" w:rsidRPr="005D2A23" w:rsidRDefault="00843B52" w:rsidP="00CB212B">
            <w:pPr>
              <w:spacing w:before="40" w:line="220" w:lineRule="exact"/>
              <w:rPr>
                <w:rFonts w:asciiTheme="majorBidi" w:hAnsiTheme="majorBidi" w:cstheme="majorBidi"/>
                <w:szCs w:val="24"/>
              </w:rPr>
            </w:pPr>
            <w:r w:rsidRPr="005D2A23">
              <w:rPr>
                <w:rFonts w:asciiTheme="majorBidi" w:hAnsiTheme="majorBidi" w:cstheme="majorBidi"/>
                <w:szCs w:val="24"/>
              </w:rPr>
              <w:t>(B)</w:t>
            </w:r>
          </w:p>
        </w:tc>
        <w:tc>
          <w:tcPr>
            <w:tcW w:w="3556" w:type="dxa"/>
            <w:gridSpan w:val="3"/>
            <w:shd w:val="clear" w:color="auto" w:fill="auto"/>
          </w:tcPr>
          <w:p w14:paraId="6EB11BCD" w14:textId="77777777" w:rsidR="00843B52" w:rsidRPr="00273E1C" w:rsidRDefault="00843B52" w:rsidP="00CB212B">
            <w:pPr>
              <w:spacing w:before="40" w:line="220" w:lineRule="exact"/>
              <w:rPr>
                <w:rFonts w:asciiTheme="majorBidi" w:hAnsiTheme="majorBidi" w:cstheme="majorBidi"/>
                <w:szCs w:val="24"/>
              </w:rPr>
            </w:pPr>
            <w:r w:rsidRPr="00273E1C">
              <w:rPr>
                <w:rFonts w:asciiTheme="majorBidi" w:hAnsiTheme="majorBidi" w:cstheme="majorBidi"/>
                <w:szCs w:val="24"/>
              </w:rPr>
              <w:t>SADT or SAPT (Critical ambient temperature rounded up to next higher multiple of 5</w:t>
            </w:r>
            <w:r w:rsidRPr="00273E1C">
              <w:t> </w:t>
            </w:r>
            <w:r w:rsidRPr="00273E1C">
              <w:rPr>
                <w:rFonts w:asciiTheme="majorBidi" w:hAnsiTheme="majorBidi" w:cstheme="majorBidi"/>
                <w:szCs w:val="24"/>
              </w:rPr>
              <w:t>°C)</w:t>
            </w:r>
          </w:p>
        </w:tc>
      </w:tr>
    </w:tbl>
    <w:p w14:paraId="451997D2" w14:textId="046C8A70" w:rsidR="00843B52" w:rsidRDefault="00843B52" w:rsidP="00843B52">
      <w:pPr>
        <w:pStyle w:val="SingleTxtG"/>
        <w:jc w:val="right"/>
      </w:pPr>
      <w:r>
        <w:t>”</w:t>
      </w:r>
    </w:p>
    <w:p w14:paraId="01E22C9C" w14:textId="77777777" w:rsidR="00843B52" w:rsidRDefault="00843B52" w:rsidP="00843B52">
      <w:pPr>
        <w:pStyle w:val="SingleTxtG"/>
        <w:tabs>
          <w:tab w:val="left" w:pos="2268"/>
        </w:tabs>
        <w:ind w:left="2268" w:hanging="1134"/>
      </w:pPr>
      <w:r w:rsidRPr="0085508E">
        <w:t>28.4.4.1.1</w:t>
      </w:r>
      <w:r w:rsidRPr="0085508E">
        <w:tab/>
        <w:t>In the first sentence insert “or polymerization” after “exothermic decomposition” and amend the last sentence to read as follows: “The method can be used for the determination of the SADT or SAPT of a liquid substance in its packaging, including IBCs and small tanks (up to 2 m</w:t>
      </w:r>
      <w:r>
        <w:t>³</w:t>
      </w:r>
      <w:r w:rsidRPr="0085508E">
        <w:t>) as well as for a solid substance in its packaging up to 50 kg.”.</w:t>
      </w:r>
    </w:p>
    <w:p w14:paraId="5CD5FD90" w14:textId="5A5E5A6D" w:rsidR="00843B52" w:rsidRPr="006B77C6" w:rsidRDefault="00843B52" w:rsidP="00843B52">
      <w:pPr>
        <w:pStyle w:val="SingleTxtG"/>
        <w:tabs>
          <w:tab w:val="left" w:pos="2268"/>
        </w:tabs>
        <w:ind w:left="2268" w:hanging="1134"/>
      </w:pPr>
      <w:r w:rsidRPr="0085508E">
        <w:t>28.4.4.2.2</w:t>
      </w:r>
      <w:r w:rsidRPr="0085508E">
        <w:tab/>
        <w:t xml:space="preserve">In the first </w:t>
      </w:r>
      <w:r w:rsidRPr="006B77C6">
        <w:t>sentence replace “cell” by “chamber”.</w:t>
      </w:r>
    </w:p>
    <w:p w14:paraId="186D738E" w14:textId="77777777" w:rsidR="00843B52" w:rsidRDefault="00843B52" w:rsidP="00843B52">
      <w:pPr>
        <w:pStyle w:val="SingleTxtG"/>
        <w:tabs>
          <w:tab w:val="left" w:pos="2268"/>
        </w:tabs>
        <w:ind w:left="2268" w:hanging="1134"/>
      </w:pPr>
      <w:r w:rsidRPr="0085508E">
        <w:t>28.4.4.2.3</w:t>
      </w:r>
      <w:r>
        <w:tab/>
        <w:t>In the first sentence replace “1.5 to 2.0 mm” by “1.5 mm to 2.0 mm” and “is used” by “can be used”.</w:t>
      </w:r>
    </w:p>
    <w:p w14:paraId="39F6CAD4" w14:textId="1D062095" w:rsidR="00843B52" w:rsidRPr="00074038" w:rsidRDefault="00843B52" w:rsidP="00843B52">
      <w:pPr>
        <w:pStyle w:val="SingleTxtG"/>
        <w:tabs>
          <w:tab w:val="left" w:pos="2268"/>
        </w:tabs>
        <w:ind w:left="2268" w:hanging="1134"/>
      </w:pPr>
      <w:r>
        <w:tab/>
      </w:r>
      <w:r w:rsidRPr="00074038">
        <w:t xml:space="preserve">Amend the </w:t>
      </w:r>
      <w:r w:rsidR="00C1504A" w:rsidRPr="00074038">
        <w:t xml:space="preserve">last </w:t>
      </w:r>
      <w:r w:rsidR="000539DC" w:rsidRPr="00074038">
        <w:t>two sentences</w:t>
      </w:r>
      <w:r w:rsidRPr="00074038">
        <w:t xml:space="preserve"> to read as follows: </w:t>
      </w:r>
    </w:p>
    <w:p w14:paraId="4BD0025A" w14:textId="37CF8DC0" w:rsidR="00843B52" w:rsidRPr="0085508E" w:rsidRDefault="00843B52" w:rsidP="00203D31">
      <w:pPr>
        <w:pStyle w:val="SingleTxtG"/>
      </w:pPr>
      <w:r w:rsidRPr="00074038">
        <w:tab/>
        <w:t xml:space="preserve">“The air temperature in the double walled metal chamber should be controlled so that the desired temperature for a liquid inert sample in the Dewar vessel </w:t>
      </w:r>
      <w:r w:rsidR="00BE7D88" w:rsidRPr="00074038">
        <w:t>can</w:t>
      </w:r>
      <w:r w:rsidRPr="00074038">
        <w:t xml:space="preserve"> be maintained with a deviation o</w:t>
      </w:r>
      <w:r w:rsidRPr="00BE7D88">
        <w:t xml:space="preserve">f not more than ± 1 °C for up to 10 days. The air temperature in the double walled metal chamber and the sample temperature in the Dewar </w:t>
      </w:r>
      <w:r w:rsidR="00665D7E">
        <w:t xml:space="preserve">vessel </w:t>
      </w:r>
      <w:r w:rsidRPr="00BE7D88">
        <w:t>sh</w:t>
      </w:r>
      <w:r w:rsidRPr="0085508E">
        <w:t>ould be measured and recorded.</w:t>
      </w:r>
      <w:r>
        <w:t>”</w:t>
      </w:r>
    </w:p>
    <w:p w14:paraId="05F720A6" w14:textId="5DDFE8D5" w:rsidR="00843B52" w:rsidRPr="0085508E" w:rsidRDefault="00843B52" w:rsidP="00843B52">
      <w:pPr>
        <w:pStyle w:val="SingleTxtG"/>
        <w:tabs>
          <w:tab w:val="left" w:pos="2268"/>
        </w:tabs>
        <w:ind w:left="2268" w:hanging="1134"/>
      </w:pPr>
      <w:r w:rsidRPr="0085508E">
        <w:t>28.4.4.2.4</w:t>
      </w:r>
      <w:r w:rsidRPr="0085508E">
        <w:tab/>
        <w:t xml:space="preserve">Amend the third sentence to read as follows: “The air temperature in the oven and the sample temperature in the Dewar </w:t>
      </w:r>
      <w:r w:rsidR="00CB5001">
        <w:t xml:space="preserve">vessel </w:t>
      </w:r>
      <w:r w:rsidRPr="0085508E">
        <w:t>should be measured and recorded.”.</w:t>
      </w:r>
    </w:p>
    <w:p w14:paraId="74AC2DA2" w14:textId="1D3A6E77" w:rsidR="00843B52" w:rsidRPr="00135CE9" w:rsidRDefault="00843B52" w:rsidP="00843B52">
      <w:pPr>
        <w:pStyle w:val="SingleTxtG"/>
        <w:tabs>
          <w:tab w:val="left" w:pos="2268"/>
        </w:tabs>
        <w:ind w:left="2268" w:hanging="1134"/>
      </w:pPr>
      <w:r w:rsidRPr="00135CE9">
        <w:t>28.4.4.2.5</w:t>
      </w:r>
      <w:r>
        <w:tab/>
        <w:t>Add the following sentence at the end of the paragraph: “</w:t>
      </w:r>
      <w:r w:rsidRPr="00135CE9">
        <w:t xml:space="preserve">The air temperature in the chamber and the sample temperature in the Dewar </w:t>
      </w:r>
      <w:r w:rsidR="00BF6CCD">
        <w:t xml:space="preserve">vessel </w:t>
      </w:r>
      <w:r w:rsidRPr="00135CE9">
        <w:t>should be measured and recorded.”.</w:t>
      </w:r>
    </w:p>
    <w:p w14:paraId="0C5F9BF0" w14:textId="77777777" w:rsidR="00843B52" w:rsidRPr="005D2A23" w:rsidRDefault="00843B52" w:rsidP="00843B52">
      <w:pPr>
        <w:pStyle w:val="SingleTxtG"/>
        <w:tabs>
          <w:tab w:val="left" w:pos="2268"/>
        </w:tabs>
        <w:ind w:left="2268" w:hanging="1134"/>
      </w:pPr>
      <w:r w:rsidRPr="005D2A23">
        <w:t>28.4.4.2.6</w:t>
      </w:r>
      <w:r w:rsidRPr="005D2A23">
        <w:tab/>
        <w:t>Amend the first sentence to read as follows: “Dewar vessels, with their closure system, are used with heat loss characteristics which are representative of the maximum package size under investigation (see also table 28.4).”.</w:t>
      </w:r>
    </w:p>
    <w:p w14:paraId="4AEDF1DF" w14:textId="77777777" w:rsidR="00843B52" w:rsidRPr="005D2A23" w:rsidRDefault="00843B52" w:rsidP="00843B52">
      <w:pPr>
        <w:pStyle w:val="SingleTxtG"/>
        <w:tabs>
          <w:tab w:val="left" w:pos="2268"/>
        </w:tabs>
        <w:ind w:left="2268" w:hanging="1134"/>
      </w:pPr>
      <w:r w:rsidRPr="005D2A23">
        <w:lastRenderedPageBreak/>
        <w:tab/>
        <w:t>Amend the end of the second sentence to read “should be made of inert material”.</w:t>
      </w:r>
    </w:p>
    <w:p w14:paraId="2564CDE2" w14:textId="77777777" w:rsidR="00843B52" w:rsidRPr="005D2A23" w:rsidRDefault="00843B52" w:rsidP="00843B52">
      <w:pPr>
        <w:pStyle w:val="SingleTxtG"/>
        <w:tabs>
          <w:tab w:val="left" w:pos="2268"/>
        </w:tabs>
        <w:ind w:left="2268" w:hanging="1134"/>
      </w:pPr>
      <w:r>
        <w:tab/>
      </w:r>
      <w:r w:rsidRPr="005D2A23">
        <w:t xml:space="preserve">Amend the beginning of the fourth sentence to read: “An example of a closure system” and insert “and wetted solids” after “medium volatility”. </w:t>
      </w:r>
    </w:p>
    <w:p w14:paraId="273B10B9" w14:textId="77777777" w:rsidR="00843B52" w:rsidRPr="005D2A23" w:rsidRDefault="00843B52" w:rsidP="00843B52">
      <w:pPr>
        <w:pStyle w:val="SingleTxtG"/>
        <w:tabs>
          <w:tab w:val="left" w:pos="2268"/>
        </w:tabs>
        <w:ind w:left="2268" w:hanging="1134"/>
      </w:pPr>
      <w:r w:rsidRPr="005D2A23">
        <w:tab/>
        <w:t>Amend the fifth sentence to read as follows: “Samples which are highly volatile at the test temperature should be tested in a pressure-tight vessel that is made of a material compatible with the sample and fitted with a pressure relief valve.”.</w:t>
      </w:r>
    </w:p>
    <w:p w14:paraId="1FFD56D6" w14:textId="3A8FA49E" w:rsidR="00843B52" w:rsidRPr="005D52AA" w:rsidRDefault="00843B52" w:rsidP="00843B52">
      <w:pPr>
        <w:pStyle w:val="SingleTxtG"/>
        <w:tabs>
          <w:tab w:val="left" w:pos="2268"/>
        </w:tabs>
        <w:ind w:left="2268" w:hanging="1134"/>
      </w:pPr>
      <w:r w:rsidRPr="005D52AA">
        <w:t>28.4.4.2.7</w:t>
      </w:r>
      <w:r w:rsidRPr="005D52AA">
        <w:tab/>
        <w:t xml:space="preserve">Replace the second sentence with the following: “Small adjustments to the heat loss characteristics of the Dewar </w:t>
      </w:r>
      <w:r w:rsidR="002D35B0" w:rsidRPr="005D52AA">
        <w:t xml:space="preserve">vessel </w:t>
      </w:r>
      <w:r w:rsidRPr="005D52AA">
        <w:t>can be achieved by varying the closure system.”.</w:t>
      </w:r>
    </w:p>
    <w:p w14:paraId="54F90A1C" w14:textId="77777777" w:rsidR="00843B52" w:rsidRPr="005D52AA" w:rsidRDefault="00843B52" w:rsidP="00843B52">
      <w:pPr>
        <w:pStyle w:val="SingleTxtG"/>
        <w:tabs>
          <w:tab w:val="left" w:pos="2268"/>
        </w:tabs>
        <w:ind w:left="2268"/>
      </w:pPr>
      <w:r w:rsidRPr="005D52AA">
        <w:t>In the last sentence replace “0.5 litres” by “0.3 litres”.</w:t>
      </w:r>
    </w:p>
    <w:p w14:paraId="7105C11D" w14:textId="0FA55AE4" w:rsidR="00843B52" w:rsidRPr="001E538A" w:rsidRDefault="00843B52" w:rsidP="00843B52">
      <w:pPr>
        <w:pStyle w:val="SingleTxtG"/>
        <w:ind w:left="2268" w:hanging="1134"/>
      </w:pPr>
      <w:r w:rsidRPr="005D52AA">
        <w:t>28.4.4.2.8</w:t>
      </w:r>
      <w:r w:rsidRPr="005D52AA">
        <w:tab/>
        <w:t xml:space="preserve">Amend the first </w:t>
      </w:r>
      <w:r w:rsidR="00013789" w:rsidRPr="005D52AA">
        <w:t xml:space="preserve">two </w:t>
      </w:r>
      <w:r w:rsidRPr="005D52AA">
        <w:t>sentence</w:t>
      </w:r>
      <w:r w:rsidR="00013789" w:rsidRPr="005D52AA">
        <w:t>s</w:t>
      </w:r>
      <w:r w:rsidRPr="005D52AA">
        <w:t xml:space="preserve"> to read as follows: “Dewar vessels with a volume of 300 – 500 ml, filled at 80 % with a liquid substance, with a heat loss as given in Table 28.4</w:t>
      </w:r>
      <w:r w:rsidR="00C60C29" w:rsidRPr="005D52AA">
        <w:t xml:space="preserve"> </w:t>
      </w:r>
      <w:r w:rsidR="00FE0173" w:rsidRPr="005D52AA">
        <w:t>should be used</w:t>
      </w:r>
      <w:r w:rsidRPr="005D52AA">
        <w:t>. For larger packages, IBCs or small tanks</w:t>
      </w:r>
      <w:r w:rsidR="00C07CB2" w:rsidRPr="005D52AA">
        <w:t>,</w:t>
      </w:r>
      <w:r w:rsidRPr="005D52AA">
        <w:t xml:space="preserve"> larger Dewar vessels with lower heat loss</w:t>
      </w:r>
      <w:r w:rsidR="00176841" w:rsidRPr="005D52AA">
        <w:t>es</w:t>
      </w:r>
      <w:r w:rsidRPr="005D52AA">
        <w:t xml:space="preserve"> per unit mass shoul</w:t>
      </w:r>
      <w:r w:rsidRPr="00C66C7D">
        <w:t>d be used (see Table 28.4).</w:t>
      </w:r>
      <w:r w:rsidRPr="001E538A">
        <w:t>”</w:t>
      </w:r>
      <w:r w:rsidR="00DF065C">
        <w:t>.</w:t>
      </w:r>
    </w:p>
    <w:p w14:paraId="04CE79CA" w14:textId="77777777" w:rsidR="00843B52" w:rsidRPr="001E538A" w:rsidRDefault="00843B52" w:rsidP="00843B52">
      <w:pPr>
        <w:pStyle w:val="SingleTxtG"/>
        <w:ind w:left="2268" w:hanging="1134"/>
        <w:rPr>
          <w:strike/>
        </w:rPr>
      </w:pPr>
      <w:r w:rsidRPr="001E538A">
        <w:tab/>
        <w:t xml:space="preserve">Delete the last sentence “For example…and small tanks.” </w:t>
      </w:r>
    </w:p>
    <w:p w14:paraId="0022DE6D" w14:textId="4F84116D" w:rsidR="00843B52" w:rsidRPr="005D2A23" w:rsidRDefault="00843B52" w:rsidP="00843B52">
      <w:pPr>
        <w:pStyle w:val="SingleTxtG"/>
        <w:tabs>
          <w:tab w:val="left" w:pos="2268"/>
        </w:tabs>
        <w:ind w:left="2268" w:hanging="1134"/>
      </w:pPr>
      <w:r w:rsidRPr="001E538A">
        <w:t>28.4.4.3.1</w:t>
      </w:r>
      <w:r w:rsidRPr="001E538A">
        <w:tab/>
      </w:r>
      <w:r w:rsidRPr="00303902">
        <w:t xml:space="preserve">In the </w:t>
      </w:r>
      <w:r w:rsidR="00A74EE3" w:rsidRPr="00303902">
        <w:t>second</w:t>
      </w:r>
      <w:r w:rsidRPr="00303902">
        <w:t xml:space="preserve"> sentence, replace “under test” with “to be tested”. </w:t>
      </w:r>
      <w:r w:rsidR="00AF7C5C" w:rsidRPr="00303902">
        <w:t>Replace</w:t>
      </w:r>
      <w:r w:rsidRPr="00303902">
        <w:t xml:space="preserve"> the </w:t>
      </w:r>
      <w:r w:rsidR="004127D3" w:rsidRPr="00303902">
        <w:t>fourth</w:t>
      </w:r>
      <w:r w:rsidRPr="00303902">
        <w:t xml:space="preserve"> sentence </w:t>
      </w:r>
      <w:r w:rsidR="00C9222F" w:rsidRPr="00303902">
        <w:t>by</w:t>
      </w:r>
      <w:r w:rsidRPr="00303902">
        <w:t xml:space="preserve">: “In case of </w:t>
      </w:r>
      <w:r w:rsidR="00716ABB" w:rsidRPr="00303902">
        <w:t xml:space="preserve">a </w:t>
      </w:r>
      <w:r w:rsidRPr="00303902">
        <w:t>cylindrical Dewar vessel</w:t>
      </w:r>
      <w:r w:rsidR="00C9222F" w:rsidRPr="00303902">
        <w:t>,</w:t>
      </w:r>
      <w:r w:rsidRPr="00303902">
        <w:t xml:space="preserve"> the temperature probe is inserted centrally 1/3 of the inner height of the D</w:t>
      </w:r>
      <w:r w:rsidRPr="001E538A">
        <w:t>ewar from the bottom of the Dewar vessel.”.</w:t>
      </w:r>
    </w:p>
    <w:p w14:paraId="54BBBD3C" w14:textId="38C420AB" w:rsidR="00843B52" w:rsidRPr="005D2A23" w:rsidRDefault="00843B52" w:rsidP="00843B52">
      <w:pPr>
        <w:pStyle w:val="SingleTxtG"/>
        <w:tabs>
          <w:tab w:val="left" w:pos="2268"/>
        </w:tabs>
        <w:ind w:left="2268" w:hanging="1134"/>
      </w:pPr>
      <w:r w:rsidRPr="005D2A23">
        <w:t>28.4.4.3.2</w:t>
      </w:r>
      <w:r w:rsidRPr="005D2A23">
        <w:tab/>
        <w:t xml:space="preserve">In the </w:t>
      </w:r>
      <w:r w:rsidR="00B4209E">
        <w:t>penultimate</w:t>
      </w:r>
      <w:r w:rsidRPr="005D2A23">
        <w:t xml:space="preserve"> sentence replace</w:t>
      </w:r>
      <w:r>
        <w:t xml:space="preserve"> “</w:t>
      </w:r>
      <w:r w:rsidRPr="005D2A23">
        <w:t>if this occurs sooner” by “</w:t>
      </w:r>
      <w:r w:rsidR="00082593">
        <w:t xml:space="preserve">, </w:t>
      </w:r>
      <w:r w:rsidRPr="005D2A23">
        <w:t>whichever occurs sooner”. Delete the last sentence (“Note the time…maximum temperature.).</w:t>
      </w:r>
    </w:p>
    <w:p w14:paraId="41578522" w14:textId="1C0229AC" w:rsidR="00843B52" w:rsidRPr="005D2A23" w:rsidRDefault="00843B52" w:rsidP="00843B52">
      <w:pPr>
        <w:pStyle w:val="SingleTxtG"/>
        <w:tabs>
          <w:tab w:val="left" w:pos="2268"/>
        </w:tabs>
        <w:ind w:left="2268" w:hanging="1134"/>
      </w:pPr>
      <w:r w:rsidRPr="005D2A23">
        <w:t>28.4.4.3.4</w:t>
      </w:r>
      <w:r w:rsidRPr="005D2A23">
        <w:tab/>
        <w:t>Delete the first sentence (“Repeat…steps”.). Amend the new first sentence to read as follows: “If the substance is being tested to determine if temperature control is necessary, perform sufficient tests, in steps of 5 °C using fresh samples, to determine the SADT or SAPT to the nearest 5 °C or to determine if the SADT or SAPT is equal to or less than the applicable temperature specified in Table 28.2.</w:t>
      </w:r>
      <w:r w:rsidR="002E7C82">
        <w:t>”</w:t>
      </w:r>
      <w:r w:rsidR="00EF7120">
        <w:t>.</w:t>
      </w:r>
    </w:p>
    <w:p w14:paraId="559B4583" w14:textId="77777777" w:rsidR="00843B52" w:rsidRPr="0074789B" w:rsidRDefault="00843B52" w:rsidP="00843B52">
      <w:pPr>
        <w:pStyle w:val="SingleTxtG"/>
        <w:tabs>
          <w:tab w:val="left" w:pos="2268"/>
        </w:tabs>
        <w:ind w:left="2268" w:hanging="1134"/>
      </w:pPr>
      <w:r w:rsidRPr="005D2A23">
        <w:t>28.4.4.4.1</w:t>
      </w:r>
      <w:r w:rsidRPr="005D2A23">
        <w:tab/>
        <w:t>Amend the first sentence to read as follows: “The SADT or SAPT is reported as t</w:t>
      </w:r>
      <w:r w:rsidRPr="0074789B">
        <w:t>he lowest chamber temperature at which the sample temperature exceeds the chamber temperature by 6 °C or more within the seven days testing time frame (see 28.4.4.3.2).”. In the second sentence delete “test” before “chamber”.</w:t>
      </w:r>
    </w:p>
    <w:p w14:paraId="4FFD08D8" w14:textId="0028D278" w:rsidR="003C3E4A" w:rsidRPr="0074789B" w:rsidRDefault="00843B52" w:rsidP="00843B52">
      <w:pPr>
        <w:pStyle w:val="SingleTxtG"/>
        <w:tabs>
          <w:tab w:val="left" w:pos="2268"/>
        </w:tabs>
        <w:ind w:left="2268" w:hanging="1134"/>
      </w:pPr>
      <w:r w:rsidRPr="0074789B">
        <w:t>28.4.4.5</w:t>
      </w:r>
      <w:r w:rsidRPr="0074789B">
        <w:tab/>
      </w:r>
      <w:r w:rsidR="00A57251" w:rsidRPr="0074789B">
        <w:t xml:space="preserve">In the heading of the table, </w:t>
      </w:r>
      <w:r w:rsidR="00B25CA5">
        <w:t xml:space="preserve">third column, </w:t>
      </w:r>
      <w:r w:rsidR="00A57251" w:rsidRPr="0074789B">
        <w:t xml:space="preserve">replace </w:t>
      </w:r>
      <w:r w:rsidR="003C3E4A" w:rsidRPr="0074789B">
        <w:t>“</w:t>
      </w:r>
      <w:proofErr w:type="spellStart"/>
      <w:r w:rsidR="003C3E4A" w:rsidRPr="0074789B">
        <w:t>mW</w:t>
      </w:r>
      <w:proofErr w:type="spellEnd"/>
      <w:r w:rsidR="003C3E4A" w:rsidRPr="0074789B">
        <w:t>/</w:t>
      </w:r>
      <w:proofErr w:type="spellStart"/>
      <w:r w:rsidR="003C3E4A" w:rsidRPr="0074789B">
        <w:t>kg.K</w:t>
      </w:r>
      <w:proofErr w:type="spellEnd"/>
      <w:r w:rsidR="003C3E4A" w:rsidRPr="0074789B">
        <w:t>” by “</w:t>
      </w:r>
      <w:proofErr w:type="spellStart"/>
      <w:r w:rsidR="003C3E4A" w:rsidRPr="0074789B">
        <w:t>mW</w:t>
      </w:r>
      <w:proofErr w:type="spellEnd"/>
      <w:r w:rsidR="003C3E4A" w:rsidRPr="0074789B">
        <w:t>/</w:t>
      </w:r>
      <w:proofErr w:type="spellStart"/>
      <w:r w:rsidR="003C3E4A" w:rsidRPr="0074789B">
        <w:t>K·kg</w:t>
      </w:r>
      <w:proofErr w:type="spellEnd"/>
      <w:r w:rsidR="003C3E4A" w:rsidRPr="0074789B">
        <w:t>”.</w:t>
      </w:r>
    </w:p>
    <w:p w14:paraId="40C69C77" w14:textId="39492B9F" w:rsidR="00843B52" w:rsidRPr="005D2A23" w:rsidRDefault="003C3E4A" w:rsidP="00843B52">
      <w:pPr>
        <w:pStyle w:val="SingleTxtG"/>
        <w:tabs>
          <w:tab w:val="left" w:pos="2268"/>
        </w:tabs>
        <w:ind w:left="2268" w:hanging="1134"/>
      </w:pPr>
      <w:r w:rsidRPr="0074789B">
        <w:tab/>
      </w:r>
      <w:r w:rsidR="00843B52" w:rsidRPr="0074789B">
        <w:t>Insert a reference to a new note “c” after the name of all the substances currently listed in the table except for “2,2'-A</w:t>
      </w:r>
      <w:r w:rsidR="00843B52" w:rsidRPr="005D2A23">
        <w:t>zodi(</w:t>
      </w:r>
      <w:proofErr w:type="spellStart"/>
      <w:r w:rsidR="00843B52" w:rsidRPr="005D2A23">
        <w:t>isobutyronitrile</w:t>
      </w:r>
      <w:proofErr w:type="spellEnd"/>
      <w:r w:rsidR="00843B52" w:rsidRPr="005D2A23">
        <w:t>)”.</w:t>
      </w:r>
    </w:p>
    <w:p w14:paraId="1E6D4DF6" w14:textId="350EAE8C" w:rsidR="00843B52" w:rsidRPr="005D2A23" w:rsidRDefault="0073118B" w:rsidP="00843B52">
      <w:pPr>
        <w:pStyle w:val="SingleTxtG"/>
        <w:tabs>
          <w:tab w:val="left" w:pos="2268"/>
        </w:tabs>
        <w:ind w:left="2268"/>
      </w:pPr>
      <w:r>
        <w:t>F</w:t>
      </w:r>
      <w:r w:rsidR="00843B52" w:rsidRPr="005D2A23">
        <w:t>or 2,2'-Azodi(</w:t>
      </w:r>
      <w:proofErr w:type="spellStart"/>
      <w:r w:rsidR="00843B52" w:rsidRPr="005D2A23">
        <w:t>isobutyronitrile</w:t>
      </w:r>
      <w:proofErr w:type="spellEnd"/>
      <w:r w:rsidR="00843B52" w:rsidRPr="005D2A23">
        <w:t>), replace “0.18” by “0.28” and “62” by</w:t>
      </w:r>
      <w:r w:rsidR="00F3087F">
        <w:t xml:space="preserve"> “</w:t>
      </w:r>
      <w:r w:rsidR="00843B52" w:rsidRPr="005D2A23">
        <w:t>27”.</w:t>
      </w:r>
    </w:p>
    <w:p w14:paraId="625489D7" w14:textId="77777777" w:rsidR="00843B52" w:rsidRPr="005D2A23" w:rsidRDefault="00843B52" w:rsidP="00843B52">
      <w:pPr>
        <w:pStyle w:val="SingleTxtG"/>
        <w:tabs>
          <w:tab w:val="left" w:pos="2268"/>
        </w:tabs>
        <w:ind w:left="2268"/>
      </w:pPr>
      <w:r w:rsidRPr="005D2A23">
        <w:t>Insert the following new entries at the end of the current list:</w:t>
      </w:r>
    </w:p>
    <w:tbl>
      <w:tblPr>
        <w:tblW w:w="5000" w:type="pct"/>
        <w:tblCellMar>
          <w:left w:w="120" w:type="dxa"/>
          <w:right w:w="120" w:type="dxa"/>
        </w:tblCellMar>
        <w:tblLook w:val="0000" w:firstRow="0" w:lastRow="0" w:firstColumn="0" w:lastColumn="0" w:noHBand="0" w:noVBand="0"/>
      </w:tblPr>
      <w:tblGrid>
        <w:gridCol w:w="5161"/>
        <w:gridCol w:w="1382"/>
        <w:gridCol w:w="1621"/>
        <w:gridCol w:w="1475"/>
      </w:tblGrid>
      <w:tr w:rsidR="00843B52" w:rsidRPr="00904ADC" w14:paraId="03AA31FA" w14:textId="77777777" w:rsidTr="00CB212B">
        <w:trPr>
          <w:cantSplit/>
        </w:trPr>
        <w:tc>
          <w:tcPr>
            <w:tcW w:w="2677" w:type="pct"/>
            <w:tcBorders>
              <w:top w:val="single" w:sz="8" w:space="0" w:color="auto"/>
              <w:bottom w:val="single" w:sz="8" w:space="0" w:color="auto"/>
            </w:tcBorders>
          </w:tcPr>
          <w:p w14:paraId="6038F524" w14:textId="77777777" w:rsidR="00843B52" w:rsidRPr="00904ADC" w:rsidRDefault="00843B52" w:rsidP="00CB212B">
            <w:pPr>
              <w:pStyle w:val="MTabTxt"/>
              <w:rPr>
                <w:b/>
                <w:bCs/>
                <w:sz w:val="20"/>
                <w:szCs w:val="20"/>
              </w:rPr>
            </w:pPr>
            <w:r w:rsidRPr="00904ADC">
              <w:rPr>
                <w:b/>
                <w:bCs/>
                <w:sz w:val="20"/>
                <w:szCs w:val="20"/>
              </w:rPr>
              <w:t>Substance</w:t>
            </w:r>
          </w:p>
        </w:tc>
        <w:tc>
          <w:tcPr>
            <w:tcW w:w="717" w:type="pct"/>
            <w:tcBorders>
              <w:top w:val="single" w:sz="8" w:space="0" w:color="auto"/>
              <w:bottom w:val="single" w:sz="8" w:space="0" w:color="auto"/>
            </w:tcBorders>
          </w:tcPr>
          <w:p w14:paraId="04213F79" w14:textId="77777777" w:rsidR="00843B52" w:rsidRPr="00904ADC" w:rsidRDefault="00843B52" w:rsidP="00CB212B">
            <w:pPr>
              <w:pStyle w:val="MTabTxt"/>
              <w:jc w:val="right"/>
              <w:rPr>
                <w:b/>
                <w:bCs/>
                <w:sz w:val="20"/>
                <w:szCs w:val="20"/>
              </w:rPr>
            </w:pPr>
            <w:r w:rsidRPr="00904ADC">
              <w:rPr>
                <w:b/>
                <w:bCs/>
                <w:sz w:val="20"/>
                <w:szCs w:val="20"/>
              </w:rPr>
              <w:t>Sample mass (kg)</w:t>
            </w:r>
          </w:p>
        </w:tc>
        <w:tc>
          <w:tcPr>
            <w:tcW w:w="841" w:type="pct"/>
            <w:tcBorders>
              <w:top w:val="single" w:sz="8" w:space="0" w:color="auto"/>
              <w:bottom w:val="single" w:sz="8" w:space="0" w:color="auto"/>
            </w:tcBorders>
          </w:tcPr>
          <w:p w14:paraId="0A8CACD3" w14:textId="77777777" w:rsidR="00843B52" w:rsidRPr="00904ADC" w:rsidRDefault="00843B52" w:rsidP="00CB212B">
            <w:pPr>
              <w:pStyle w:val="MTabTxt"/>
              <w:jc w:val="right"/>
              <w:rPr>
                <w:b/>
                <w:bCs/>
                <w:sz w:val="20"/>
                <w:szCs w:val="20"/>
              </w:rPr>
            </w:pPr>
            <w:r w:rsidRPr="00904ADC">
              <w:rPr>
                <w:b/>
                <w:bCs/>
                <w:sz w:val="20"/>
                <w:szCs w:val="20"/>
              </w:rPr>
              <w:t>Dewar heat loss (</w:t>
            </w:r>
            <w:proofErr w:type="spellStart"/>
            <w:r w:rsidRPr="00904ADC">
              <w:rPr>
                <w:b/>
                <w:bCs/>
                <w:sz w:val="20"/>
                <w:szCs w:val="20"/>
              </w:rPr>
              <w:t>mW</w:t>
            </w:r>
            <w:proofErr w:type="spellEnd"/>
            <w:r w:rsidRPr="00904ADC">
              <w:rPr>
                <w:b/>
                <w:bCs/>
                <w:sz w:val="20"/>
                <w:szCs w:val="20"/>
              </w:rPr>
              <w:t>/</w:t>
            </w:r>
            <w:proofErr w:type="spellStart"/>
            <w:r>
              <w:rPr>
                <w:b/>
                <w:bCs/>
                <w:sz w:val="20"/>
                <w:szCs w:val="20"/>
              </w:rPr>
              <w:t>K·</w:t>
            </w:r>
            <w:r w:rsidRPr="00904ADC">
              <w:rPr>
                <w:b/>
                <w:bCs/>
                <w:sz w:val="20"/>
                <w:szCs w:val="20"/>
              </w:rPr>
              <w:t>kg</w:t>
            </w:r>
            <w:proofErr w:type="spellEnd"/>
            <w:r w:rsidRPr="00904ADC">
              <w:rPr>
                <w:b/>
                <w:bCs/>
                <w:sz w:val="20"/>
                <w:szCs w:val="20"/>
              </w:rPr>
              <w:t>)</w:t>
            </w:r>
          </w:p>
        </w:tc>
        <w:tc>
          <w:tcPr>
            <w:tcW w:w="765" w:type="pct"/>
            <w:tcBorders>
              <w:top w:val="single" w:sz="8" w:space="0" w:color="auto"/>
              <w:bottom w:val="single" w:sz="8" w:space="0" w:color="auto"/>
            </w:tcBorders>
          </w:tcPr>
          <w:p w14:paraId="51CEC00A" w14:textId="77777777" w:rsidR="00843B52" w:rsidRPr="00904ADC" w:rsidRDefault="00843B52" w:rsidP="00CB212B">
            <w:pPr>
              <w:pStyle w:val="MTabTxt"/>
              <w:jc w:val="right"/>
              <w:rPr>
                <w:b/>
                <w:bCs/>
                <w:sz w:val="20"/>
                <w:szCs w:val="20"/>
              </w:rPr>
            </w:pPr>
            <w:r w:rsidRPr="00904ADC">
              <w:rPr>
                <w:b/>
                <w:bCs/>
                <w:sz w:val="20"/>
                <w:szCs w:val="20"/>
              </w:rPr>
              <w:t>SADT/SAPT</w:t>
            </w:r>
            <w:r w:rsidRPr="00904ADC">
              <w:rPr>
                <w:b/>
                <w:bCs/>
                <w:sz w:val="20"/>
                <w:szCs w:val="20"/>
              </w:rPr>
              <w:br/>
              <w:t>(°C)</w:t>
            </w:r>
          </w:p>
        </w:tc>
      </w:tr>
      <w:tr w:rsidR="00843B52" w:rsidRPr="00904ADC" w14:paraId="3067DC6E" w14:textId="77777777" w:rsidTr="00CB212B">
        <w:trPr>
          <w:cantSplit/>
        </w:trPr>
        <w:tc>
          <w:tcPr>
            <w:tcW w:w="2677" w:type="pct"/>
          </w:tcPr>
          <w:p w14:paraId="334BFE57" w14:textId="77777777" w:rsidR="00843B52" w:rsidRPr="00904ADC" w:rsidRDefault="00843B52" w:rsidP="00CB212B">
            <w:pPr>
              <w:pStyle w:val="MTabTxt"/>
              <w:rPr>
                <w:sz w:val="20"/>
                <w:szCs w:val="20"/>
              </w:rPr>
            </w:pPr>
            <w:proofErr w:type="spellStart"/>
            <w:r w:rsidRPr="00904ADC">
              <w:rPr>
                <w:sz w:val="20"/>
                <w:szCs w:val="20"/>
              </w:rPr>
              <w:t>Dilauroyl</w:t>
            </w:r>
            <w:proofErr w:type="spellEnd"/>
            <w:r w:rsidRPr="00904ADC">
              <w:rPr>
                <w:sz w:val="20"/>
                <w:szCs w:val="20"/>
              </w:rPr>
              <w:t xml:space="preserve"> peroxide, technically pure</w:t>
            </w:r>
          </w:p>
        </w:tc>
        <w:tc>
          <w:tcPr>
            <w:tcW w:w="717" w:type="pct"/>
          </w:tcPr>
          <w:p w14:paraId="05692421" w14:textId="77777777" w:rsidR="00843B52" w:rsidRPr="00904ADC" w:rsidRDefault="00843B52" w:rsidP="00CB212B">
            <w:pPr>
              <w:pStyle w:val="MTabTxt"/>
              <w:jc w:val="right"/>
              <w:rPr>
                <w:sz w:val="20"/>
                <w:szCs w:val="20"/>
              </w:rPr>
            </w:pPr>
            <w:r w:rsidRPr="00904ADC">
              <w:rPr>
                <w:sz w:val="20"/>
                <w:szCs w:val="20"/>
              </w:rPr>
              <w:t>0.16</w:t>
            </w:r>
          </w:p>
        </w:tc>
        <w:tc>
          <w:tcPr>
            <w:tcW w:w="841" w:type="pct"/>
          </w:tcPr>
          <w:p w14:paraId="2D9BB545" w14:textId="77777777" w:rsidR="00843B52" w:rsidRPr="00904ADC" w:rsidRDefault="00843B52" w:rsidP="00CB212B">
            <w:pPr>
              <w:pStyle w:val="MTabTxt"/>
              <w:jc w:val="right"/>
              <w:rPr>
                <w:sz w:val="20"/>
                <w:szCs w:val="20"/>
              </w:rPr>
            </w:pPr>
            <w:r w:rsidRPr="00904ADC">
              <w:rPr>
                <w:sz w:val="20"/>
                <w:szCs w:val="20"/>
              </w:rPr>
              <w:t>26</w:t>
            </w:r>
          </w:p>
        </w:tc>
        <w:tc>
          <w:tcPr>
            <w:tcW w:w="765" w:type="pct"/>
          </w:tcPr>
          <w:p w14:paraId="4985E325" w14:textId="77777777" w:rsidR="00843B52" w:rsidRPr="00904ADC" w:rsidRDefault="00843B52" w:rsidP="00CB212B">
            <w:pPr>
              <w:pStyle w:val="MTabTxt"/>
              <w:jc w:val="right"/>
              <w:rPr>
                <w:sz w:val="20"/>
                <w:szCs w:val="20"/>
              </w:rPr>
            </w:pPr>
            <w:r w:rsidRPr="00904ADC">
              <w:rPr>
                <w:sz w:val="20"/>
                <w:szCs w:val="20"/>
              </w:rPr>
              <w:t>50</w:t>
            </w:r>
          </w:p>
        </w:tc>
      </w:tr>
      <w:tr w:rsidR="00843B52" w:rsidRPr="00904ADC" w14:paraId="0504497A" w14:textId="77777777" w:rsidTr="00CB212B">
        <w:trPr>
          <w:cantSplit/>
        </w:trPr>
        <w:tc>
          <w:tcPr>
            <w:tcW w:w="2677" w:type="pct"/>
          </w:tcPr>
          <w:p w14:paraId="1B804792" w14:textId="77777777" w:rsidR="00843B52" w:rsidRPr="00904ADC" w:rsidRDefault="00843B52" w:rsidP="00CB212B">
            <w:pPr>
              <w:pStyle w:val="MTabTxt"/>
              <w:rPr>
                <w:sz w:val="20"/>
                <w:szCs w:val="20"/>
              </w:rPr>
            </w:pPr>
            <w:proofErr w:type="spellStart"/>
            <w:r w:rsidRPr="00904ADC">
              <w:rPr>
                <w:sz w:val="20"/>
                <w:szCs w:val="20"/>
              </w:rPr>
              <w:t>Didecanoyl</w:t>
            </w:r>
            <w:proofErr w:type="spellEnd"/>
            <w:r w:rsidRPr="00904ADC">
              <w:rPr>
                <w:sz w:val="20"/>
                <w:szCs w:val="20"/>
              </w:rPr>
              <w:t xml:space="preserve"> peroxide technically pure</w:t>
            </w:r>
          </w:p>
        </w:tc>
        <w:tc>
          <w:tcPr>
            <w:tcW w:w="717" w:type="pct"/>
          </w:tcPr>
          <w:p w14:paraId="23467D30" w14:textId="77777777" w:rsidR="00843B52" w:rsidRPr="00904ADC" w:rsidRDefault="00843B52" w:rsidP="00CB212B">
            <w:pPr>
              <w:pStyle w:val="MTabTxt"/>
              <w:jc w:val="right"/>
              <w:rPr>
                <w:sz w:val="20"/>
                <w:szCs w:val="20"/>
              </w:rPr>
            </w:pPr>
            <w:r w:rsidRPr="00904ADC">
              <w:rPr>
                <w:sz w:val="20"/>
                <w:szCs w:val="20"/>
              </w:rPr>
              <w:t>0.20</w:t>
            </w:r>
          </w:p>
        </w:tc>
        <w:tc>
          <w:tcPr>
            <w:tcW w:w="841" w:type="pct"/>
          </w:tcPr>
          <w:p w14:paraId="623D6969" w14:textId="77777777" w:rsidR="00843B52" w:rsidRPr="00904ADC" w:rsidRDefault="00843B52" w:rsidP="00CB212B">
            <w:pPr>
              <w:pStyle w:val="MTabTxt"/>
              <w:jc w:val="right"/>
              <w:rPr>
                <w:sz w:val="20"/>
                <w:szCs w:val="20"/>
              </w:rPr>
            </w:pPr>
            <w:r w:rsidRPr="00904ADC">
              <w:rPr>
                <w:sz w:val="20"/>
                <w:szCs w:val="20"/>
              </w:rPr>
              <w:t>28</w:t>
            </w:r>
          </w:p>
        </w:tc>
        <w:tc>
          <w:tcPr>
            <w:tcW w:w="765" w:type="pct"/>
          </w:tcPr>
          <w:p w14:paraId="6901CC37" w14:textId="77777777" w:rsidR="00843B52" w:rsidRPr="00904ADC" w:rsidRDefault="00843B52" w:rsidP="00CB212B">
            <w:pPr>
              <w:pStyle w:val="MTabTxt"/>
              <w:jc w:val="right"/>
              <w:rPr>
                <w:sz w:val="20"/>
                <w:szCs w:val="20"/>
              </w:rPr>
            </w:pPr>
            <w:r w:rsidRPr="00904ADC">
              <w:rPr>
                <w:sz w:val="20"/>
                <w:szCs w:val="20"/>
              </w:rPr>
              <w:t>40</w:t>
            </w:r>
          </w:p>
        </w:tc>
      </w:tr>
      <w:tr w:rsidR="00843B52" w:rsidRPr="00904ADC" w14:paraId="5E7BAE61" w14:textId="77777777" w:rsidTr="00CB212B">
        <w:trPr>
          <w:cantSplit/>
        </w:trPr>
        <w:tc>
          <w:tcPr>
            <w:tcW w:w="2677" w:type="pct"/>
            <w:tcBorders>
              <w:bottom w:val="single" w:sz="8" w:space="0" w:color="auto"/>
            </w:tcBorders>
          </w:tcPr>
          <w:p w14:paraId="10838B97" w14:textId="77777777" w:rsidR="00843B52" w:rsidRPr="00904ADC" w:rsidRDefault="00843B52" w:rsidP="00CB212B">
            <w:pPr>
              <w:pStyle w:val="MTabTxt"/>
              <w:rPr>
                <w:sz w:val="20"/>
                <w:szCs w:val="20"/>
              </w:rPr>
            </w:pPr>
            <w:r w:rsidRPr="00904ADC">
              <w:rPr>
                <w:sz w:val="20"/>
                <w:szCs w:val="20"/>
              </w:rPr>
              <w:t>N-</w:t>
            </w:r>
            <w:proofErr w:type="spellStart"/>
            <w:r w:rsidRPr="00904ADC">
              <w:rPr>
                <w:sz w:val="20"/>
                <w:szCs w:val="20"/>
              </w:rPr>
              <w:t>Vinylformamide</w:t>
            </w:r>
            <w:proofErr w:type="spellEnd"/>
          </w:p>
        </w:tc>
        <w:tc>
          <w:tcPr>
            <w:tcW w:w="717" w:type="pct"/>
            <w:tcBorders>
              <w:bottom w:val="single" w:sz="8" w:space="0" w:color="auto"/>
            </w:tcBorders>
          </w:tcPr>
          <w:p w14:paraId="218ED129" w14:textId="77777777" w:rsidR="00843B52" w:rsidRPr="00904ADC" w:rsidRDefault="00843B52" w:rsidP="00CB212B">
            <w:pPr>
              <w:pStyle w:val="MTabTxt"/>
              <w:jc w:val="right"/>
              <w:rPr>
                <w:sz w:val="20"/>
                <w:szCs w:val="20"/>
              </w:rPr>
            </w:pPr>
            <w:r w:rsidRPr="00904ADC">
              <w:rPr>
                <w:sz w:val="20"/>
                <w:szCs w:val="20"/>
              </w:rPr>
              <w:t>0.40</w:t>
            </w:r>
          </w:p>
        </w:tc>
        <w:tc>
          <w:tcPr>
            <w:tcW w:w="841" w:type="pct"/>
            <w:tcBorders>
              <w:bottom w:val="single" w:sz="8" w:space="0" w:color="auto"/>
            </w:tcBorders>
          </w:tcPr>
          <w:p w14:paraId="7EFAD94C" w14:textId="77777777" w:rsidR="00843B52" w:rsidRPr="00904ADC" w:rsidRDefault="00843B52" w:rsidP="00CB212B">
            <w:pPr>
              <w:pStyle w:val="MTabTxt"/>
              <w:jc w:val="right"/>
              <w:rPr>
                <w:sz w:val="20"/>
                <w:szCs w:val="20"/>
              </w:rPr>
            </w:pPr>
            <w:r w:rsidRPr="00904ADC">
              <w:rPr>
                <w:sz w:val="20"/>
                <w:szCs w:val="20"/>
              </w:rPr>
              <w:t>33</w:t>
            </w:r>
          </w:p>
        </w:tc>
        <w:tc>
          <w:tcPr>
            <w:tcW w:w="765" w:type="pct"/>
            <w:tcBorders>
              <w:bottom w:val="single" w:sz="8" w:space="0" w:color="auto"/>
            </w:tcBorders>
          </w:tcPr>
          <w:p w14:paraId="786F3CC8" w14:textId="77777777" w:rsidR="00843B52" w:rsidRPr="00904ADC" w:rsidRDefault="00843B52" w:rsidP="00CB212B">
            <w:pPr>
              <w:pStyle w:val="MTabTxt"/>
              <w:jc w:val="right"/>
              <w:rPr>
                <w:sz w:val="20"/>
                <w:szCs w:val="20"/>
              </w:rPr>
            </w:pPr>
            <w:r w:rsidRPr="00904ADC">
              <w:rPr>
                <w:sz w:val="20"/>
                <w:szCs w:val="20"/>
              </w:rPr>
              <w:t>55</w:t>
            </w:r>
          </w:p>
        </w:tc>
      </w:tr>
    </w:tbl>
    <w:p w14:paraId="49DDA477" w14:textId="7A6E6C13" w:rsidR="00843B52" w:rsidRPr="00E82BA4" w:rsidRDefault="00284607" w:rsidP="00284607">
      <w:pPr>
        <w:pStyle w:val="SingleTxtG"/>
        <w:tabs>
          <w:tab w:val="left" w:pos="2268"/>
        </w:tabs>
        <w:spacing w:before="120"/>
      </w:pPr>
      <w:r>
        <w:tab/>
      </w:r>
      <w:r>
        <w:tab/>
      </w:r>
      <w:r w:rsidR="00843B52" w:rsidRPr="00E82BA4">
        <w:t xml:space="preserve">Insert the following new note “c” under the table: </w:t>
      </w:r>
    </w:p>
    <w:p w14:paraId="56FB5247" w14:textId="77777777" w:rsidR="00843B52" w:rsidRDefault="00843B52" w:rsidP="00843B52">
      <w:pPr>
        <w:pStyle w:val="SingleTxtG"/>
        <w:rPr>
          <w:i/>
          <w:iCs/>
        </w:rPr>
      </w:pPr>
      <w:r w:rsidRPr="00E82BA4">
        <w:rPr>
          <w:b/>
          <w:bCs/>
          <w:i/>
          <w:iCs/>
          <w:color w:val="FF0000"/>
          <w:vertAlign w:val="superscript"/>
        </w:rPr>
        <w:tab/>
      </w:r>
      <w:r w:rsidRPr="00B170F9">
        <w:rPr>
          <w:i/>
          <w:iCs/>
        </w:rPr>
        <w:t>“</w:t>
      </w:r>
      <w:r w:rsidRPr="00E82BA4">
        <w:rPr>
          <w:b/>
          <w:bCs/>
          <w:i/>
          <w:iCs/>
          <w:vertAlign w:val="superscript"/>
        </w:rPr>
        <w:t>c</w:t>
      </w:r>
      <w:r w:rsidRPr="00E82BA4">
        <w:rPr>
          <w:i/>
          <w:iCs/>
        </w:rPr>
        <w:tab/>
        <w:t xml:space="preserve">These historical examples were determined using heat losses that are higher than those currently recommended for classification purposes (see </w:t>
      </w:r>
      <w:r>
        <w:rPr>
          <w:i/>
          <w:iCs/>
        </w:rPr>
        <w:t>T</w:t>
      </w:r>
      <w:r w:rsidRPr="00E82BA4">
        <w:rPr>
          <w:i/>
          <w:iCs/>
        </w:rPr>
        <w:t>able 28.4).”.</w:t>
      </w:r>
    </w:p>
    <w:p w14:paraId="612D78AF" w14:textId="76E8C099" w:rsidR="00F0419B" w:rsidRDefault="00F0419B" w:rsidP="00F0419B">
      <w:pPr>
        <w:pStyle w:val="H1G"/>
      </w:pPr>
      <w:r>
        <w:lastRenderedPageBreak/>
        <w:tab/>
      </w:r>
      <w:r>
        <w:tab/>
        <w:t>Section 33</w:t>
      </w:r>
    </w:p>
    <w:p w14:paraId="5B698E10" w14:textId="149D4353" w:rsidR="00F52820" w:rsidRDefault="00F52820" w:rsidP="00F52820">
      <w:pPr>
        <w:pStyle w:val="SingleTxtG"/>
      </w:pPr>
      <w:r w:rsidRPr="00F52820">
        <w:t>33.2.4.2</w:t>
      </w:r>
      <w:r>
        <w:tab/>
      </w:r>
      <w:r w:rsidRPr="00F52820">
        <w:t xml:space="preserve">In the first sentence, </w:t>
      </w:r>
      <w:r w:rsidR="00236FA4">
        <w:t>insert</w:t>
      </w:r>
      <w:r w:rsidRPr="00F52820">
        <w:t xml:space="preserve"> “inner” before “width</w:t>
      </w:r>
      <w:r w:rsidR="00236FA4">
        <w:t>”.</w:t>
      </w:r>
    </w:p>
    <w:p w14:paraId="5A31B38D" w14:textId="06FC5EE9" w:rsidR="007C3357" w:rsidRDefault="007C3357" w:rsidP="00F52820">
      <w:pPr>
        <w:pStyle w:val="SingleTxtG"/>
      </w:pPr>
      <w:r w:rsidRPr="00E94FB4">
        <w:t>Figure 33.2.4.1</w:t>
      </w:r>
      <w:r w:rsidRPr="00E94FB4">
        <w:tab/>
        <w:t xml:space="preserve">Replace inset A with the </w:t>
      </w:r>
      <w:r w:rsidR="00236FA4" w:rsidRPr="00E94FB4">
        <w:t xml:space="preserve">following </w:t>
      </w:r>
      <w:r w:rsidRPr="00E94FB4">
        <w:t>figure:</w:t>
      </w:r>
    </w:p>
    <w:p w14:paraId="46670BB5" w14:textId="73585119" w:rsidR="008D69D8" w:rsidRPr="007C3357" w:rsidRDefault="00917C7B" w:rsidP="00917C7B">
      <w:pPr>
        <w:pStyle w:val="SingleTxtG"/>
        <w:jc w:val="center"/>
      </w:pPr>
      <w:r w:rsidRPr="00917C7B">
        <w:rPr>
          <w:noProof/>
        </w:rPr>
        <w:drawing>
          <wp:inline distT="0" distB="0" distL="0" distR="0" wp14:anchorId="1E2C192E" wp14:editId="385604A8">
            <wp:extent cx="3592350" cy="2353694"/>
            <wp:effectExtent l="0" t="0" r="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96DAC541-7B7A-43D3-8B79-37D633B846F1}">
                          <asvg:svgBlip xmlns:asvg="http://schemas.microsoft.com/office/drawing/2016/SVG/main" r:embed="rId25"/>
                        </a:ext>
                      </a:extLst>
                    </a:blip>
                    <a:srcRect t="7230" b="7230"/>
                    <a:stretch/>
                  </pic:blipFill>
                  <pic:spPr bwMode="auto">
                    <a:xfrm>
                      <a:off x="0" y="0"/>
                      <a:ext cx="3617083" cy="2369899"/>
                    </a:xfrm>
                    <a:prstGeom prst="rect">
                      <a:avLst/>
                    </a:prstGeom>
                    <a:ln>
                      <a:noFill/>
                    </a:ln>
                    <a:extLst>
                      <a:ext uri="{53640926-AAD7-44D8-BBD7-CCE9431645EC}">
                        <a14:shadowObscured xmlns:a14="http://schemas.microsoft.com/office/drawing/2010/main"/>
                      </a:ext>
                    </a:extLst>
                  </pic:spPr>
                </pic:pic>
              </a:graphicData>
            </a:graphic>
          </wp:inline>
        </w:drawing>
      </w:r>
    </w:p>
    <w:p w14:paraId="287BB90D" w14:textId="77777777" w:rsidR="00F0419B" w:rsidRPr="00007C2E" w:rsidRDefault="00F0419B" w:rsidP="00F0419B">
      <w:pPr>
        <w:pStyle w:val="H1G"/>
      </w:pPr>
      <w:r>
        <w:tab/>
      </w:r>
      <w:r>
        <w:tab/>
        <w:t>Section 34</w:t>
      </w:r>
    </w:p>
    <w:p w14:paraId="10ED47F0" w14:textId="77777777" w:rsidR="00CF309D" w:rsidRDefault="00CF309D" w:rsidP="00CF309D">
      <w:pPr>
        <w:pStyle w:val="SingleTxtG"/>
        <w:ind w:left="2268" w:hanging="1134"/>
      </w:pPr>
      <w:r>
        <w:t xml:space="preserve">34.4.1.2.6 and </w:t>
      </w:r>
      <w:r w:rsidRPr="00D15F71">
        <w:t>34.4.3.2.3</w:t>
      </w:r>
      <w:r>
        <w:tab/>
        <w:t>At the end, insert a new note to read as follows:</w:t>
      </w:r>
    </w:p>
    <w:p w14:paraId="79ED797B" w14:textId="379BB239" w:rsidR="00CF309D" w:rsidRDefault="00CF309D" w:rsidP="00CF309D">
      <w:pPr>
        <w:pStyle w:val="SingleTxtG"/>
      </w:pPr>
      <w:r w:rsidRPr="00EE735C">
        <w:t>“</w:t>
      </w:r>
      <w:r w:rsidRPr="00EE735C">
        <w:rPr>
          <w:b/>
          <w:bCs/>
          <w:i/>
          <w:iCs/>
        </w:rPr>
        <w:t>NOTE:</w:t>
      </w:r>
      <w:r w:rsidRPr="00EE735C">
        <w:rPr>
          <w:i/>
          <w:iCs/>
        </w:rPr>
        <w:tab/>
        <w:t xml:space="preserve">In the case of a substance coated to reduce or suppress its oxidizing properties with a significant content (&gt; 10 % by mass) of particles less than 500 </w:t>
      </w:r>
      <w:proofErr w:type="spellStart"/>
      <w:r w:rsidRPr="00EE735C">
        <w:rPr>
          <w:i/>
          <w:iCs/>
        </w:rPr>
        <w:t>μm</w:t>
      </w:r>
      <w:proofErr w:type="spellEnd"/>
      <w:r w:rsidRPr="00EE735C">
        <w:rPr>
          <w:i/>
          <w:iCs/>
        </w:rPr>
        <w:t xml:space="preserve">, two sets of tests should be conducted: tests conducted with the substance as presented and tests conducted with particles less than 500 </w:t>
      </w:r>
      <w:proofErr w:type="spellStart"/>
      <w:r w:rsidRPr="00EE735C">
        <w:rPr>
          <w:i/>
          <w:iCs/>
        </w:rPr>
        <w:t>μm</w:t>
      </w:r>
      <w:proofErr w:type="spellEnd"/>
      <w:r w:rsidRPr="00EE735C">
        <w:rPr>
          <w:i/>
          <w:iCs/>
        </w:rPr>
        <w:t xml:space="preserve"> that were obtained from sieving the substance as presented. The substance should not be ground before sieving or testing. The final classification should be based on the test results with the most stringent classification.</w:t>
      </w:r>
      <w:r w:rsidRPr="00EE735C">
        <w:t>”</w:t>
      </w:r>
    </w:p>
    <w:p w14:paraId="0F4BFF18" w14:textId="77777777" w:rsidR="00705855" w:rsidRPr="00F2162B" w:rsidRDefault="00705855" w:rsidP="00705855">
      <w:pPr>
        <w:pStyle w:val="H1G"/>
      </w:pPr>
      <w:r w:rsidRPr="00F2162B">
        <w:tab/>
      </w:r>
      <w:r w:rsidRPr="00F2162B">
        <w:tab/>
        <w:t>Section 37</w:t>
      </w:r>
    </w:p>
    <w:p w14:paraId="718605E5" w14:textId="77777777" w:rsidR="00705855" w:rsidRPr="00F2162B" w:rsidRDefault="00705855" w:rsidP="00705855">
      <w:pPr>
        <w:pStyle w:val="SingleTxtG"/>
      </w:pPr>
      <w:r w:rsidRPr="00F2162B">
        <w:t>37.4.1</w:t>
      </w:r>
      <w:r w:rsidRPr="00F2162B">
        <w:tab/>
      </w:r>
      <w:r w:rsidRPr="00F2162B">
        <w:tab/>
        <w:t>Delete.</w:t>
      </w:r>
    </w:p>
    <w:p w14:paraId="3D9D1BA7" w14:textId="77777777" w:rsidR="00705855" w:rsidRPr="00F2162B" w:rsidRDefault="00705855" w:rsidP="00705855">
      <w:pPr>
        <w:pStyle w:val="SingleTxtG"/>
        <w:keepNext/>
      </w:pPr>
      <w:r w:rsidRPr="00F2162B">
        <w:t>37.4.1.1</w:t>
      </w:r>
      <w:r>
        <w:t xml:space="preserve"> (former)</w:t>
      </w:r>
      <w:r w:rsidRPr="00F2162B">
        <w:tab/>
        <w:t xml:space="preserve">Renumber </w:t>
      </w:r>
      <w:r>
        <w:t>as</w:t>
      </w:r>
      <w:r w:rsidRPr="00F2162B">
        <w:t xml:space="preserve"> 37.4.1.</w:t>
      </w:r>
    </w:p>
    <w:p w14:paraId="4F3A9A14" w14:textId="77777777" w:rsidR="00705855" w:rsidRPr="00F2162B" w:rsidRDefault="00705855" w:rsidP="00705855">
      <w:pPr>
        <w:pStyle w:val="SingleTxtG"/>
        <w:keepNext/>
        <w:keepLines/>
      </w:pPr>
      <w:r>
        <w:t>37.4.1.1</w:t>
      </w:r>
      <w:r>
        <w:tab/>
      </w:r>
      <w:r w:rsidRPr="00F2162B">
        <w:rPr>
          <w:bCs/>
        </w:rPr>
        <w:t xml:space="preserve">Insert the following new </w:t>
      </w:r>
      <w:r>
        <w:rPr>
          <w:bCs/>
        </w:rPr>
        <w:t>37.4.1.1</w:t>
      </w:r>
      <w:r w:rsidRPr="00F2162B">
        <w:t>:</w:t>
      </w:r>
    </w:p>
    <w:p w14:paraId="1635C4E3" w14:textId="77777777" w:rsidR="00705855" w:rsidRDefault="00705855" w:rsidP="00705855">
      <w:pPr>
        <w:pStyle w:val="SingleTxtG"/>
        <w:keepNext/>
        <w:keepLines/>
      </w:pPr>
      <w:r w:rsidRPr="00F2162B">
        <w:t>“</w:t>
      </w:r>
      <w:r w:rsidRPr="00424829">
        <w:rPr>
          <w:b/>
          <w:bCs/>
        </w:rPr>
        <w:t>37.4.1.1</w:t>
      </w:r>
      <w:r w:rsidRPr="00424829">
        <w:rPr>
          <w:b/>
          <w:bCs/>
        </w:rPr>
        <w:tab/>
      </w:r>
      <w:r w:rsidRPr="00424829">
        <w:rPr>
          <w:b/>
          <w:bCs/>
          <w:i/>
          <w:iCs/>
        </w:rPr>
        <w:t>Introduction</w:t>
      </w:r>
    </w:p>
    <w:p w14:paraId="27CF0737" w14:textId="77777777" w:rsidR="00705855" w:rsidRPr="00F2162B" w:rsidRDefault="00705855" w:rsidP="00705855">
      <w:pPr>
        <w:pStyle w:val="SingleTxtG"/>
        <w:keepNext/>
        <w:keepLines/>
        <w:ind w:firstLine="1134"/>
      </w:pPr>
      <w:r w:rsidRPr="00F2162B">
        <w:t>This test is used for determining the corrosive properties of liquids and solids that may become liquid as a substance corrosive to metal, packing group III/category 1.”</w:t>
      </w:r>
    </w:p>
    <w:p w14:paraId="4C549F26" w14:textId="65743C09" w:rsidR="00705855" w:rsidRPr="00F2162B" w:rsidRDefault="00705855" w:rsidP="00705855">
      <w:pPr>
        <w:pStyle w:val="SingleTxtG"/>
        <w:keepNext/>
        <w:rPr>
          <w:iCs/>
        </w:rPr>
      </w:pPr>
      <w:r w:rsidRPr="003F3693">
        <w:rPr>
          <w:iCs/>
        </w:rPr>
        <w:t xml:space="preserve">Renumber </w:t>
      </w:r>
      <w:r w:rsidRPr="003F3693">
        <w:t>paragraphs</w:t>
      </w:r>
      <w:r w:rsidRPr="003F3693">
        <w:rPr>
          <w:iCs/>
        </w:rPr>
        <w:t xml:space="preserve"> 37.4.2, 37.4.3, 37.4.4, 37.4.4.1 and 37.4.4.2 </w:t>
      </w:r>
      <w:r w:rsidR="003F3CC1">
        <w:rPr>
          <w:iCs/>
        </w:rPr>
        <w:t>as</w:t>
      </w:r>
      <w:r w:rsidRPr="003F3693">
        <w:rPr>
          <w:iCs/>
        </w:rPr>
        <w:t xml:space="preserve"> 37.4.1.2, 37.4.1.3, 37.4.1.4, 37.4.1.4.1 and 37.4.1.4.2</w:t>
      </w:r>
      <w:r w:rsidR="001F1272" w:rsidRPr="003F3693">
        <w:rPr>
          <w:iCs/>
        </w:rPr>
        <w:t xml:space="preserve">. Renumber figures 37.4.2.1 and 37.4.2.2 </w:t>
      </w:r>
      <w:r w:rsidR="00A553A3">
        <w:rPr>
          <w:iCs/>
        </w:rPr>
        <w:t>as</w:t>
      </w:r>
      <w:r w:rsidR="001F1272" w:rsidRPr="003F3693">
        <w:rPr>
          <w:iCs/>
        </w:rPr>
        <w:t xml:space="preserve"> 37.4.1.1 and 37.4.1.2 </w:t>
      </w:r>
      <w:r w:rsidR="002B37DC" w:rsidRPr="003F3693">
        <w:rPr>
          <w:iCs/>
        </w:rPr>
        <w:t xml:space="preserve">respectively </w:t>
      </w:r>
      <w:r w:rsidR="00552E90" w:rsidRPr="003F3693">
        <w:rPr>
          <w:iCs/>
        </w:rPr>
        <w:t>and update cross references in section 37.4 accordingly. R</w:t>
      </w:r>
      <w:r w:rsidR="001F1272" w:rsidRPr="003F3693">
        <w:rPr>
          <w:iCs/>
        </w:rPr>
        <w:t xml:space="preserve">enumber tables 37.4.4.1 and 37.4.4.2 </w:t>
      </w:r>
      <w:r w:rsidR="00A553A3">
        <w:rPr>
          <w:iCs/>
        </w:rPr>
        <w:t>as</w:t>
      </w:r>
      <w:r w:rsidR="001F1272" w:rsidRPr="003F3693">
        <w:rPr>
          <w:iCs/>
        </w:rPr>
        <w:t xml:space="preserve"> 37.4.1.1 and 37.4.1.2</w:t>
      </w:r>
      <w:r w:rsidRPr="003F3693">
        <w:rPr>
          <w:iCs/>
        </w:rPr>
        <w:t xml:space="preserve"> respectively.</w:t>
      </w:r>
    </w:p>
    <w:p w14:paraId="656A4A4C" w14:textId="77777777" w:rsidR="00705855" w:rsidRPr="00F2162B" w:rsidRDefault="00705855" w:rsidP="00705855">
      <w:pPr>
        <w:pStyle w:val="SingleTxtG"/>
        <w:rPr>
          <w:lang w:val="en-US"/>
        </w:rPr>
      </w:pPr>
      <w:r w:rsidRPr="00F2162B">
        <w:t>37.4.2 (Renumbered 37.4.1.2) (b)</w:t>
      </w:r>
      <w:r w:rsidRPr="00F2162B">
        <w:rPr>
          <w:lang w:val="en-US"/>
        </w:rPr>
        <w:tab/>
        <w:t>Amend to read as follows:</w:t>
      </w:r>
    </w:p>
    <w:p w14:paraId="39B1291D" w14:textId="77777777" w:rsidR="00705855" w:rsidRPr="00F2162B" w:rsidRDefault="00705855" w:rsidP="00705855">
      <w:pPr>
        <w:pStyle w:val="SingleTxtG"/>
        <w:ind w:left="1701" w:hanging="567"/>
        <w:rPr>
          <w:lang w:val="en-US"/>
        </w:rPr>
      </w:pPr>
      <w:r w:rsidRPr="00F2162B">
        <w:rPr>
          <w:lang w:val="en-US"/>
        </w:rPr>
        <w:t>“(b)</w:t>
      </w:r>
      <w:r w:rsidRPr="00F2162B">
        <w:rPr>
          <w:lang w:val="en-US"/>
        </w:rPr>
        <w:tab/>
      </w:r>
      <w:r w:rsidRPr="00F2162B">
        <w:rPr>
          <w:lang w:val="en-US"/>
        </w:rPr>
        <w:tab/>
        <w:t xml:space="preserve">Steel type S235JR+CR (1.0037, resp. St 37-2), S275J2G3+CR (1.0144, resp. </w:t>
      </w:r>
      <w:r w:rsidRPr="00F2162B">
        <w:rPr>
          <w:lang w:val="en-US"/>
        </w:rPr>
        <w:br/>
        <w:t>St 44-3), ISO 3574, Unified Numbering System (UNS) G10200 or SAE 1020.”</w:t>
      </w:r>
    </w:p>
    <w:p w14:paraId="750189D9" w14:textId="77777777" w:rsidR="00CF309D" w:rsidRPr="00A20118" w:rsidRDefault="00CF309D" w:rsidP="00CF309D">
      <w:pPr>
        <w:pStyle w:val="H1G"/>
      </w:pPr>
      <w:r w:rsidRPr="00A20118">
        <w:tab/>
      </w:r>
      <w:r w:rsidRPr="00A20118">
        <w:tab/>
        <w:t>Section 38</w:t>
      </w:r>
    </w:p>
    <w:p w14:paraId="053CAECA" w14:textId="77777777" w:rsidR="0072792F" w:rsidRPr="00F2162B" w:rsidRDefault="0072792F" w:rsidP="0072792F">
      <w:pPr>
        <w:pStyle w:val="SingleTxtG"/>
      </w:pPr>
      <w:r w:rsidRPr="00F2162B">
        <w:t>38.3.3 (d)</w:t>
      </w:r>
      <w:r w:rsidRPr="00F2162B">
        <w:tab/>
        <w:t>In the last paragraph, after “another battery”, add “, vehicle,”.</w:t>
      </w:r>
    </w:p>
    <w:p w14:paraId="040A3382" w14:textId="77777777" w:rsidR="0072792F" w:rsidRPr="00F2162B" w:rsidRDefault="0072792F" w:rsidP="0072792F">
      <w:pPr>
        <w:pStyle w:val="SingleTxtG"/>
      </w:pPr>
      <w:r w:rsidRPr="00F2162B">
        <w:t>38.3.3 (g)</w:t>
      </w:r>
      <w:r w:rsidRPr="00F2162B">
        <w:tab/>
        <w:t>At the end, add the following new paragraphs:</w:t>
      </w:r>
    </w:p>
    <w:p w14:paraId="1666B794" w14:textId="77777777" w:rsidR="0072792F" w:rsidRPr="00F2162B" w:rsidRDefault="0072792F" w:rsidP="0072792F">
      <w:pPr>
        <w:pStyle w:val="SingleTxtG"/>
      </w:pPr>
      <w:r w:rsidRPr="00F2162B">
        <w:lastRenderedPageBreak/>
        <w:t>“For an assembled battery not equipped with overcharge protection that is designed for use only as a component in another battery, in equipment, or in a vehicle, which affords such protection:</w:t>
      </w:r>
    </w:p>
    <w:p w14:paraId="7D9D68D3" w14:textId="77777777" w:rsidR="0072792F" w:rsidRPr="00F2162B" w:rsidRDefault="0072792F" w:rsidP="0072792F">
      <w:pPr>
        <w:pStyle w:val="SingleTxtG"/>
        <w:ind w:left="1418" w:hanging="284"/>
      </w:pPr>
      <w:r w:rsidRPr="00F2162B">
        <w:t xml:space="preserve">- </w:t>
      </w:r>
      <w:r w:rsidRPr="00F2162B">
        <w:tab/>
        <w:t>the overcharge protection shall be verified at the battery, equipment or vehicle level, as appropriate, and</w:t>
      </w:r>
    </w:p>
    <w:p w14:paraId="1ACB7279" w14:textId="77777777" w:rsidR="0072792F" w:rsidRPr="00F2162B" w:rsidRDefault="0072792F" w:rsidP="0072792F">
      <w:pPr>
        <w:pStyle w:val="SingleTxtG"/>
        <w:ind w:left="1418" w:hanging="284"/>
      </w:pPr>
      <w:r w:rsidRPr="00F2162B">
        <w:t>-</w:t>
      </w:r>
      <w:r w:rsidRPr="00F2162B">
        <w:tab/>
        <w:t>the use of charging systems without overcharge protection shall be prevented through a physical system or process controls.”</w:t>
      </w:r>
    </w:p>
    <w:p w14:paraId="57123222" w14:textId="77777777" w:rsidR="00CF309D" w:rsidRPr="00A20118" w:rsidRDefault="00CF309D" w:rsidP="00CF309D">
      <w:pPr>
        <w:pStyle w:val="SingleTxtG"/>
        <w:ind w:left="2268" w:hanging="1134"/>
      </w:pPr>
      <w:r w:rsidRPr="00A20118">
        <w:t>38.3.5</w:t>
      </w:r>
      <w:r w:rsidRPr="00A20118">
        <w:tab/>
      </w:r>
      <w:r w:rsidRPr="00A20118">
        <w:tab/>
        <w:t>Amend sub-paragraph (j) of the test summary to read as follows:</w:t>
      </w:r>
    </w:p>
    <w:p w14:paraId="701A1632" w14:textId="7807BD5D" w:rsidR="00CF309D" w:rsidRPr="00A20118" w:rsidRDefault="00CF309D" w:rsidP="00CF309D">
      <w:pPr>
        <w:pStyle w:val="SingleTxtG"/>
      </w:pPr>
      <w:r w:rsidRPr="00A20118">
        <w:t>“(j)</w:t>
      </w:r>
      <w:r w:rsidRPr="00A20118">
        <w:tab/>
        <w:t>Name and title of responsible person as an indication of the validity of information provided.</w:t>
      </w:r>
      <w:r w:rsidR="00D2140C">
        <w:t>”</w:t>
      </w:r>
    </w:p>
    <w:p w14:paraId="28B2C53F" w14:textId="77777777" w:rsidR="00CF309D" w:rsidRDefault="00CF309D" w:rsidP="00CF309D">
      <w:pPr>
        <w:pStyle w:val="H1G"/>
      </w:pPr>
      <w:r>
        <w:tab/>
      </w:r>
      <w:r>
        <w:tab/>
        <w:t>Section 41</w:t>
      </w:r>
    </w:p>
    <w:p w14:paraId="6D45C013" w14:textId="77777777" w:rsidR="00CF309D" w:rsidRDefault="00CF309D" w:rsidP="00CF309D">
      <w:pPr>
        <w:pStyle w:val="SingleTxtG"/>
      </w:pPr>
      <w:r>
        <w:t>41.1.3</w:t>
      </w:r>
      <w:r>
        <w:tab/>
      </w:r>
      <w:r>
        <w:tab/>
        <w:t>Add a new paragraph 41.1.3 to read as follows:</w:t>
      </w:r>
    </w:p>
    <w:p w14:paraId="27E68FF7" w14:textId="77777777" w:rsidR="00CF309D" w:rsidRPr="00D37C20" w:rsidRDefault="00CF309D" w:rsidP="00CF309D">
      <w:pPr>
        <w:pStyle w:val="SingleTxtG"/>
      </w:pPr>
      <w:r w:rsidRPr="006378E2">
        <w:t>“</w:t>
      </w:r>
      <w:r>
        <w:t xml:space="preserve">41.1.3 </w:t>
      </w:r>
      <w:r>
        <w:tab/>
      </w:r>
      <w:r w:rsidRPr="006378E2">
        <w:t>The portable tank or MEGC being subjected to the dynamic longitudinal impact test shall be dry prior to beginning the impact testing. If the facility or witnessing agency’s ability to identify potential sources of leakage is negatively impacted by weather conditions such as snow or rain that develop during testing, the impact testing shall be terminated. Impact testing shall only resume once the portable tank or MEGC is dry, and the snow or rain have stopped.”</w:t>
      </w:r>
    </w:p>
    <w:p w14:paraId="1D851B49" w14:textId="77777777" w:rsidR="00CF309D" w:rsidRPr="00007C2E" w:rsidRDefault="00CF309D" w:rsidP="00CF309D">
      <w:pPr>
        <w:pStyle w:val="H1G"/>
      </w:pPr>
      <w:r>
        <w:tab/>
      </w:r>
      <w:r>
        <w:tab/>
        <w:t>Section 51</w:t>
      </w:r>
    </w:p>
    <w:p w14:paraId="16748249" w14:textId="79649E49" w:rsidR="00CF309D" w:rsidRDefault="00CF309D" w:rsidP="00CF309D">
      <w:pPr>
        <w:pStyle w:val="SingleTxtG"/>
        <w:ind w:left="2268" w:hanging="1134"/>
      </w:pPr>
      <w:r>
        <w:t>51.2.1</w:t>
      </w:r>
      <w:r>
        <w:tab/>
        <w:t>In footnote 1, amend the first sentence to read: “</w:t>
      </w:r>
      <w:r w:rsidRPr="00675992">
        <w:t>Explosives of GHS Chapter 2.1 that are considered too sensitive to assign a division can also be stabilized by desensitization and consequently may be classified as desensitized explosive</w:t>
      </w:r>
      <w:r w:rsidR="00652F6B">
        <w:t>s</w:t>
      </w:r>
      <w:r w:rsidRPr="00675992">
        <w:t>, provided all criteria of GHS Chapter 2.17 are met.</w:t>
      </w:r>
      <w:r>
        <w:t>”.</w:t>
      </w:r>
    </w:p>
    <w:p w14:paraId="539DDFA2" w14:textId="77777777" w:rsidR="00CF309D" w:rsidRPr="00562AC3" w:rsidRDefault="00CF309D" w:rsidP="00CF309D">
      <w:pPr>
        <w:spacing w:before="240"/>
        <w:jc w:val="center"/>
        <w:rPr>
          <w:u w:val="single"/>
        </w:rPr>
      </w:pPr>
      <w:r>
        <w:rPr>
          <w:u w:val="single"/>
        </w:rPr>
        <w:tab/>
      </w:r>
      <w:r>
        <w:rPr>
          <w:u w:val="single"/>
        </w:rPr>
        <w:tab/>
      </w:r>
      <w:r>
        <w:rPr>
          <w:u w:val="single"/>
        </w:rPr>
        <w:tab/>
      </w:r>
    </w:p>
    <w:p w14:paraId="6A993BE4" w14:textId="77777777" w:rsidR="00CF309D" w:rsidRPr="00367B47" w:rsidRDefault="00CF309D" w:rsidP="00CF309D"/>
    <w:p w14:paraId="220D9722" w14:textId="78E8B99C" w:rsidR="00CB333D" w:rsidRDefault="00CB333D">
      <w:pPr>
        <w:suppressAutoHyphens w:val="0"/>
        <w:kinsoku/>
        <w:overflowPunct/>
        <w:autoSpaceDE/>
        <w:autoSpaceDN/>
        <w:adjustRightInd/>
        <w:snapToGrid/>
        <w:spacing w:after="200" w:line="276" w:lineRule="auto"/>
      </w:pPr>
    </w:p>
    <w:p w14:paraId="13259FFE" w14:textId="346B4822" w:rsidR="00CB333D" w:rsidRDefault="00CB333D">
      <w:pPr>
        <w:suppressAutoHyphens w:val="0"/>
        <w:kinsoku/>
        <w:overflowPunct/>
        <w:autoSpaceDE/>
        <w:autoSpaceDN/>
        <w:adjustRightInd/>
        <w:snapToGrid/>
        <w:spacing w:after="200" w:line="276" w:lineRule="auto"/>
      </w:pPr>
    </w:p>
    <w:bookmarkEnd w:id="0"/>
    <w:p w14:paraId="12BAFDDF" w14:textId="77777777" w:rsidR="00CB333D" w:rsidRPr="00F2162B" w:rsidRDefault="00CB333D">
      <w:pPr>
        <w:suppressAutoHyphens w:val="0"/>
        <w:kinsoku/>
        <w:overflowPunct/>
        <w:autoSpaceDE/>
        <w:autoSpaceDN/>
        <w:adjustRightInd/>
        <w:snapToGrid/>
        <w:spacing w:after="200" w:line="276" w:lineRule="auto"/>
      </w:pPr>
    </w:p>
    <w:sectPr w:rsidR="00CB333D" w:rsidRPr="00F2162B" w:rsidSect="00927A11">
      <w:headerReference w:type="even" r:id="rId26"/>
      <w:headerReference w:type="default" r:id="rId27"/>
      <w:footerReference w:type="even" r:id="rId28"/>
      <w:footerReference w:type="default" r:id="rId29"/>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94D84" w14:textId="77777777" w:rsidR="009B5C25" w:rsidRPr="00C47B2E" w:rsidRDefault="009B5C25" w:rsidP="00C47B2E">
      <w:pPr>
        <w:pStyle w:val="Footer"/>
      </w:pPr>
    </w:p>
  </w:endnote>
  <w:endnote w:type="continuationSeparator" w:id="0">
    <w:p w14:paraId="58926160" w14:textId="77777777" w:rsidR="009B5C25" w:rsidRPr="00C47B2E" w:rsidRDefault="009B5C25" w:rsidP="00C47B2E">
      <w:pPr>
        <w:pStyle w:val="Footer"/>
      </w:pPr>
    </w:p>
  </w:endnote>
  <w:endnote w:type="continuationNotice" w:id="1">
    <w:p w14:paraId="7DBC0DE7" w14:textId="77777777" w:rsidR="009B5C25" w:rsidRPr="00C47B2E" w:rsidRDefault="009B5C25"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8AFE7" w14:textId="77777777" w:rsidR="00721CB1" w:rsidRPr="00927A11" w:rsidRDefault="00721CB1" w:rsidP="00927A11">
    <w:pPr>
      <w:pStyle w:val="Footer"/>
      <w:tabs>
        <w:tab w:val="right" w:pos="9598"/>
        <w:tab w:val="right" w:pos="9638"/>
      </w:tabs>
      <w:rPr>
        <w:sz w:val="18"/>
      </w:rPr>
    </w:pPr>
    <w:r w:rsidRPr="00927A11">
      <w:rPr>
        <w:b/>
        <w:sz w:val="18"/>
      </w:rPr>
      <w:fldChar w:fldCharType="begin"/>
    </w:r>
    <w:r w:rsidRPr="00927A11">
      <w:rPr>
        <w:b/>
        <w:sz w:val="18"/>
      </w:rPr>
      <w:instrText xml:space="preserve"> PAGE  \* MERGEFORMAT </w:instrText>
    </w:r>
    <w:r w:rsidRPr="00927A11">
      <w:rPr>
        <w:b/>
        <w:sz w:val="18"/>
      </w:rPr>
      <w:fldChar w:fldCharType="separate"/>
    </w:r>
    <w:r w:rsidRPr="00927A11">
      <w:rPr>
        <w:b/>
        <w:noProof/>
        <w:sz w:val="18"/>
      </w:rPr>
      <w:t>2</w:t>
    </w:r>
    <w:r w:rsidRPr="00927A1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D2C4" w14:textId="77777777" w:rsidR="00721CB1" w:rsidRPr="00F62BBA" w:rsidRDefault="00721CB1" w:rsidP="00F62BBA">
    <w:pPr>
      <w:pStyle w:val="Footer"/>
      <w:tabs>
        <w:tab w:val="left" w:pos="5775"/>
        <w:tab w:val="right" w:pos="9598"/>
        <w:tab w:val="right" w:pos="9638"/>
      </w:tabs>
      <w:jc w:val="right"/>
      <w:rPr>
        <w:b/>
        <w:bCs/>
        <w:sz w:val="18"/>
      </w:rPr>
    </w:pPr>
    <w:r>
      <w:rPr>
        <w:b/>
        <w:sz w:val="18"/>
      </w:rPr>
      <w:tab/>
    </w:r>
    <w:r w:rsidRPr="00F62BBA">
      <w:rPr>
        <w:b/>
        <w:bCs/>
        <w:sz w:val="18"/>
      </w:rPr>
      <w:fldChar w:fldCharType="begin"/>
    </w:r>
    <w:r w:rsidRPr="00F62BBA">
      <w:rPr>
        <w:b/>
        <w:bCs/>
        <w:sz w:val="18"/>
      </w:rPr>
      <w:instrText xml:space="preserve"> PAGE  \* MERGEFORMAT </w:instrText>
    </w:r>
    <w:r w:rsidRPr="00F62BBA">
      <w:rPr>
        <w:b/>
        <w:bCs/>
        <w:sz w:val="18"/>
      </w:rPr>
      <w:fldChar w:fldCharType="separate"/>
    </w:r>
    <w:r w:rsidRPr="00F62BBA">
      <w:rPr>
        <w:b/>
        <w:bCs/>
        <w:noProof/>
        <w:sz w:val="18"/>
      </w:rPr>
      <w:t>3</w:t>
    </w:r>
    <w:r w:rsidRPr="00F62BBA">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74D47" w14:textId="77777777" w:rsidR="009B5C25" w:rsidRPr="00C47B2E" w:rsidRDefault="009B5C25" w:rsidP="00C47B2E">
      <w:pPr>
        <w:tabs>
          <w:tab w:val="right" w:pos="2155"/>
        </w:tabs>
        <w:spacing w:after="80" w:line="240" w:lineRule="auto"/>
        <w:ind w:left="680"/>
      </w:pPr>
      <w:r>
        <w:rPr>
          <w:u w:val="single"/>
        </w:rPr>
        <w:tab/>
      </w:r>
    </w:p>
  </w:footnote>
  <w:footnote w:type="continuationSeparator" w:id="0">
    <w:p w14:paraId="758F6996" w14:textId="77777777" w:rsidR="009B5C25" w:rsidRPr="00C47B2E" w:rsidRDefault="009B5C25" w:rsidP="005E716E">
      <w:pPr>
        <w:tabs>
          <w:tab w:val="right" w:pos="2155"/>
        </w:tabs>
        <w:spacing w:after="80" w:line="240" w:lineRule="auto"/>
        <w:ind w:left="680"/>
      </w:pPr>
      <w:r>
        <w:rPr>
          <w:u w:val="single"/>
        </w:rPr>
        <w:tab/>
      </w:r>
    </w:p>
  </w:footnote>
  <w:footnote w:type="continuationNotice" w:id="1">
    <w:p w14:paraId="41AF711E" w14:textId="77777777" w:rsidR="009B5C25" w:rsidRPr="00C47B2E" w:rsidRDefault="009B5C25" w:rsidP="00C47B2E">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30594" w14:textId="59A70FEE" w:rsidR="00721CB1" w:rsidRPr="00CA6E2F" w:rsidRDefault="00CA6E2F">
    <w:pPr>
      <w:pStyle w:val="Header"/>
      <w:rPr>
        <w:lang w:val="fr-CH"/>
      </w:rPr>
    </w:pPr>
    <w:r>
      <w:rPr>
        <w:lang w:val="fr-CH"/>
      </w:rPr>
      <w:t>ST/SG/AC.10/4</w:t>
    </w:r>
    <w:r w:rsidR="006E19A7">
      <w:rPr>
        <w:lang w:val="fr-CH"/>
      </w:rPr>
      <w:t>8</w:t>
    </w:r>
    <w:r>
      <w:rPr>
        <w:lang w:val="fr-CH"/>
      </w:rPr>
      <w:t>/Add.</w:t>
    </w:r>
    <w:r w:rsidR="006E19A7">
      <w:rPr>
        <w:lang w:val="fr-CH"/>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2048F" w14:textId="1AD1C653" w:rsidR="00721CB1" w:rsidRPr="00CA6E2F" w:rsidRDefault="00CA6E2F" w:rsidP="00927A11">
    <w:pPr>
      <w:pStyle w:val="Header"/>
      <w:jc w:val="right"/>
      <w:rPr>
        <w:lang w:val="fr-CH"/>
      </w:rPr>
    </w:pPr>
    <w:r>
      <w:rPr>
        <w:lang w:val="fr-CH"/>
      </w:rPr>
      <w:t>ST/SG/AC.10/4</w:t>
    </w:r>
    <w:r w:rsidR="006E19A7">
      <w:rPr>
        <w:lang w:val="fr-CH"/>
      </w:rPr>
      <w:t>8</w:t>
    </w:r>
    <w:r>
      <w:rPr>
        <w:lang w:val="fr-CH"/>
      </w:rPr>
      <w:t>/Add.</w:t>
    </w:r>
    <w:r w:rsidR="006E19A7">
      <w:rPr>
        <w:lang w:val="fr-CH"/>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3009BA"/>
    <w:multiLevelType w:val="hybridMultilevel"/>
    <w:tmpl w:val="44DE8E3C"/>
    <w:lvl w:ilvl="0" w:tplc="189ED09A">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1"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4"/>
  </w:num>
  <w:num w:numId="3">
    <w:abstractNumId w:val="0"/>
  </w:num>
  <w:num w:numId="4">
    <w:abstractNumId w:val="7"/>
  </w:num>
  <w:num w:numId="5">
    <w:abstractNumId w:val="8"/>
  </w:num>
  <w:num w:numId="6">
    <w:abstractNumId w:val="11"/>
  </w:num>
  <w:num w:numId="7">
    <w:abstractNumId w:val="3"/>
  </w:num>
  <w:num w:numId="8">
    <w:abstractNumId w:val="1"/>
  </w:num>
  <w:num w:numId="9">
    <w:abstractNumId w:val="9"/>
  </w:num>
  <w:num w:numId="10">
    <w:abstractNumId w:val="1"/>
  </w:num>
  <w:num w:numId="11">
    <w:abstractNumId w:val="9"/>
  </w:num>
  <w:num w:numId="12">
    <w:abstractNumId w:val="2"/>
  </w:num>
  <w:num w:numId="13">
    <w:abstractNumId w:val="2"/>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attachedTemplate r:id="rId1"/>
  <w:defaultTabStop w:val="567"/>
  <w:hyphenationZone w:val="425"/>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A11"/>
    <w:rsid w:val="00003E12"/>
    <w:rsid w:val="00007765"/>
    <w:rsid w:val="00013789"/>
    <w:rsid w:val="00016DA9"/>
    <w:rsid w:val="00027C1E"/>
    <w:rsid w:val="00046DA6"/>
    <w:rsid w:val="00046E92"/>
    <w:rsid w:val="0005381F"/>
    <w:rsid w:val="000539DC"/>
    <w:rsid w:val="00063C90"/>
    <w:rsid w:val="00072462"/>
    <w:rsid w:val="00074038"/>
    <w:rsid w:val="00082593"/>
    <w:rsid w:val="00097CDA"/>
    <w:rsid w:val="000A336E"/>
    <w:rsid w:val="000B609C"/>
    <w:rsid w:val="000D2B0D"/>
    <w:rsid w:val="000E3CEE"/>
    <w:rsid w:val="000F009B"/>
    <w:rsid w:val="000F38F0"/>
    <w:rsid w:val="00101B98"/>
    <w:rsid w:val="00102CE3"/>
    <w:rsid w:val="001514D1"/>
    <w:rsid w:val="001535C0"/>
    <w:rsid w:val="00156073"/>
    <w:rsid w:val="00156DCA"/>
    <w:rsid w:val="00164D2B"/>
    <w:rsid w:val="00176841"/>
    <w:rsid w:val="001804AF"/>
    <w:rsid w:val="001A344A"/>
    <w:rsid w:val="001B14AF"/>
    <w:rsid w:val="001B3023"/>
    <w:rsid w:val="001B41F8"/>
    <w:rsid w:val="001E23BC"/>
    <w:rsid w:val="001E4D9C"/>
    <w:rsid w:val="001F1272"/>
    <w:rsid w:val="001F74C7"/>
    <w:rsid w:val="00200B95"/>
    <w:rsid w:val="00203D31"/>
    <w:rsid w:val="00213CF0"/>
    <w:rsid w:val="0022498F"/>
    <w:rsid w:val="00236FA4"/>
    <w:rsid w:val="002414CD"/>
    <w:rsid w:val="002435E1"/>
    <w:rsid w:val="002441F8"/>
    <w:rsid w:val="00247E2C"/>
    <w:rsid w:val="00261C69"/>
    <w:rsid w:val="00271989"/>
    <w:rsid w:val="00273E1C"/>
    <w:rsid w:val="0028248C"/>
    <w:rsid w:val="00284607"/>
    <w:rsid w:val="00295C95"/>
    <w:rsid w:val="002A27AC"/>
    <w:rsid w:val="002A32CB"/>
    <w:rsid w:val="002B37DC"/>
    <w:rsid w:val="002D35B0"/>
    <w:rsid w:val="002D5B2C"/>
    <w:rsid w:val="002D6C53"/>
    <w:rsid w:val="002D738D"/>
    <w:rsid w:val="002E0D15"/>
    <w:rsid w:val="002E10A2"/>
    <w:rsid w:val="002E7C82"/>
    <w:rsid w:val="002F36DC"/>
    <w:rsid w:val="002F5595"/>
    <w:rsid w:val="003021CF"/>
    <w:rsid w:val="00303902"/>
    <w:rsid w:val="00307C47"/>
    <w:rsid w:val="003146A0"/>
    <w:rsid w:val="00333E6F"/>
    <w:rsid w:val="00334F6A"/>
    <w:rsid w:val="00342AC8"/>
    <w:rsid w:val="00343302"/>
    <w:rsid w:val="00345EA8"/>
    <w:rsid w:val="00350F08"/>
    <w:rsid w:val="0036071E"/>
    <w:rsid w:val="00390759"/>
    <w:rsid w:val="0039423F"/>
    <w:rsid w:val="003979DE"/>
    <w:rsid w:val="003A5BA5"/>
    <w:rsid w:val="003B2AF3"/>
    <w:rsid w:val="003B4550"/>
    <w:rsid w:val="003C3E2E"/>
    <w:rsid w:val="003C3E4A"/>
    <w:rsid w:val="003D2A18"/>
    <w:rsid w:val="003E182C"/>
    <w:rsid w:val="003E1E08"/>
    <w:rsid w:val="003E368F"/>
    <w:rsid w:val="003F3693"/>
    <w:rsid w:val="003F3CC1"/>
    <w:rsid w:val="003F6B37"/>
    <w:rsid w:val="004127D3"/>
    <w:rsid w:val="00413386"/>
    <w:rsid w:val="00414D31"/>
    <w:rsid w:val="00417393"/>
    <w:rsid w:val="0043046B"/>
    <w:rsid w:val="0043360C"/>
    <w:rsid w:val="00440EED"/>
    <w:rsid w:val="00441840"/>
    <w:rsid w:val="00446289"/>
    <w:rsid w:val="00461253"/>
    <w:rsid w:val="004613FE"/>
    <w:rsid w:val="00462B18"/>
    <w:rsid w:val="0046644B"/>
    <w:rsid w:val="004858F5"/>
    <w:rsid w:val="004A2814"/>
    <w:rsid w:val="004B0BED"/>
    <w:rsid w:val="004B2415"/>
    <w:rsid w:val="004C0622"/>
    <w:rsid w:val="004C54C6"/>
    <w:rsid w:val="004D066D"/>
    <w:rsid w:val="004D25D2"/>
    <w:rsid w:val="004D5D60"/>
    <w:rsid w:val="004E56DD"/>
    <w:rsid w:val="004E7E70"/>
    <w:rsid w:val="004F0F2A"/>
    <w:rsid w:val="00500D50"/>
    <w:rsid w:val="005042C2"/>
    <w:rsid w:val="00504338"/>
    <w:rsid w:val="00526E7D"/>
    <w:rsid w:val="00552E90"/>
    <w:rsid w:val="00555180"/>
    <w:rsid w:val="0056632A"/>
    <w:rsid w:val="00571725"/>
    <w:rsid w:val="005B1F80"/>
    <w:rsid w:val="005C1627"/>
    <w:rsid w:val="005C5366"/>
    <w:rsid w:val="005D090D"/>
    <w:rsid w:val="005D3363"/>
    <w:rsid w:val="005D4D76"/>
    <w:rsid w:val="005D52AA"/>
    <w:rsid w:val="005E5FB3"/>
    <w:rsid w:val="005E6677"/>
    <w:rsid w:val="005E716E"/>
    <w:rsid w:val="005F4E72"/>
    <w:rsid w:val="005F53E8"/>
    <w:rsid w:val="005F5954"/>
    <w:rsid w:val="00623929"/>
    <w:rsid w:val="00630929"/>
    <w:rsid w:val="0063707C"/>
    <w:rsid w:val="00645CDA"/>
    <w:rsid w:val="006476E1"/>
    <w:rsid w:val="00652F6B"/>
    <w:rsid w:val="006604DF"/>
    <w:rsid w:val="00665D7E"/>
    <w:rsid w:val="00671529"/>
    <w:rsid w:val="00677027"/>
    <w:rsid w:val="00697A62"/>
    <w:rsid w:val="006B4290"/>
    <w:rsid w:val="006B747B"/>
    <w:rsid w:val="006B77C6"/>
    <w:rsid w:val="006C0753"/>
    <w:rsid w:val="006D07CE"/>
    <w:rsid w:val="006D40E3"/>
    <w:rsid w:val="006E0C1A"/>
    <w:rsid w:val="006E19A7"/>
    <w:rsid w:val="006E21D8"/>
    <w:rsid w:val="006E2DBC"/>
    <w:rsid w:val="006E79B4"/>
    <w:rsid w:val="0070489D"/>
    <w:rsid w:val="00705855"/>
    <w:rsid w:val="00714D3D"/>
    <w:rsid w:val="00716ABB"/>
    <w:rsid w:val="00721CB1"/>
    <w:rsid w:val="00722830"/>
    <w:rsid w:val="007268F9"/>
    <w:rsid w:val="0072792F"/>
    <w:rsid w:val="0073118B"/>
    <w:rsid w:val="00736894"/>
    <w:rsid w:val="00745CCD"/>
    <w:rsid w:val="007476B3"/>
    <w:rsid w:val="0074789B"/>
    <w:rsid w:val="00750282"/>
    <w:rsid w:val="00753EDF"/>
    <w:rsid w:val="007578E1"/>
    <w:rsid w:val="00764440"/>
    <w:rsid w:val="00766235"/>
    <w:rsid w:val="0077101B"/>
    <w:rsid w:val="007723B3"/>
    <w:rsid w:val="00780D7F"/>
    <w:rsid w:val="00782FB6"/>
    <w:rsid w:val="00783EBD"/>
    <w:rsid w:val="00784F4D"/>
    <w:rsid w:val="007A4FCF"/>
    <w:rsid w:val="007B14D8"/>
    <w:rsid w:val="007B4757"/>
    <w:rsid w:val="007B61D0"/>
    <w:rsid w:val="007B6226"/>
    <w:rsid w:val="007B79A2"/>
    <w:rsid w:val="007C3357"/>
    <w:rsid w:val="007C50C8"/>
    <w:rsid w:val="007C52B0"/>
    <w:rsid w:val="007C6033"/>
    <w:rsid w:val="007C76FB"/>
    <w:rsid w:val="007E33CC"/>
    <w:rsid w:val="007E5EC5"/>
    <w:rsid w:val="00803554"/>
    <w:rsid w:val="00813891"/>
    <w:rsid w:val="008147C8"/>
    <w:rsid w:val="0081753A"/>
    <w:rsid w:val="00823D82"/>
    <w:rsid w:val="00842769"/>
    <w:rsid w:val="00842885"/>
    <w:rsid w:val="00843B52"/>
    <w:rsid w:val="00854254"/>
    <w:rsid w:val="00857D23"/>
    <w:rsid w:val="00874A41"/>
    <w:rsid w:val="008825E9"/>
    <w:rsid w:val="0089400E"/>
    <w:rsid w:val="008B629E"/>
    <w:rsid w:val="008C0663"/>
    <w:rsid w:val="008C1703"/>
    <w:rsid w:val="008C73F1"/>
    <w:rsid w:val="008C79FC"/>
    <w:rsid w:val="008D2AB9"/>
    <w:rsid w:val="008D69D8"/>
    <w:rsid w:val="008E14DE"/>
    <w:rsid w:val="008E5F1E"/>
    <w:rsid w:val="00917248"/>
    <w:rsid w:val="00917C7B"/>
    <w:rsid w:val="00927A11"/>
    <w:rsid w:val="00935ACA"/>
    <w:rsid w:val="00935AE5"/>
    <w:rsid w:val="009411B4"/>
    <w:rsid w:val="00944C0E"/>
    <w:rsid w:val="00946F1D"/>
    <w:rsid w:val="00986B7B"/>
    <w:rsid w:val="00990523"/>
    <w:rsid w:val="00995509"/>
    <w:rsid w:val="009A7281"/>
    <w:rsid w:val="009A7383"/>
    <w:rsid w:val="009B4DE5"/>
    <w:rsid w:val="009B57DA"/>
    <w:rsid w:val="009B5C25"/>
    <w:rsid w:val="009B7917"/>
    <w:rsid w:val="009D0139"/>
    <w:rsid w:val="009D5FB7"/>
    <w:rsid w:val="009D717D"/>
    <w:rsid w:val="009E46C3"/>
    <w:rsid w:val="009F467D"/>
    <w:rsid w:val="009F5CDC"/>
    <w:rsid w:val="00A0471D"/>
    <w:rsid w:val="00A05B3B"/>
    <w:rsid w:val="00A072D7"/>
    <w:rsid w:val="00A2212A"/>
    <w:rsid w:val="00A222FD"/>
    <w:rsid w:val="00A3244E"/>
    <w:rsid w:val="00A44BEE"/>
    <w:rsid w:val="00A53A41"/>
    <w:rsid w:val="00A54DD5"/>
    <w:rsid w:val="00A553A3"/>
    <w:rsid w:val="00A57251"/>
    <w:rsid w:val="00A61E17"/>
    <w:rsid w:val="00A66C02"/>
    <w:rsid w:val="00A67CA2"/>
    <w:rsid w:val="00A72AE9"/>
    <w:rsid w:val="00A74EE3"/>
    <w:rsid w:val="00A775CF"/>
    <w:rsid w:val="00AA63AD"/>
    <w:rsid w:val="00AD1A9C"/>
    <w:rsid w:val="00AD1AD4"/>
    <w:rsid w:val="00AF5DE1"/>
    <w:rsid w:val="00AF7C5C"/>
    <w:rsid w:val="00B0531A"/>
    <w:rsid w:val="00B06045"/>
    <w:rsid w:val="00B14985"/>
    <w:rsid w:val="00B152B0"/>
    <w:rsid w:val="00B170F9"/>
    <w:rsid w:val="00B206DD"/>
    <w:rsid w:val="00B23C25"/>
    <w:rsid w:val="00B25CA5"/>
    <w:rsid w:val="00B305E7"/>
    <w:rsid w:val="00B32315"/>
    <w:rsid w:val="00B4209E"/>
    <w:rsid w:val="00B42282"/>
    <w:rsid w:val="00B4596E"/>
    <w:rsid w:val="00B51806"/>
    <w:rsid w:val="00B52EF4"/>
    <w:rsid w:val="00B761BA"/>
    <w:rsid w:val="00B777AD"/>
    <w:rsid w:val="00B90042"/>
    <w:rsid w:val="00B91CD6"/>
    <w:rsid w:val="00B96E85"/>
    <w:rsid w:val="00BA7A8F"/>
    <w:rsid w:val="00BB68BA"/>
    <w:rsid w:val="00BE0B89"/>
    <w:rsid w:val="00BE3337"/>
    <w:rsid w:val="00BE6BA8"/>
    <w:rsid w:val="00BE7D88"/>
    <w:rsid w:val="00BF0353"/>
    <w:rsid w:val="00BF6CCD"/>
    <w:rsid w:val="00C0038C"/>
    <w:rsid w:val="00C03015"/>
    <w:rsid w:val="00C0358D"/>
    <w:rsid w:val="00C07CB2"/>
    <w:rsid w:val="00C1504A"/>
    <w:rsid w:val="00C17EFA"/>
    <w:rsid w:val="00C32AD7"/>
    <w:rsid w:val="00C35A27"/>
    <w:rsid w:val="00C457DC"/>
    <w:rsid w:val="00C47B2E"/>
    <w:rsid w:val="00C60C29"/>
    <w:rsid w:val="00C62557"/>
    <w:rsid w:val="00C76020"/>
    <w:rsid w:val="00C9222F"/>
    <w:rsid w:val="00CA6E2F"/>
    <w:rsid w:val="00CA74FC"/>
    <w:rsid w:val="00CB333D"/>
    <w:rsid w:val="00CB5001"/>
    <w:rsid w:val="00CC7F3C"/>
    <w:rsid w:val="00CD1B25"/>
    <w:rsid w:val="00CE7AC6"/>
    <w:rsid w:val="00CF309D"/>
    <w:rsid w:val="00CF637A"/>
    <w:rsid w:val="00D11FD7"/>
    <w:rsid w:val="00D14392"/>
    <w:rsid w:val="00D156FB"/>
    <w:rsid w:val="00D2140C"/>
    <w:rsid w:val="00D265A4"/>
    <w:rsid w:val="00D266CF"/>
    <w:rsid w:val="00D322A9"/>
    <w:rsid w:val="00D33424"/>
    <w:rsid w:val="00D41CAC"/>
    <w:rsid w:val="00D44EC2"/>
    <w:rsid w:val="00D46D15"/>
    <w:rsid w:val="00D63CD2"/>
    <w:rsid w:val="00D746D3"/>
    <w:rsid w:val="00D87DC2"/>
    <w:rsid w:val="00D94B05"/>
    <w:rsid w:val="00DA5102"/>
    <w:rsid w:val="00DA6D1B"/>
    <w:rsid w:val="00DC70EC"/>
    <w:rsid w:val="00DF065C"/>
    <w:rsid w:val="00E02C2B"/>
    <w:rsid w:val="00E037D4"/>
    <w:rsid w:val="00E21C27"/>
    <w:rsid w:val="00E263CA"/>
    <w:rsid w:val="00E26B18"/>
    <w:rsid w:val="00E26BCF"/>
    <w:rsid w:val="00E26D65"/>
    <w:rsid w:val="00E31FB8"/>
    <w:rsid w:val="00E52109"/>
    <w:rsid w:val="00E548B5"/>
    <w:rsid w:val="00E5679C"/>
    <w:rsid w:val="00E62E76"/>
    <w:rsid w:val="00E73368"/>
    <w:rsid w:val="00E75317"/>
    <w:rsid w:val="00E830F5"/>
    <w:rsid w:val="00E83BE2"/>
    <w:rsid w:val="00E94FB4"/>
    <w:rsid w:val="00EC0CE6"/>
    <w:rsid w:val="00EC7C1D"/>
    <w:rsid w:val="00ED6C48"/>
    <w:rsid w:val="00ED6F3C"/>
    <w:rsid w:val="00ED718C"/>
    <w:rsid w:val="00EE3045"/>
    <w:rsid w:val="00EF4ECF"/>
    <w:rsid w:val="00EF7120"/>
    <w:rsid w:val="00F0419B"/>
    <w:rsid w:val="00F06ED6"/>
    <w:rsid w:val="00F1656A"/>
    <w:rsid w:val="00F2162B"/>
    <w:rsid w:val="00F3087F"/>
    <w:rsid w:val="00F30EA1"/>
    <w:rsid w:val="00F35841"/>
    <w:rsid w:val="00F4333D"/>
    <w:rsid w:val="00F477B6"/>
    <w:rsid w:val="00F52820"/>
    <w:rsid w:val="00F62BBA"/>
    <w:rsid w:val="00F64A54"/>
    <w:rsid w:val="00F65F5D"/>
    <w:rsid w:val="00F82DF5"/>
    <w:rsid w:val="00F86A3A"/>
    <w:rsid w:val="00FB2C42"/>
    <w:rsid w:val="00FD4EF3"/>
    <w:rsid w:val="00FE0173"/>
    <w:rsid w:val="00FE0175"/>
    <w:rsid w:val="00FF11DA"/>
    <w:rsid w:val="00FF2B49"/>
    <w:rsid w:val="00FF7340"/>
    <w:rsid w:val="2FEEAF7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BE57C"/>
  <w15:docId w15:val="{4AFC1786-73A2-4938-8F6C-E71665B4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uiPriority w:val="99"/>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uiPriority w:val="99"/>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uiPriority w:val="59"/>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986B7B"/>
    <w:rPr>
      <w:b/>
      <w:sz w:val="28"/>
    </w:rPr>
  </w:style>
  <w:style w:type="character" w:customStyle="1" w:styleId="H23GChar">
    <w:name w:val="_ H_2/3_G Char"/>
    <w:link w:val="H23G"/>
    <w:rsid w:val="00986B7B"/>
    <w:rPr>
      <w:b/>
    </w:rPr>
  </w:style>
  <w:style w:type="character" w:customStyle="1" w:styleId="H1GChar">
    <w:name w:val="_ H_1_G Char"/>
    <w:link w:val="H1G"/>
    <w:qFormat/>
    <w:rsid w:val="00F62BBA"/>
    <w:rPr>
      <w:b/>
      <w:sz w:val="24"/>
    </w:rPr>
  </w:style>
  <w:style w:type="character" w:customStyle="1" w:styleId="SingleTxtGChar">
    <w:name w:val="_ Single Txt_G Char"/>
    <w:link w:val="SingleTxtG"/>
    <w:qFormat/>
    <w:locked/>
    <w:rsid w:val="00F62BBA"/>
  </w:style>
  <w:style w:type="paragraph" w:styleId="Caption">
    <w:name w:val="caption"/>
    <w:basedOn w:val="Normal"/>
    <w:next w:val="Normal"/>
    <w:unhideWhenUsed/>
    <w:qFormat/>
    <w:rsid w:val="00F62BBA"/>
    <w:pPr>
      <w:kinsoku/>
      <w:overflowPunct/>
      <w:autoSpaceDE/>
      <w:autoSpaceDN/>
      <w:adjustRightInd/>
      <w:snapToGrid/>
      <w:spacing w:after="200" w:line="240" w:lineRule="auto"/>
    </w:pPr>
    <w:rPr>
      <w:rFonts w:eastAsia="Times New Roman"/>
      <w:b/>
      <w:bCs/>
      <w:color w:val="4F81BD" w:themeColor="accent1"/>
      <w:sz w:val="18"/>
      <w:szCs w:val="18"/>
      <w:lang w:eastAsia="en-US"/>
    </w:rPr>
  </w:style>
  <w:style w:type="paragraph" w:styleId="ListParagraph">
    <w:name w:val="List Paragraph"/>
    <w:basedOn w:val="Normal"/>
    <w:uiPriority w:val="1"/>
    <w:qFormat/>
    <w:rsid w:val="00F62BBA"/>
    <w:pPr>
      <w:suppressAutoHyphens w:val="0"/>
      <w:kinsoku/>
      <w:overflowPunct/>
      <w:autoSpaceDE/>
      <w:autoSpaceDN/>
      <w:adjustRightInd/>
      <w:snapToGrid/>
      <w:spacing w:line="240" w:lineRule="auto"/>
      <w:ind w:left="720"/>
      <w:jc w:val="both"/>
    </w:pPr>
    <w:rPr>
      <w:rFonts w:eastAsia="Times New Roman"/>
      <w:sz w:val="24"/>
      <w:szCs w:val="24"/>
      <w:lang w:val="en-US" w:eastAsia="en-US"/>
    </w:rPr>
  </w:style>
  <w:style w:type="character" w:styleId="CommentReference">
    <w:name w:val="annotation reference"/>
    <w:basedOn w:val="DefaultParagraphFont"/>
    <w:uiPriority w:val="99"/>
    <w:semiHidden/>
    <w:unhideWhenUsed/>
    <w:rsid w:val="00F62BBA"/>
    <w:rPr>
      <w:sz w:val="16"/>
      <w:szCs w:val="16"/>
    </w:rPr>
  </w:style>
  <w:style w:type="paragraph" w:styleId="CommentText">
    <w:name w:val="annotation text"/>
    <w:basedOn w:val="Normal"/>
    <w:link w:val="CommentTextChar"/>
    <w:uiPriority w:val="99"/>
    <w:semiHidden/>
    <w:unhideWhenUsed/>
    <w:rsid w:val="00F62BBA"/>
    <w:pPr>
      <w:spacing w:line="240" w:lineRule="auto"/>
    </w:pPr>
  </w:style>
  <w:style w:type="character" w:customStyle="1" w:styleId="CommentTextChar">
    <w:name w:val="Comment Text Char"/>
    <w:basedOn w:val="DefaultParagraphFont"/>
    <w:link w:val="CommentText"/>
    <w:uiPriority w:val="99"/>
    <w:semiHidden/>
    <w:rsid w:val="00F62BBA"/>
  </w:style>
  <w:style w:type="paragraph" w:styleId="CommentSubject">
    <w:name w:val="annotation subject"/>
    <w:basedOn w:val="CommentText"/>
    <w:next w:val="CommentText"/>
    <w:link w:val="CommentSubjectChar"/>
    <w:uiPriority w:val="99"/>
    <w:semiHidden/>
    <w:unhideWhenUsed/>
    <w:rsid w:val="00F62BBA"/>
    <w:rPr>
      <w:b/>
      <w:bCs/>
    </w:rPr>
  </w:style>
  <w:style w:type="character" w:customStyle="1" w:styleId="CommentSubjectChar">
    <w:name w:val="Comment Subject Char"/>
    <w:basedOn w:val="CommentTextChar"/>
    <w:link w:val="CommentSubject"/>
    <w:uiPriority w:val="99"/>
    <w:semiHidden/>
    <w:rsid w:val="00F62BBA"/>
    <w:rPr>
      <w:b/>
      <w:bCs/>
    </w:rPr>
  </w:style>
  <w:style w:type="character" w:customStyle="1" w:styleId="SingleTxtGZchnZchn">
    <w:name w:val="_ Single Txt_G Zchn Zchn"/>
    <w:rsid w:val="004D5D60"/>
  </w:style>
  <w:style w:type="paragraph" w:customStyle="1" w:styleId="MTabTxt">
    <w:name w:val="MTabTxt"/>
    <w:basedOn w:val="Normal"/>
    <w:link w:val="MTabTxtChar"/>
    <w:qFormat/>
    <w:rsid w:val="00B42282"/>
    <w:pPr>
      <w:numPr>
        <w:ilvl w:val="12"/>
      </w:numPr>
      <w:kinsoku/>
      <w:overflowPunct/>
      <w:snapToGrid/>
      <w:spacing w:before="40" w:after="40" w:line="240" w:lineRule="auto"/>
    </w:pPr>
    <w:rPr>
      <w:sz w:val="22"/>
      <w:szCs w:val="22"/>
      <w:lang w:eastAsia="fr-FR"/>
    </w:rPr>
  </w:style>
  <w:style w:type="character" w:customStyle="1" w:styleId="MTabTxtChar">
    <w:name w:val="MTabTxt Char"/>
    <w:basedOn w:val="DefaultParagraphFont"/>
    <w:link w:val="MTabTxt"/>
    <w:rsid w:val="00B42282"/>
    <w:rPr>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695353577">
      <w:bodyDiv w:val="1"/>
      <w:marLeft w:val="0"/>
      <w:marRight w:val="0"/>
      <w:marTop w:val="0"/>
      <w:marBottom w:val="0"/>
      <w:divBdr>
        <w:top w:val="none" w:sz="0" w:space="0" w:color="auto"/>
        <w:left w:val="none" w:sz="0" w:space="0" w:color="auto"/>
        <w:bottom w:val="none" w:sz="0" w:space="0" w:color="auto"/>
        <w:right w:val="none" w:sz="0" w:space="0" w:color="auto"/>
      </w:divBdr>
      <w:divsChild>
        <w:div w:id="786317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Visio_Drawing1.vsd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1.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package" Target="embeddings/Microsoft_Visio_Drawing2.vsdx"/><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60c-my.sharepoint.com/personal/peter_schuurman_nouryon_com/Documents/IGUS/IGUS%202019/Ad%20Hoc%20Test%20series%20H/Graph%20measuring%20times%20test%20series%20H.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cap="rnd" cmpd="sng" algn="ctr">
              <a:solidFill>
                <a:schemeClr val="dk1">
                  <a:tint val="88500"/>
                  <a:shade val="95000"/>
                  <a:satMod val="105000"/>
                </a:schemeClr>
              </a:solidFill>
              <a:prstDash val="solid"/>
              <a:round/>
            </a:ln>
            <a:effectLst/>
          </c:spPr>
          <c:marker>
            <c:symbol val="none"/>
          </c:marker>
          <c:xVal>
            <c:numRef>
              <c:f>Sheet1!$A$1:$A$5</c:f>
              <c:numCache>
                <c:formatCode>0</c:formatCode>
                <c:ptCount val="5"/>
                <c:pt idx="0" formatCode="General">
                  <c:v>1</c:v>
                </c:pt>
                <c:pt idx="1">
                  <c:v>10</c:v>
                </c:pt>
                <c:pt idx="2">
                  <c:v>100</c:v>
                </c:pt>
                <c:pt idx="3">
                  <c:v>1000</c:v>
                </c:pt>
                <c:pt idx="4">
                  <c:v>10000</c:v>
                </c:pt>
              </c:numCache>
            </c:numRef>
          </c:xVal>
          <c:yVal>
            <c:numRef>
              <c:f>Sheet1!$B$1:$B$5</c:f>
              <c:numCache>
                <c:formatCode>0</c:formatCode>
                <c:ptCount val="5"/>
                <c:pt idx="0" formatCode="General">
                  <c:v>10000</c:v>
                </c:pt>
                <c:pt idx="1">
                  <c:v>1000</c:v>
                </c:pt>
                <c:pt idx="2">
                  <c:v>100</c:v>
                </c:pt>
                <c:pt idx="3">
                  <c:v>10</c:v>
                </c:pt>
                <c:pt idx="4">
                  <c:v>1</c:v>
                </c:pt>
              </c:numCache>
            </c:numRef>
          </c:yVal>
          <c:smooth val="0"/>
          <c:extLst>
            <c:ext xmlns:c16="http://schemas.microsoft.com/office/drawing/2014/chart" uri="{C3380CC4-5D6E-409C-BE32-E72D297353CC}">
              <c16:uniqueId val="{00000000-0C36-4AF5-B250-006FA83FCB8A}"/>
            </c:ext>
          </c:extLst>
        </c:ser>
        <c:dLbls>
          <c:showLegendKey val="0"/>
          <c:showVal val="0"/>
          <c:showCatName val="0"/>
          <c:showSerName val="0"/>
          <c:showPercent val="0"/>
          <c:showBubbleSize val="0"/>
        </c:dLbls>
        <c:axId val="126780928"/>
        <c:axId val="126761600"/>
      </c:scatterChart>
      <c:valAx>
        <c:axId val="126780928"/>
        <c:scaling>
          <c:logBase val="10"/>
          <c:orientation val="minMax"/>
          <c:max val="10000"/>
        </c:scaling>
        <c:delete val="0"/>
        <c:axPos val="b"/>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latin typeface="Times New Roman" panose="02020603050405020304" pitchFamily="18" charset="0"/>
                    <a:cs typeface="Times New Roman" panose="02020603050405020304" pitchFamily="18" charset="0"/>
                  </a:rPr>
                  <a:t>Measuring period (h)</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61600"/>
        <c:crosses val="autoZero"/>
        <c:crossBetween val="midCat"/>
      </c:valAx>
      <c:valAx>
        <c:axId val="126761600"/>
        <c:scaling>
          <c:logBase val="10"/>
          <c:orientation val="minMax"/>
          <c:max val="3000"/>
          <c:min val="1"/>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latin typeface="Times New Roman" panose="02020603050405020304" pitchFamily="18" charset="0"/>
                    <a:cs typeface="Times New Roman" panose="02020603050405020304" pitchFamily="18" charset="0"/>
                  </a:rPr>
                  <a:t>Max. heat generation (mW/kg)</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8092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D36191-7894-4C46-82A4-B42735CD6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8FB35D-F83A-463C-8490-669AD1DBF89F}">
  <ds:schemaRefs>
    <ds:schemaRef ds:uri="http://schemas.openxmlformats.org/officeDocument/2006/bibliography"/>
  </ds:schemaRefs>
</ds:datastoreItem>
</file>

<file path=customXml/itemProps3.xml><?xml version="1.0" encoding="utf-8"?>
<ds:datastoreItem xmlns:ds="http://schemas.openxmlformats.org/officeDocument/2006/customXml" ds:itemID="{E17C3CA5-6A3D-4CE0-B884-2D269DC00708}">
  <ds:schemaRefs>
    <ds:schemaRef ds:uri="http://schemas.microsoft.com/sharepoint/v3/contenttype/forms"/>
  </ds:schemaRefs>
</ds:datastoreItem>
</file>

<file path=customXml/itemProps4.xml><?xml version="1.0" encoding="utf-8"?>
<ds:datastoreItem xmlns:ds="http://schemas.openxmlformats.org/officeDocument/2006/customXml" ds:itemID="{FDA3638B-3EE9-4890-A0A5-2F905C7F0F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SGAC10_E.dotm</Template>
  <TotalTime>3</TotalTime>
  <Pages>22</Pages>
  <Words>7015</Words>
  <Characters>36356</Characters>
  <Application>Microsoft Office Word</Application>
  <DocSecurity>0</DocSecurity>
  <Lines>833</Lines>
  <Paragraphs>429</Paragraphs>
  <ScaleCrop>false</ScaleCrop>
  <Company/>
  <LinksUpToDate>false</LinksUpToDate>
  <CharactersWithSpaces>43205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ST/SG/AC.10/C.3/112/Add.1</dc:title>
  <dc:subject/>
  <dc:creator>Rosa</dc:creator>
  <cp:keywords/>
  <cp:lastModifiedBy>Laurence Berthet</cp:lastModifiedBy>
  <cp:revision>250</cp:revision>
  <cp:lastPrinted>2020-01-06T06:26:00Z</cp:lastPrinted>
  <dcterms:created xsi:type="dcterms:W3CDTF">2020-12-22T00:40:00Z</dcterms:created>
  <dcterms:modified xsi:type="dcterms:W3CDTF">2021-03-23T14:29:00Z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9539200</vt:r8>
  </property>
</Properties>
</file>