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CBBF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792265" w14:textId="77777777" w:rsidR="002D5AAC" w:rsidRDefault="002D5AAC" w:rsidP="005808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7293B5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D60005" w14:textId="77777777" w:rsidR="002D5AAC" w:rsidRDefault="00580810" w:rsidP="00580810">
            <w:pPr>
              <w:jc w:val="right"/>
            </w:pPr>
            <w:r w:rsidRPr="00580810">
              <w:rPr>
                <w:sz w:val="40"/>
              </w:rPr>
              <w:t>ECE</w:t>
            </w:r>
            <w:r>
              <w:t>/TRANS/WP.15/2021/6</w:t>
            </w:r>
          </w:p>
        </w:tc>
      </w:tr>
      <w:tr w:rsidR="002D5AAC" w:rsidRPr="009B263B" w14:paraId="246B27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7872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EABF2E" wp14:editId="4FB520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D9089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62BC587" w14:textId="77777777" w:rsidR="002D5AAC" w:rsidRDefault="005808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458DC1" w14:textId="77777777" w:rsidR="00580810" w:rsidRDefault="00580810" w:rsidP="005808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2021</w:t>
            </w:r>
          </w:p>
          <w:p w14:paraId="7F5C0A6A" w14:textId="77777777" w:rsidR="00580810" w:rsidRDefault="00580810" w:rsidP="005808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087487" w14:textId="77777777" w:rsidR="00580810" w:rsidRPr="008D53B6" w:rsidRDefault="00580810" w:rsidP="005808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E2A54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EAC140" w14:textId="77777777" w:rsidR="00580810" w:rsidRPr="007D785E" w:rsidRDefault="00580810" w:rsidP="00580810">
      <w:pPr>
        <w:spacing w:before="120"/>
        <w:rPr>
          <w:sz w:val="28"/>
          <w:szCs w:val="28"/>
        </w:rPr>
      </w:pPr>
      <w:r w:rsidRPr="007D785E">
        <w:rPr>
          <w:sz w:val="28"/>
          <w:szCs w:val="28"/>
        </w:rPr>
        <w:t>Комитет по внутреннему транспорту</w:t>
      </w:r>
    </w:p>
    <w:p w14:paraId="5B0479C8" w14:textId="77777777" w:rsidR="00580810" w:rsidRPr="006D4398" w:rsidRDefault="00580810" w:rsidP="00580810">
      <w:pPr>
        <w:spacing w:before="120"/>
        <w:rPr>
          <w:b/>
          <w:sz w:val="24"/>
          <w:szCs w:val="24"/>
        </w:rPr>
      </w:pPr>
      <w:r w:rsidRPr="006D4398">
        <w:rPr>
          <w:b/>
          <w:bCs/>
          <w:sz w:val="24"/>
          <w:szCs w:val="24"/>
        </w:rPr>
        <w:t>Рабочая группа по перевозкам опасных грузов</w:t>
      </w:r>
    </w:p>
    <w:p w14:paraId="55C0DD13" w14:textId="77777777" w:rsidR="00580810" w:rsidRPr="006D4398" w:rsidRDefault="00580810" w:rsidP="00580810">
      <w:pPr>
        <w:spacing w:before="120"/>
        <w:rPr>
          <w:rFonts w:eastAsia="SimSun"/>
          <w:b/>
          <w:bCs/>
        </w:rPr>
      </w:pPr>
      <w:r w:rsidRPr="006D4398">
        <w:rPr>
          <w:b/>
          <w:bCs/>
        </w:rPr>
        <w:t xml:space="preserve">Сто девятая сессия </w:t>
      </w:r>
    </w:p>
    <w:p w14:paraId="62EDFF90" w14:textId="77777777" w:rsidR="00580810" w:rsidRPr="007D785E" w:rsidRDefault="00580810" w:rsidP="00580810">
      <w:pPr>
        <w:rPr>
          <w:rFonts w:eastAsia="SimSun"/>
        </w:rPr>
      </w:pPr>
      <w:r>
        <w:t>Женева, 3–7 мая 2021 года</w:t>
      </w:r>
    </w:p>
    <w:p w14:paraId="5F721319" w14:textId="77777777" w:rsidR="00580810" w:rsidRPr="007D785E" w:rsidRDefault="00580810" w:rsidP="00580810">
      <w:r>
        <w:t>Пункт 6 предварительной повестки дня</w:t>
      </w:r>
    </w:p>
    <w:p w14:paraId="3653937A" w14:textId="77777777" w:rsidR="00E12C5F" w:rsidRDefault="00580810" w:rsidP="00580810">
      <w:r>
        <w:rPr>
          <w:b/>
          <w:bCs/>
        </w:rPr>
        <w:t>Толкование ДОПОГ</w:t>
      </w:r>
    </w:p>
    <w:p w14:paraId="3F4D90A7" w14:textId="77777777" w:rsidR="00580810" w:rsidRPr="007D785E" w:rsidRDefault="00580810" w:rsidP="00580810">
      <w:pPr>
        <w:pStyle w:val="HChG"/>
      </w:pPr>
      <w:r>
        <w:tab/>
      </w:r>
      <w:r>
        <w:tab/>
      </w:r>
      <w:r>
        <w:rPr>
          <w:bCs/>
        </w:rPr>
        <w:t>Толкование ДОПОГ: Применение требований к</w:t>
      </w:r>
      <w:r>
        <w:rPr>
          <w:bCs/>
          <w:lang w:val="en-US"/>
        </w:rPr>
        <w:t> </w:t>
      </w:r>
      <w:r>
        <w:rPr>
          <w:bCs/>
        </w:rPr>
        <w:t>электрооборудованию транспортных средств в</w:t>
      </w:r>
      <w:r>
        <w:rPr>
          <w:bCs/>
          <w:lang w:val="en-US"/>
        </w:rPr>
        <w:t> </w:t>
      </w:r>
      <w:r>
        <w:rPr>
          <w:bCs/>
        </w:rPr>
        <w:t xml:space="preserve">соответствии с пунктом 9.2.1.1 ДОПОГ </w:t>
      </w:r>
      <w:r w:rsidRPr="00580810">
        <w:rPr>
          <w:bCs/>
        </w:rPr>
        <w:t>—</w:t>
      </w:r>
      <w:r>
        <w:rPr>
          <w:bCs/>
        </w:rPr>
        <w:t xml:space="preserve"> переходные положения</w:t>
      </w:r>
      <w:r>
        <w:t xml:space="preserve"> </w:t>
      </w:r>
    </w:p>
    <w:p w14:paraId="1DB32EA3" w14:textId="77777777" w:rsidR="00580810" w:rsidRPr="007D785E" w:rsidRDefault="00580810" w:rsidP="00580810">
      <w:pPr>
        <w:pStyle w:val="H1G"/>
      </w:pPr>
      <w:r>
        <w:tab/>
      </w:r>
      <w:r>
        <w:tab/>
        <w:t>Передано правительством Нидерландов и правительством Германии</w:t>
      </w:r>
      <w:r w:rsidRPr="00580810">
        <w:rPr>
          <w:b w:val="0"/>
          <w:bCs/>
          <w:sz w:val="20"/>
        </w:rPr>
        <w:footnoteReference w:customMarkFollows="1" w:id="1"/>
        <w:sym w:font="Symbol" w:char="F02A"/>
      </w:r>
    </w:p>
    <w:p w14:paraId="7E10E021" w14:textId="77777777" w:rsidR="00580810" w:rsidRDefault="00580810" w:rsidP="00580810">
      <w:pPr>
        <w:pStyle w:val="H23G"/>
      </w:pPr>
      <w:r>
        <w:tab/>
      </w:r>
      <w:r>
        <w:tab/>
      </w:r>
      <w:r w:rsidRPr="006D4398">
        <w:t>Справочные документы: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80810" w:rsidRPr="00580810" w14:paraId="2944E912" w14:textId="77777777" w:rsidTr="00580810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87345AD" w14:textId="77777777" w:rsidR="00580810" w:rsidRPr="00580810" w:rsidRDefault="0058081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80810">
              <w:rPr>
                <w:rFonts w:cs="Times New Roman"/>
              </w:rPr>
              <w:tab/>
            </w:r>
            <w:r w:rsidRPr="0058081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80810" w:rsidRPr="00580810" w14:paraId="5C3ECCB2" w14:textId="77777777" w:rsidTr="0058081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3AE2E9B" w14:textId="77777777" w:rsidR="00580810" w:rsidRPr="00580810" w:rsidRDefault="00580810" w:rsidP="00580810">
            <w:pPr>
              <w:pStyle w:val="SingleTxtG"/>
              <w:tabs>
                <w:tab w:val="left" w:pos="3682"/>
              </w:tabs>
              <w:ind w:left="3682" w:hanging="2548"/>
            </w:pPr>
            <w:r w:rsidRPr="00580810"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 w:rsidRPr="00580810">
              <w:t>Сто восьмая сессия WP.15 (ноябрь 2020 года), неофициальные документы INF.13 и INF.26</w:t>
            </w:r>
          </w:p>
        </w:tc>
      </w:tr>
      <w:tr w:rsidR="00580810" w:rsidRPr="00580810" w14:paraId="541362FE" w14:textId="77777777" w:rsidTr="00580810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03FA114" w14:textId="77777777" w:rsidR="00580810" w:rsidRPr="00580810" w:rsidRDefault="00580810" w:rsidP="00850215">
            <w:pPr>
              <w:rPr>
                <w:rFonts w:cs="Times New Roman"/>
              </w:rPr>
            </w:pPr>
          </w:p>
        </w:tc>
      </w:tr>
    </w:tbl>
    <w:p w14:paraId="06C98551" w14:textId="77777777" w:rsidR="00580810" w:rsidRPr="006D4398" w:rsidRDefault="00580810" w:rsidP="00580810">
      <w:pPr>
        <w:pStyle w:val="HChG"/>
        <w:spacing w:before="480"/>
      </w:pPr>
      <w:r>
        <w:tab/>
      </w:r>
      <w:r>
        <w:tab/>
      </w:r>
      <w:r>
        <w:rPr>
          <w:bCs/>
        </w:rPr>
        <w:t>Введение</w:t>
      </w:r>
    </w:p>
    <w:p w14:paraId="7C0C1C22" w14:textId="77777777" w:rsidR="00580810" w:rsidRPr="007D785E" w:rsidRDefault="00580810" w:rsidP="00580810">
      <w:pPr>
        <w:pStyle w:val="SingleTxtG"/>
        <w:spacing w:before="120"/>
      </w:pPr>
      <w:r>
        <w:t>1.</w:t>
      </w:r>
      <w:r>
        <w:tab/>
        <w:t>Для сто восьмой сессии WP.15 (ноябрь 2020 года) Германия представила неофициальный документ INF.13, посвященный толкованию переходных мер, приведенных в таблице пункта 9.2.1.1, в частности в отношении электрической системы. В ответ на вопросы, поставленные Германией, Нидерланды представили неофициальный документ INF.26. Обе страны решили подготовить совместный документ с изложением официальной позиции по этому вопросу для следующей сессии (см. ECE/TRANS/WP.15/251, п. 58).</w:t>
      </w:r>
    </w:p>
    <w:p w14:paraId="77A04EE4" w14:textId="77777777" w:rsidR="00580810" w:rsidRPr="007D785E" w:rsidRDefault="00580810" w:rsidP="00580810">
      <w:pPr>
        <w:pStyle w:val="HChG"/>
      </w:pPr>
      <w:r>
        <w:lastRenderedPageBreak/>
        <w:tab/>
      </w:r>
      <w:r>
        <w:tab/>
      </w:r>
      <w:r>
        <w:rPr>
          <w:bCs/>
        </w:rPr>
        <w:t>Ссылка на транспортные средства, впервые зарегистрированные после 31 марта 2018 года</w:t>
      </w:r>
      <w:r>
        <w:t xml:space="preserve"> </w:t>
      </w:r>
    </w:p>
    <w:p w14:paraId="5BFF7B7C" w14:textId="77777777" w:rsidR="00580810" w:rsidRPr="007D785E" w:rsidRDefault="00580810" w:rsidP="00580810">
      <w:pPr>
        <w:spacing w:after="120"/>
        <w:ind w:left="1134" w:right="1134"/>
        <w:jc w:val="both"/>
      </w:pPr>
      <w:r>
        <w:t>2.</w:t>
      </w:r>
      <w:r>
        <w:tab/>
      </w:r>
      <w:r>
        <w:rPr>
          <w:b/>
          <w:bCs/>
        </w:rPr>
        <w:t>Вопрос 1, поставленный Германией</w:t>
      </w:r>
      <w:r>
        <w:t>: Относится ли это положение в таблице, касающееся электрооборудования транспортных средств, впервые зарегистрированных для дорожного движения в целом после 31 марта 2018 года (первая регистрация после изготовления в соответствии с законодательством о дорожном движении), к регистрации по смыслу законодательства о дорожном движении?</w:t>
      </w:r>
    </w:p>
    <w:p w14:paraId="73312B38" w14:textId="77777777" w:rsidR="00580810" w:rsidRPr="007D785E" w:rsidRDefault="00580810" w:rsidP="00580810">
      <w:pPr>
        <w:spacing w:after="120"/>
        <w:ind w:left="1134" w:right="1134"/>
        <w:jc w:val="both"/>
      </w:pPr>
      <w:r>
        <w:t>3.</w:t>
      </w:r>
      <w:r>
        <w:tab/>
      </w:r>
      <w:r>
        <w:rPr>
          <w:b/>
          <w:bCs/>
        </w:rPr>
        <w:t>Ответ Нидерландов</w:t>
      </w:r>
      <w:r>
        <w:t>: Действительно, по мнению Нидерландов, здесь подразумевается регистрация по смыслу законодательства о дорожном движении.</w:t>
      </w:r>
    </w:p>
    <w:p w14:paraId="4054081E" w14:textId="77777777" w:rsidR="00580810" w:rsidRPr="007D785E" w:rsidRDefault="00580810" w:rsidP="00580810">
      <w:pPr>
        <w:spacing w:after="120"/>
        <w:ind w:left="1134" w:right="1134"/>
        <w:jc w:val="both"/>
      </w:pPr>
      <w:r>
        <w:t>4.</w:t>
      </w:r>
      <w:r>
        <w:tab/>
        <w:t xml:space="preserve">Это означает дату выдачи документа на транспортное средство </w:t>
      </w:r>
      <w:r w:rsidR="00A525C8" w:rsidRPr="00A525C8">
        <w:t>—</w:t>
      </w:r>
      <w:r>
        <w:t xml:space="preserve"> </w:t>
      </w:r>
      <w:r w:rsidR="00A525C8">
        <w:t>«</w:t>
      </w:r>
      <w:r>
        <w:t>Certificat d'immatriculation</w:t>
      </w:r>
      <w:r w:rsidR="00A525C8">
        <w:t>»</w:t>
      </w:r>
      <w:r>
        <w:t xml:space="preserve"> во Франции, документа V5C в Соединенном Королевстве или </w:t>
      </w:r>
      <w:r w:rsidR="00A525C8">
        <w:t>«</w:t>
      </w:r>
      <w:r>
        <w:t>Kraftfahrzeugbrief</w:t>
      </w:r>
      <w:r w:rsidR="00A525C8">
        <w:t>»</w:t>
      </w:r>
      <w:r>
        <w:t xml:space="preserve"> в Германии, начиная с которой транспортное средство может использоваться в дорожном движении.</w:t>
      </w:r>
    </w:p>
    <w:p w14:paraId="72C83BA4" w14:textId="77777777" w:rsidR="00580810" w:rsidRPr="007D785E" w:rsidRDefault="00580810" w:rsidP="00580810">
      <w:pPr>
        <w:spacing w:after="120"/>
        <w:ind w:left="1134" w:right="1134"/>
        <w:jc w:val="both"/>
      </w:pPr>
      <w:r>
        <w:t>5.</w:t>
      </w:r>
      <w:r>
        <w:tab/>
        <w:t xml:space="preserve">В некоторых договаривающихся сторонах этот документ на транспортное средство, в частности на прицепы, выдается только во время первой периодической проверки. Для учета этого обстоятельства в замечания, приведенные в последней колонке таблицы, всегда добавляется дополнительный вариант </w:t>
      </w:r>
      <w:r w:rsidR="00A525C8">
        <w:t>«</w:t>
      </w:r>
      <w:r>
        <w:t>(или, если регистрация не является обязательной, впервые введенным в эксплуатацию)</w:t>
      </w:r>
      <w:r w:rsidR="00A525C8">
        <w:t>»</w:t>
      </w:r>
      <w:r>
        <w:t>. При</w:t>
      </w:r>
      <w:r w:rsidR="00A525C8">
        <w:t> </w:t>
      </w:r>
      <w:r>
        <w:t>этом понимается, что данная формулировка может вызвать вопросы, если неизвестна подоплека.</w:t>
      </w:r>
    </w:p>
    <w:p w14:paraId="06A4ED21" w14:textId="77777777" w:rsidR="00580810" w:rsidRPr="007D785E" w:rsidRDefault="00580810" w:rsidP="00580810">
      <w:pPr>
        <w:spacing w:after="120"/>
        <w:ind w:left="1134" w:right="1134"/>
        <w:jc w:val="both"/>
      </w:pPr>
      <w:r>
        <w:t>6.</w:t>
      </w:r>
      <w:r>
        <w:tab/>
      </w:r>
      <w:r>
        <w:rPr>
          <w:b/>
          <w:bCs/>
        </w:rPr>
        <w:t>Вопрос 2, поставленный Германией</w:t>
      </w:r>
      <w:r>
        <w:t>: Применяется ли это положение в таблице, касающееся электрооборудования транспортных средств, также к транспортным средствам, впервые зарегистрированным после 31 марта 2018 года в качестве сертифицированного в соответствии с ДОПОГ транспортного средства (EX/II, EX/III, AT, FL), имеющего свидетельство о допущении в соответствии с частью</w:t>
      </w:r>
      <w:r w:rsidR="00A525C8">
        <w:t> </w:t>
      </w:r>
      <w:r>
        <w:t>9 ДОПОГ?</w:t>
      </w:r>
    </w:p>
    <w:p w14:paraId="0029C9DB" w14:textId="77777777" w:rsidR="00580810" w:rsidRPr="007D785E" w:rsidRDefault="00580810" w:rsidP="00A525C8">
      <w:pPr>
        <w:spacing w:after="240"/>
        <w:ind w:left="1134" w:right="1134"/>
        <w:jc w:val="both"/>
      </w:pPr>
      <w:r>
        <w:t>7.</w:t>
      </w:r>
      <w:r>
        <w:tab/>
      </w:r>
      <w:r>
        <w:rPr>
          <w:b/>
          <w:bCs/>
        </w:rPr>
        <w:t>Ответ Нидерландов</w:t>
      </w:r>
      <w:r>
        <w:t>: Действительно, приведенные ниже замечания а, b и e применяются к транспортным средствам, впервые зарегистрированным по смыслу законодательства о дорожном движении.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645"/>
        <w:gridCol w:w="546"/>
        <w:gridCol w:w="588"/>
        <w:gridCol w:w="462"/>
        <w:gridCol w:w="389"/>
        <w:gridCol w:w="4252"/>
      </w:tblGrid>
      <w:tr w:rsidR="00580810" w:rsidRPr="001F6626" w14:paraId="3212761C" w14:textId="77777777" w:rsidTr="001F6626">
        <w:trPr>
          <w:trHeight w:val="20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93E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D2B1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9921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ЗАМЕЧАНИЯ</w:t>
            </w:r>
          </w:p>
        </w:tc>
      </w:tr>
      <w:tr w:rsidR="001F6626" w:rsidRPr="001F6626" w14:paraId="468AE99D" w14:textId="77777777" w:rsidTr="001F6626">
        <w:trPr>
          <w:trHeight w:val="20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20A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7025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EX/II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2339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EX/II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E4DA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39F1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FL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C9C" w14:textId="77777777" w:rsidR="00580810" w:rsidRPr="001F6626" w:rsidRDefault="00580810" w:rsidP="001F6626">
            <w:pPr>
              <w:spacing w:after="60" w:line="240" w:lineRule="auto"/>
              <w:ind w:right="-14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6626" w:rsidRPr="001F6626" w14:paraId="585CF3DA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F923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6626">
              <w:rPr>
                <w:b/>
                <w:bCs/>
                <w:sz w:val="18"/>
                <w:szCs w:val="18"/>
              </w:rPr>
              <w:t>9.2.2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8A09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F6626"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856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682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5D8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749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0DD" w14:textId="77777777" w:rsidR="00580810" w:rsidRPr="001F6626" w:rsidRDefault="00580810" w:rsidP="001F6626">
            <w:pPr>
              <w:spacing w:after="60" w:line="240" w:lineRule="auto"/>
              <w:ind w:right="-14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6626" w:rsidRPr="001F6626" w14:paraId="6365F163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DCAC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9.2.2.1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A3C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Общие положения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8AA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84B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127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8B7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37C" w14:textId="77777777" w:rsidR="00580810" w:rsidRPr="001F6626" w:rsidRDefault="00580810" w:rsidP="001F6626">
            <w:pPr>
              <w:spacing w:after="60" w:line="240" w:lineRule="auto"/>
              <w:ind w:right="-14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6626" w:rsidRPr="001F6626" w14:paraId="3F136486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5EE5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9.2.2.2.1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1AA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Кабели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94DD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7E2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9DD9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5205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889" w14:textId="77777777" w:rsidR="00580810" w:rsidRPr="001F6626" w:rsidRDefault="00580810" w:rsidP="001F6626">
            <w:pPr>
              <w:spacing w:after="60" w:line="240" w:lineRule="auto"/>
              <w:ind w:right="-14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6626" w:rsidRPr="001F6626" w14:paraId="571931D2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2E5C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9.2.2.2.2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7CC7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Дополнительная защита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3B5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Х</w:t>
            </w:r>
            <w:r w:rsidRPr="001F6626">
              <w:rPr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29A7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219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  <w:r w:rsidRPr="001F6626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82C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793" w14:textId="77777777" w:rsidR="00580810" w:rsidRPr="001F6626" w:rsidRDefault="00580810" w:rsidP="001F6626">
            <w:pPr>
              <w:spacing w:after="60" w:line="240" w:lineRule="auto"/>
              <w:ind w:left="142" w:right="11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  <w:vertAlign w:val="superscript"/>
              </w:rPr>
              <w:t>a</w:t>
            </w:r>
            <w:r w:rsidRPr="001F6626">
              <w:rPr>
                <w:sz w:val="18"/>
                <w:szCs w:val="18"/>
              </w:rPr>
              <w:t xml:space="preserve"> Применимо к транспортным средствам максимальной массой более 3,5 т,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  <w:p w14:paraId="3C244934" w14:textId="77777777" w:rsidR="00580810" w:rsidRPr="001F6626" w:rsidRDefault="00580810" w:rsidP="001F6626">
            <w:pPr>
              <w:spacing w:after="60" w:line="240" w:lineRule="auto"/>
              <w:ind w:left="142" w:right="11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  <w:vertAlign w:val="superscript"/>
              </w:rPr>
              <w:t>b</w:t>
            </w:r>
            <w:r w:rsidRPr="001F6626">
              <w:rPr>
                <w:sz w:val="18"/>
                <w:szCs w:val="18"/>
              </w:rP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</w:tc>
      </w:tr>
      <w:tr w:rsidR="001F6626" w:rsidRPr="001F6626" w14:paraId="26AE001B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2EA3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9.2.2.3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BE4" w14:textId="77777777" w:rsidR="00580810" w:rsidRPr="001F6626" w:rsidRDefault="00580810" w:rsidP="001F6626">
            <w:pPr>
              <w:spacing w:after="6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Плавкие предохранители и автоматические выключатели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A3A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  <w:r w:rsidRPr="001F6626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5917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EE9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6C64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19CF" w14:textId="77777777" w:rsidR="00580810" w:rsidRPr="001F6626" w:rsidRDefault="00580810" w:rsidP="001F6626">
            <w:pPr>
              <w:spacing w:after="60" w:line="240" w:lineRule="auto"/>
              <w:ind w:left="142" w:right="118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  <w:vertAlign w:val="superscript"/>
              </w:rPr>
              <w:t>b</w:t>
            </w:r>
            <w:r w:rsidRPr="001F6626">
              <w:rPr>
                <w:sz w:val="18"/>
                <w:szCs w:val="18"/>
              </w:rP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</w:tc>
      </w:tr>
      <w:tr w:rsidR="001F6626" w:rsidRPr="001F6626" w14:paraId="780CBA0C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C07B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9.2.2.4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231F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Аккумуляторные батареи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4098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C303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21FB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67E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796" w14:textId="77777777" w:rsidR="00580810" w:rsidRPr="001F6626" w:rsidRDefault="00580810" w:rsidP="001F6626">
            <w:pPr>
              <w:spacing w:after="60" w:line="240" w:lineRule="auto"/>
              <w:ind w:right="-14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6626" w:rsidRPr="001F6626" w14:paraId="0BB0729C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6648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9.2.2.5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9ED1" w14:textId="77777777" w:rsidR="00580810" w:rsidRPr="001F6626" w:rsidRDefault="00580810" w:rsidP="001F6626">
            <w:pPr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Освещение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66A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D14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B9AD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DA6B" w14:textId="77777777" w:rsidR="00580810" w:rsidRPr="001F6626" w:rsidRDefault="00580810" w:rsidP="001F6626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A08" w14:textId="77777777" w:rsidR="00580810" w:rsidRPr="001F6626" w:rsidRDefault="00580810" w:rsidP="001F6626">
            <w:pPr>
              <w:spacing w:after="60" w:line="240" w:lineRule="auto"/>
              <w:ind w:right="-142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6626" w:rsidRPr="001F6626" w14:paraId="05EB3AED" w14:textId="77777777" w:rsidTr="001F6626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8C03" w14:textId="77777777" w:rsidR="00580810" w:rsidRPr="001F6626" w:rsidRDefault="00580810" w:rsidP="001F6626">
            <w:pPr>
              <w:keepNext/>
              <w:keepLines/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  <w:r w:rsidRPr="001F6626">
              <w:rPr>
                <w:sz w:val="18"/>
                <w:szCs w:val="18"/>
              </w:rPr>
              <w:lastRenderedPageBreak/>
              <w:t>9.2.2.6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18D" w14:textId="77777777" w:rsidR="00580810" w:rsidRPr="001F6626" w:rsidRDefault="00580810" w:rsidP="001F6626">
            <w:pPr>
              <w:keepNext/>
              <w:keepLines/>
              <w:spacing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Электрические соединения между автомобилями и прицепами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C7B" w14:textId="77777777" w:rsidR="00580810" w:rsidRPr="001F6626" w:rsidRDefault="00580810" w:rsidP="001F6626">
            <w:pPr>
              <w:keepNext/>
              <w:keepLines/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  <w:r w:rsidRPr="001F6626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7DB" w14:textId="77777777" w:rsidR="00580810" w:rsidRPr="001F6626" w:rsidRDefault="00580810" w:rsidP="001F6626">
            <w:pPr>
              <w:keepNext/>
              <w:keepLines/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8FD" w14:textId="77777777" w:rsidR="00580810" w:rsidRPr="001F6626" w:rsidRDefault="00580810" w:rsidP="001F6626">
            <w:pPr>
              <w:keepNext/>
              <w:keepLines/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  <w:r w:rsidRPr="001F6626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FFE0" w14:textId="77777777" w:rsidR="00580810" w:rsidRPr="001F6626" w:rsidRDefault="00580810" w:rsidP="001F6626">
            <w:pPr>
              <w:keepNext/>
              <w:keepLines/>
              <w:spacing w:after="6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1688" w14:textId="77777777" w:rsidR="00580810" w:rsidRPr="001F6626" w:rsidRDefault="00580810" w:rsidP="001F6626">
            <w:pPr>
              <w:keepNext/>
              <w:keepLines/>
              <w:spacing w:after="60" w:line="240" w:lineRule="auto"/>
              <w:ind w:left="142" w:right="118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  <w:vertAlign w:val="superscript"/>
              </w:rPr>
              <w:t>b</w:t>
            </w:r>
            <w:r w:rsidRPr="001F6626">
              <w:rPr>
                <w:sz w:val="18"/>
                <w:szCs w:val="18"/>
              </w:rPr>
              <w:t xml:space="preserve"> Применимо к транспортным средствам, впервые зарегистрированным (или, если регистрация не является обязательной, впервые введенным в эксплуатацию) после 31 марта 2018 года.</w:t>
            </w:r>
          </w:p>
          <w:p w14:paraId="7999374B" w14:textId="77777777" w:rsidR="00580810" w:rsidRPr="001F6626" w:rsidRDefault="00580810" w:rsidP="001F6626">
            <w:pPr>
              <w:keepNext/>
              <w:keepLines/>
              <w:spacing w:after="60" w:line="240" w:lineRule="auto"/>
              <w:ind w:left="142" w:right="118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F6626">
              <w:rPr>
                <w:sz w:val="18"/>
                <w:szCs w:val="18"/>
                <w:vertAlign w:val="superscript"/>
              </w:rPr>
              <w:t>с</w:t>
            </w:r>
            <w:r w:rsidRPr="001F6626">
              <w:rPr>
                <w:sz w:val="18"/>
                <w:szCs w:val="18"/>
              </w:rPr>
              <w:t xml:space="preserve"> Применимо к автомобилям, предназначенным для буксировки прицепов максимальной массой более 3,5 т, и прицепам максимальной массой более 3,5 т, впервые зарегистрированным (или, если регистрация не является обязательной, впервые введенным в эксплуатацию) после 31 марта 2018</w:t>
            </w:r>
            <w:r w:rsidR="001F6626">
              <w:rPr>
                <w:sz w:val="18"/>
                <w:szCs w:val="18"/>
              </w:rPr>
              <w:t> </w:t>
            </w:r>
            <w:r w:rsidRPr="001F6626">
              <w:rPr>
                <w:sz w:val="18"/>
                <w:szCs w:val="18"/>
              </w:rPr>
              <w:t>года.</w:t>
            </w:r>
          </w:p>
        </w:tc>
      </w:tr>
    </w:tbl>
    <w:p w14:paraId="2C40412F" w14:textId="77777777" w:rsidR="00580810" w:rsidRPr="007D785E" w:rsidRDefault="00580810" w:rsidP="001F6626">
      <w:pPr>
        <w:spacing w:before="120" w:after="120"/>
        <w:ind w:left="1134" w:right="1134"/>
        <w:jc w:val="both"/>
        <w:rPr>
          <w:rFonts w:eastAsia="SimSun"/>
        </w:rPr>
      </w:pPr>
      <w:r>
        <w:t>8.</w:t>
      </w:r>
      <w:r>
        <w:tab/>
        <w:t>В неофициальной рабочей группе по электрической системе транспортных средств, перевозящих опасные грузы, которая занимается обновлением главы 9.2, было сочтено, что для транспортных средств ЕХ/II уровень риска не ниже, чем для транспортных средств ЕХ/III и что к транспортным средствам ЕХ/II следует также применять требования в отношении дополнительной защиты электропроводки, плавких предохранителей и автоматических выключателей, а также электрических соединений.</w:t>
      </w:r>
    </w:p>
    <w:p w14:paraId="38116C8F" w14:textId="77777777" w:rsidR="00580810" w:rsidRPr="007D785E" w:rsidRDefault="00580810" w:rsidP="00580810">
      <w:pPr>
        <w:spacing w:after="120"/>
        <w:ind w:left="1134" w:right="1134"/>
        <w:jc w:val="both"/>
        <w:rPr>
          <w:rFonts w:eastAsia="SimSun"/>
        </w:rPr>
      </w:pPr>
      <w:r>
        <w:t>9.</w:t>
      </w:r>
      <w:r>
        <w:tab/>
        <w:t xml:space="preserve">Было признано, что транспортные средства ЕХ/II в большинстве случаев будут представлять собой </w:t>
      </w:r>
      <w:r w:rsidR="001F6626">
        <w:t>«</w:t>
      </w:r>
      <w:r>
        <w:t>автофургоны</w:t>
      </w:r>
      <w:r w:rsidR="001F6626">
        <w:t>»</w:t>
      </w:r>
      <w:r>
        <w:t xml:space="preserve">, в которых электропроводка будет защищена кузовом автофургона. Поскольку </w:t>
      </w:r>
      <w:r w:rsidR="001F6626">
        <w:t>«</w:t>
      </w:r>
      <w:r>
        <w:t>автофургон</w:t>
      </w:r>
      <w:r w:rsidR="001F6626">
        <w:t>»</w:t>
      </w:r>
      <w:r>
        <w:t xml:space="preserve"> является сложной концепцией, для</w:t>
      </w:r>
      <w:r w:rsidR="001F6626">
        <w:t> </w:t>
      </w:r>
      <w:r>
        <w:t>целей перевода было решено использовать вместо этого термина предельное значение 3,5 т.</w:t>
      </w:r>
    </w:p>
    <w:p w14:paraId="0F7E848A" w14:textId="77777777" w:rsidR="00580810" w:rsidRPr="007D785E" w:rsidRDefault="00580810" w:rsidP="00580810">
      <w:pPr>
        <w:spacing w:after="120"/>
        <w:ind w:left="1134" w:right="1134"/>
        <w:jc w:val="both"/>
        <w:rPr>
          <w:rFonts w:eastAsia="SimSun"/>
        </w:rPr>
      </w:pPr>
      <w:r>
        <w:t>10.</w:t>
      </w:r>
      <w:r>
        <w:tab/>
        <w:t>В отношении транспортных средств АТ было решено упростить правила. Производители грузовых автомобилей подтвердили, что в пакете требований ДОПОГ больше не провод</w:t>
      </w:r>
      <w:r w:rsidR="001F6626">
        <w:t>я</w:t>
      </w:r>
      <w:r>
        <w:t xml:space="preserve">тся различия между транспортными средствами FL и AT и что всегда будет обеспечено наличие соответствующей защиты FL, плавких предохранителей и автоматических выключателей, а также соответствующих электрических соединителей для прицепов. </w:t>
      </w:r>
    </w:p>
    <w:p w14:paraId="03AF6CC4" w14:textId="77777777" w:rsidR="00580810" w:rsidRPr="007D785E" w:rsidRDefault="00580810" w:rsidP="00580810">
      <w:pPr>
        <w:spacing w:after="120"/>
        <w:ind w:left="1134" w:right="1134"/>
        <w:jc w:val="both"/>
        <w:rPr>
          <w:rFonts w:eastAsia="SimSun"/>
        </w:rPr>
      </w:pPr>
      <w:r>
        <w:t>11.</w:t>
      </w:r>
      <w:r>
        <w:tab/>
        <w:t>Для транспортных средств EX/II и AT в подраздел 1.6.5 не было включено никаких переходных мер, поскольку эти положения являются новыми или впервые введены для данных категорий. Может возникнуть вопрос, насколько это приемлемо с точки зрения безопасности. Модификация для транспортных средств АТ была основана на упрощении без финансовых последствий для новых транспортных средств и на учете того, что такие существующие транспортные средства не приведут к неприемлемым рискам, оправдывающим модификацию.</w:t>
      </w:r>
    </w:p>
    <w:p w14:paraId="7BEC4B61" w14:textId="77777777" w:rsidR="00580810" w:rsidRPr="007D785E" w:rsidRDefault="00580810" w:rsidP="00580810">
      <w:pPr>
        <w:spacing w:after="120"/>
        <w:ind w:left="1134" w:right="1134"/>
        <w:jc w:val="both"/>
        <w:rPr>
          <w:rFonts w:eastAsia="SimSun"/>
        </w:rPr>
      </w:pPr>
      <w:r>
        <w:t>12.</w:t>
      </w:r>
      <w:r>
        <w:tab/>
        <w:t xml:space="preserve">Большинство транспортных средств EX/II </w:t>
      </w:r>
      <w:r w:rsidR="001F6626">
        <w:t>—</w:t>
      </w:r>
      <w:r>
        <w:t xml:space="preserve"> это автофургоны, в которых электропроводка защищена кузовом. Все современные транспортные средства EX/II оснащены плавкими предохранителями и автоматическими выключателями и соответствуют правилам, соблюдаемым производителем. Большинство транспортных средств EX/II, которые оборудованы для буксировки прицепов, имеют специальные электрические соединители для легких прицепов массой до 3,5 т, которые отличаются от соединителей для тяжелых грузовых автомобилей/прицепов. По этой причине </w:t>
      </w:r>
      <w:bookmarkStart w:id="1" w:name="_Hlk64887441"/>
      <w:r>
        <w:t>транспортные средств</w:t>
      </w:r>
      <w:bookmarkEnd w:id="1"/>
      <w:r>
        <w:t>а массой до 3,5 т освобождаются от выполнения требований к электрическим соединителям, изложенным в подразделе 9.2.2.6. Большинство тяжелых грузовых автомобилей также утверждены в качестве транспортных средств EX/II, EX/III, AT и FL и поэтому не нуждаются в дальнейшей модификации, чтобы соответствовать требованиям в отношении транспортных средств EX/II, EX/III, AT и FL. Только для очень ограниченного количества тяжелых грузовых автомобилей и прицепов, впервые зарегистрированных после 31 марта 2018 года и утвержденных только как транспортные средства EX/II, могут потребоваться модификации.</w:t>
      </w:r>
    </w:p>
    <w:p w14:paraId="3314C093" w14:textId="77777777" w:rsidR="00580810" w:rsidRPr="007D785E" w:rsidRDefault="00580810" w:rsidP="00580810">
      <w:pPr>
        <w:spacing w:after="120"/>
        <w:ind w:left="1134" w:right="1134"/>
        <w:jc w:val="both"/>
        <w:rPr>
          <w:rFonts w:eastAsia="SimSun"/>
        </w:rPr>
      </w:pPr>
      <w:r>
        <w:t>13.</w:t>
      </w:r>
      <w:r>
        <w:tab/>
        <w:t>Если транспортное средство зарегистрировано по смыслу законодательства о дорожном движении, но не используется сразу же для перевозки опасных грузов, то</w:t>
      </w:r>
      <w:r w:rsidR="00CB522A">
        <w:t> </w:t>
      </w:r>
      <w:r>
        <w:t xml:space="preserve">позднее его еще можно начать использовать для перевозки опасных грузов при </w:t>
      </w:r>
      <w:r>
        <w:lastRenderedPageBreak/>
        <w:t>условии, что оно соответствует положениям, действовавшим на момент регистрации, и что истечение срока действия переходных мер не сделает недействительным допущение транспортного средства к перевозке опасных грузов. При введении в эксплуатацию для перевозки опасных грузов оно характеризуется таким же уровнем безопасности, как и транспортные средства, зарегистрированные одновременно с ним и сразу же используемые для перевозки опасных грузов.</w:t>
      </w:r>
    </w:p>
    <w:p w14:paraId="3E2C9674" w14:textId="77777777" w:rsidR="00580810" w:rsidRPr="00C92BF7" w:rsidRDefault="00580810" w:rsidP="00580810">
      <w:pPr>
        <w:spacing w:after="120"/>
        <w:ind w:left="1134" w:right="1134"/>
        <w:jc w:val="both"/>
        <w:rPr>
          <w:rFonts w:eastAsia="SimSun"/>
        </w:rPr>
      </w:pPr>
      <w:r>
        <w:t>14.</w:t>
      </w:r>
      <w:r>
        <w:tab/>
        <w:t>На практике транспортные средства, в частности автомобили, очень трудно модифицировать на экономически жизнеспособной основе. В редких случаях, когда такая модификация имеет место, большинство автомобилей с самого начала подготавливаются первоначальным изготовителем согласно требованиям ДОПОГ (т.</w:t>
      </w:r>
      <w:r w:rsidR="00CB522A">
        <w:t> </w:t>
      </w:r>
      <w:r>
        <w:t>е. для официального утверждения в соответствии с Правилами № 105 ООН). Средний срок службы тягачей для полуприцепов, на которые приходится не менее 80</w:t>
      </w:r>
      <w:r w:rsidR="00CB522A">
        <w:t> </w:t>
      </w:r>
      <w:r>
        <w:t>% парка автомобилей, эксплуатируемых в режиме ДОПОГ, составляет семь лет. Для прицепов предусмотрен срок службы 25 лет. Однако ходовая часть, например оси и электрические цепи, не эксплуатируется так долго и модернизируется до современного уровня один или несколько раз в течение срока службы.</w:t>
      </w:r>
    </w:p>
    <w:p w14:paraId="4F94ABD1" w14:textId="77777777" w:rsidR="00580810" w:rsidRPr="007D785E" w:rsidRDefault="00580810" w:rsidP="00580810">
      <w:pPr>
        <w:pStyle w:val="HChG"/>
        <w:rPr>
          <w:rFonts w:eastAsia="Calibri"/>
        </w:rPr>
      </w:pPr>
      <w:r>
        <w:tab/>
      </w:r>
      <w:r>
        <w:tab/>
      </w:r>
      <w:r>
        <w:rPr>
          <w:bCs/>
        </w:rPr>
        <w:t>Предлагаемое решение</w:t>
      </w:r>
    </w:p>
    <w:p w14:paraId="15905C4D" w14:textId="77777777" w:rsidR="00580810" w:rsidRDefault="00580810" w:rsidP="00580810">
      <w:pPr>
        <w:pStyle w:val="SingleTxtG"/>
      </w:pPr>
      <w:r>
        <w:t>15.</w:t>
      </w:r>
      <w:r>
        <w:tab/>
        <w:t>Рабочей группе предлагается подтвердить вышеизложенную информацию.</w:t>
      </w:r>
    </w:p>
    <w:p w14:paraId="5E31B49C" w14:textId="77777777" w:rsidR="00580810" w:rsidRPr="00580810" w:rsidRDefault="00580810" w:rsidP="005808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0810" w:rsidRPr="00580810" w:rsidSect="0058081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9C93" w14:textId="77777777" w:rsidR="00A86174" w:rsidRPr="00A312BC" w:rsidRDefault="00A86174" w:rsidP="00A312BC"/>
  </w:endnote>
  <w:endnote w:type="continuationSeparator" w:id="0">
    <w:p w14:paraId="1DADAA43" w14:textId="77777777" w:rsidR="00A86174" w:rsidRPr="00A312BC" w:rsidRDefault="00A861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ADC7" w14:textId="77777777" w:rsidR="00580810" w:rsidRPr="00580810" w:rsidRDefault="00580810">
    <w:pPr>
      <w:pStyle w:val="Footer"/>
    </w:pPr>
    <w:r w:rsidRPr="00580810">
      <w:rPr>
        <w:b/>
        <w:sz w:val="18"/>
      </w:rPr>
      <w:fldChar w:fldCharType="begin"/>
    </w:r>
    <w:r w:rsidRPr="00580810">
      <w:rPr>
        <w:b/>
        <w:sz w:val="18"/>
      </w:rPr>
      <w:instrText xml:space="preserve"> PAGE  \* MERGEFORMAT </w:instrText>
    </w:r>
    <w:r w:rsidRPr="00580810">
      <w:rPr>
        <w:b/>
        <w:sz w:val="18"/>
      </w:rPr>
      <w:fldChar w:fldCharType="separate"/>
    </w:r>
    <w:r w:rsidRPr="00580810">
      <w:rPr>
        <w:b/>
        <w:noProof/>
        <w:sz w:val="18"/>
      </w:rPr>
      <w:t>2</w:t>
    </w:r>
    <w:r w:rsidRPr="00580810">
      <w:rPr>
        <w:b/>
        <w:sz w:val="18"/>
      </w:rPr>
      <w:fldChar w:fldCharType="end"/>
    </w:r>
    <w:r>
      <w:rPr>
        <w:b/>
        <w:sz w:val="18"/>
      </w:rPr>
      <w:tab/>
    </w:r>
    <w:r>
      <w:t>GE.21-02230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A3A3" w14:textId="77777777" w:rsidR="00580810" w:rsidRPr="00580810" w:rsidRDefault="00580810" w:rsidP="00580810">
    <w:pPr>
      <w:pStyle w:val="Footer"/>
      <w:tabs>
        <w:tab w:val="clear" w:pos="9639"/>
        <w:tab w:val="right" w:pos="9638"/>
      </w:tabs>
      <w:rPr>
        <w:b/>
        <w:sz w:val="18"/>
      </w:rPr>
    </w:pPr>
    <w:r>
      <w:t>GE.21-02230</w:t>
    </w:r>
    <w:r>
      <w:tab/>
    </w:r>
    <w:r w:rsidRPr="00580810">
      <w:rPr>
        <w:b/>
        <w:sz w:val="18"/>
      </w:rPr>
      <w:fldChar w:fldCharType="begin"/>
    </w:r>
    <w:r w:rsidRPr="00580810">
      <w:rPr>
        <w:b/>
        <w:sz w:val="18"/>
      </w:rPr>
      <w:instrText xml:space="preserve"> PAGE  \* MERGEFORMAT </w:instrText>
    </w:r>
    <w:r w:rsidRPr="00580810">
      <w:rPr>
        <w:b/>
        <w:sz w:val="18"/>
      </w:rPr>
      <w:fldChar w:fldCharType="separate"/>
    </w:r>
    <w:r w:rsidRPr="00580810">
      <w:rPr>
        <w:b/>
        <w:noProof/>
        <w:sz w:val="18"/>
      </w:rPr>
      <w:t>3</w:t>
    </w:r>
    <w:r w:rsidRPr="005808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0598" w14:textId="0C0560BC" w:rsidR="00042B72" w:rsidRPr="00580810" w:rsidRDefault="00580810" w:rsidP="0058081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89F9EA" wp14:editId="49456E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21-02230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75EC41" wp14:editId="28F54A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22A">
      <w:t xml:space="preserve">  220221  </w:t>
    </w:r>
    <w:r w:rsidR="009B263B">
      <w:rPr>
        <w:lang w:val="en-US"/>
      </w:rPr>
      <w:t>0103</w:t>
    </w:r>
    <w:r w:rsidR="00CB522A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A15C" w14:textId="77777777" w:rsidR="00A86174" w:rsidRPr="001075E9" w:rsidRDefault="00A861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F18B88" w14:textId="77777777" w:rsidR="00A86174" w:rsidRDefault="00A861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366A54" w14:textId="77777777" w:rsidR="00580810" w:rsidRDefault="00A525C8" w:rsidP="00A525C8">
      <w:pPr>
        <w:pStyle w:val="FootnoteText"/>
      </w:pPr>
      <w:r>
        <w:rPr>
          <w:sz w:val="20"/>
        </w:rPr>
        <w:tab/>
      </w:r>
      <w:r w:rsidR="00580810" w:rsidRPr="00A525C8">
        <w:rPr>
          <w:rStyle w:val="FootnoteReference"/>
          <w:sz w:val="20"/>
          <w:vertAlign w:val="baseline"/>
        </w:rPr>
        <w:sym w:font="Symbol" w:char="F02A"/>
      </w:r>
      <w:r w:rsidR="00580810"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30DF" w14:textId="6B1F86C1" w:rsidR="00580810" w:rsidRPr="00580810" w:rsidRDefault="0072304E">
    <w:pPr>
      <w:pStyle w:val="Header"/>
    </w:pPr>
    <w:fldSimple w:instr=" TITLE  \* MERGEFORMAT ">
      <w:r>
        <w:t>ECE/TRANS/WP.15/2021/6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A4BF" w14:textId="0A862FBB" w:rsidR="00580810" w:rsidRPr="00580810" w:rsidRDefault="0072304E" w:rsidP="00580810">
    <w:pPr>
      <w:pStyle w:val="Header"/>
      <w:jc w:val="right"/>
    </w:pPr>
    <w:fldSimple w:instr=" TITLE  \* MERGEFORMAT ">
      <w:r>
        <w:t>ECE/TRANS/WP.15/2021/6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7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62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081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63D"/>
    <w:rsid w:val="007021FF"/>
    <w:rsid w:val="00712895"/>
    <w:rsid w:val="0072304E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886"/>
    <w:rsid w:val="008F7609"/>
    <w:rsid w:val="00906890"/>
    <w:rsid w:val="00911BE4"/>
    <w:rsid w:val="00951972"/>
    <w:rsid w:val="009608F3"/>
    <w:rsid w:val="0098483D"/>
    <w:rsid w:val="009A24AC"/>
    <w:rsid w:val="009B263B"/>
    <w:rsid w:val="009C59D7"/>
    <w:rsid w:val="009C6FE6"/>
    <w:rsid w:val="009D7E7D"/>
    <w:rsid w:val="00A14DA8"/>
    <w:rsid w:val="00A312BC"/>
    <w:rsid w:val="00A525C8"/>
    <w:rsid w:val="00A84021"/>
    <w:rsid w:val="00A84D35"/>
    <w:rsid w:val="00A86174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D6D"/>
    <w:rsid w:val="00C106D6"/>
    <w:rsid w:val="00C119AE"/>
    <w:rsid w:val="00C60F0C"/>
    <w:rsid w:val="00C71E84"/>
    <w:rsid w:val="00C805C9"/>
    <w:rsid w:val="00C92939"/>
    <w:rsid w:val="00CA1679"/>
    <w:rsid w:val="00CB151C"/>
    <w:rsid w:val="00CB522A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085FA"/>
  <w15:docId w15:val="{527CA19A-FA9E-4E06-AF91-8F481662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58081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580810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rsid w:val="0058081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58081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6DB71-F37D-4F59-8710-B6BABC15E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A8C11-1033-4BAC-99DD-0A6FC1DBC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3F19F-2377-4C94-8370-FA00ECF53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ECE/TRANS/WP.15/2021/6</vt:lpstr>
      <vt:lpstr>A/</vt:lpstr>
      <vt:lpstr>A/</vt:lpstr>
    </vt:vector>
  </TitlesOfParts>
  <Company>DCM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ECE/TRANS/WP.15/2021/6</dc:title>
  <dc:subject/>
  <dc:creator>Marina KOROTKOVA</dc:creator>
  <cp:keywords/>
  <cp:lastModifiedBy>Christine Barrio-Champeau</cp:lastModifiedBy>
  <cp:revision>2</cp:revision>
  <cp:lastPrinted>2021-03-01T15:30:00Z</cp:lastPrinted>
  <dcterms:created xsi:type="dcterms:W3CDTF">2021-03-03T19:19:00Z</dcterms:created>
  <dcterms:modified xsi:type="dcterms:W3CDTF">2021-03-03T19:19:00Z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