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08AF2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7A7E13" w14:textId="77777777" w:rsidR="00F35BAF" w:rsidRPr="00DB58B5" w:rsidRDefault="00F35BAF" w:rsidP="006E34C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437D7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30FA8D" w14:textId="77777777" w:rsidR="00F35BAF" w:rsidRPr="00DB58B5" w:rsidRDefault="006E34C4" w:rsidP="006E34C4">
            <w:pPr>
              <w:jc w:val="right"/>
            </w:pPr>
            <w:r w:rsidRPr="006E34C4">
              <w:rPr>
                <w:sz w:val="40"/>
              </w:rPr>
              <w:t>ECE</w:t>
            </w:r>
            <w:r>
              <w:t>/TRANS/WP.15/2021/5</w:t>
            </w:r>
          </w:p>
        </w:tc>
      </w:tr>
      <w:tr w:rsidR="00F35BAF" w:rsidRPr="00DB58B5" w14:paraId="692F183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34C41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1DEA2C" wp14:editId="66AD557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53542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CF9BE0" w14:textId="77777777" w:rsidR="00F35BAF" w:rsidRDefault="006E34C4" w:rsidP="00C97039">
            <w:pPr>
              <w:spacing w:before="240"/>
            </w:pPr>
            <w:r>
              <w:t>Distr. générale</w:t>
            </w:r>
          </w:p>
          <w:p w14:paraId="439BE66C" w14:textId="77777777" w:rsidR="006E34C4" w:rsidRDefault="006E34C4" w:rsidP="006E34C4">
            <w:pPr>
              <w:spacing w:line="240" w:lineRule="exact"/>
            </w:pPr>
            <w:r>
              <w:t>18 février 2021</w:t>
            </w:r>
          </w:p>
          <w:p w14:paraId="4EE3956D" w14:textId="77777777" w:rsidR="006E34C4" w:rsidRDefault="006E34C4" w:rsidP="006E34C4">
            <w:pPr>
              <w:spacing w:line="240" w:lineRule="exact"/>
            </w:pPr>
            <w:r>
              <w:t>Français</w:t>
            </w:r>
          </w:p>
          <w:p w14:paraId="0BE8486C" w14:textId="77777777" w:rsidR="006E34C4" w:rsidRPr="00DB58B5" w:rsidRDefault="006E34C4" w:rsidP="006E34C4">
            <w:pPr>
              <w:spacing w:line="240" w:lineRule="exact"/>
            </w:pPr>
            <w:r>
              <w:t>Original : anglais</w:t>
            </w:r>
          </w:p>
        </w:tc>
      </w:tr>
    </w:tbl>
    <w:p w14:paraId="4EC0228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41C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BF8C81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22105A7" w14:textId="77777777" w:rsidR="006E34C4" w:rsidRPr="009E01B8" w:rsidRDefault="006E34C4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7E2B5B4" w14:textId="77777777" w:rsidR="006E34C4" w:rsidRPr="00736CB1" w:rsidRDefault="006E34C4" w:rsidP="006E34C4">
      <w:pPr>
        <w:spacing w:before="120"/>
        <w:rPr>
          <w:rFonts w:eastAsia="SimSun"/>
          <w:b/>
        </w:rPr>
      </w:pPr>
      <w:r w:rsidRPr="00736CB1">
        <w:rPr>
          <w:rFonts w:eastAsia="SimSun"/>
          <w:b/>
        </w:rPr>
        <w:t>109</w:t>
      </w:r>
      <w:r w:rsidRPr="00736CB1">
        <w:rPr>
          <w:rFonts w:eastAsia="SimSun"/>
          <w:b/>
          <w:vertAlign w:val="superscript"/>
        </w:rPr>
        <w:t>e</w:t>
      </w:r>
      <w:r w:rsidRPr="00736CB1">
        <w:rPr>
          <w:rFonts w:eastAsia="SimSun"/>
          <w:b/>
        </w:rPr>
        <w:t xml:space="preserve"> session </w:t>
      </w:r>
    </w:p>
    <w:p w14:paraId="2F6192A8" w14:textId="77777777" w:rsidR="006E34C4" w:rsidRPr="006D09CC" w:rsidRDefault="006E34C4" w:rsidP="006E34C4">
      <w:pPr>
        <w:rPr>
          <w:rFonts w:eastAsia="SimSun"/>
        </w:rPr>
      </w:pPr>
      <w:r w:rsidRPr="006D09CC">
        <w:rPr>
          <w:rFonts w:eastAsia="SimSun"/>
        </w:rPr>
        <w:t>Genève, 3</w:t>
      </w:r>
      <w:r w:rsidR="00AC0298">
        <w:rPr>
          <w:rFonts w:eastAsia="SimSun"/>
        </w:rPr>
        <w:t>-</w:t>
      </w:r>
      <w:r w:rsidRPr="006D09CC">
        <w:rPr>
          <w:rFonts w:eastAsia="SimSun"/>
        </w:rPr>
        <w:t>7 mai 2021</w:t>
      </w:r>
    </w:p>
    <w:p w14:paraId="4D440FD2" w14:textId="77777777" w:rsidR="006E34C4" w:rsidRPr="006D09CC" w:rsidRDefault="006E34C4" w:rsidP="006E34C4">
      <w:r w:rsidRPr="006D09CC">
        <w:rPr>
          <w:rFonts w:eastAsia="SimSun"/>
        </w:rPr>
        <w:t xml:space="preserve">Point </w:t>
      </w:r>
      <w:r w:rsidRPr="006D09CC">
        <w:t>5 b) de l</w:t>
      </w:r>
      <w:r w:rsidR="00441C01">
        <w:t>’</w:t>
      </w:r>
      <w:r w:rsidRPr="006D09CC">
        <w:t>ordre du jour provisoire</w:t>
      </w:r>
    </w:p>
    <w:p w14:paraId="471FCE7E" w14:textId="77777777" w:rsidR="006E34C4" w:rsidRPr="006D09CC" w:rsidRDefault="006E34C4" w:rsidP="006E34C4">
      <w:pPr>
        <w:rPr>
          <w:b/>
          <w:bCs/>
        </w:rPr>
      </w:pPr>
      <w:r w:rsidRPr="006D09CC">
        <w:rPr>
          <w:b/>
          <w:bCs/>
        </w:rPr>
        <w:t>Propositions d</w:t>
      </w:r>
      <w:r w:rsidR="00441C01">
        <w:rPr>
          <w:b/>
          <w:bCs/>
        </w:rPr>
        <w:t>’</w:t>
      </w:r>
      <w:r w:rsidRPr="006D09CC">
        <w:rPr>
          <w:b/>
          <w:bCs/>
        </w:rPr>
        <w:t>amendements aux annexes A et B de l</w:t>
      </w:r>
      <w:r w:rsidR="00441C01">
        <w:rPr>
          <w:b/>
          <w:bCs/>
        </w:rPr>
        <w:t>’</w:t>
      </w:r>
      <w:r w:rsidRPr="006D09CC">
        <w:rPr>
          <w:b/>
          <w:bCs/>
        </w:rPr>
        <w:t>ADR</w:t>
      </w:r>
      <w:r w:rsidR="00AC0298">
        <w:rPr>
          <w:b/>
          <w:bCs/>
        </w:rPr>
        <w:t> </w:t>
      </w:r>
      <w:r w:rsidRPr="006D09CC">
        <w:rPr>
          <w:b/>
          <w:bCs/>
        </w:rPr>
        <w:t>:</w:t>
      </w:r>
      <w:r w:rsidR="00AC0298">
        <w:rPr>
          <w:b/>
          <w:bCs/>
        </w:rPr>
        <w:br/>
      </w:r>
      <w:r w:rsidRPr="006D09CC">
        <w:rPr>
          <w:b/>
          <w:bCs/>
          <w:szCs w:val="24"/>
        </w:rPr>
        <w:t xml:space="preserve">Propositions diverses </w:t>
      </w:r>
    </w:p>
    <w:p w14:paraId="2A41A47F" w14:textId="77777777" w:rsidR="006E34C4" w:rsidRPr="0008639A" w:rsidRDefault="006E34C4" w:rsidP="00AC0298">
      <w:pPr>
        <w:pStyle w:val="HChG"/>
      </w:pPr>
      <w:r w:rsidRPr="00A87535">
        <w:tab/>
      </w:r>
      <w:r w:rsidRPr="00A87535">
        <w:tab/>
      </w:r>
      <w:r w:rsidRPr="0008639A">
        <w:t>Références aux autorités compétentes dans les parties 8 et 9</w:t>
      </w:r>
    </w:p>
    <w:p w14:paraId="3350651E" w14:textId="77777777" w:rsidR="006E34C4" w:rsidRPr="00C22823" w:rsidRDefault="006E34C4" w:rsidP="00AC0298">
      <w:pPr>
        <w:pStyle w:val="H1G"/>
      </w:pPr>
      <w:r w:rsidRPr="0008639A">
        <w:tab/>
      </w:r>
      <w:r w:rsidRPr="0008639A">
        <w:tab/>
      </w:r>
      <w:r w:rsidRPr="00C22823">
        <w:t xml:space="preserve">Note </w:t>
      </w:r>
      <w:r>
        <w:t xml:space="preserve">du </w:t>
      </w:r>
      <w:r w:rsidRPr="00C22823">
        <w:t>secr</w:t>
      </w:r>
      <w:r>
        <w:t>é</w:t>
      </w:r>
      <w:r w:rsidRPr="00C22823">
        <w:t>tariat</w:t>
      </w:r>
      <w:r w:rsidRPr="00AC0298">
        <w:rPr>
          <w:b w:val="0"/>
          <w:bCs/>
          <w:sz w:val="20"/>
        </w:rPr>
        <w:footnoteReference w:customMarkFollows="1" w:id="2"/>
        <w:sym w:font="Symbol" w:char="F02A"/>
      </w:r>
    </w:p>
    <w:p w14:paraId="2E440698" w14:textId="77777777" w:rsidR="006E34C4" w:rsidRDefault="006E34C4" w:rsidP="00AC0298">
      <w:pPr>
        <w:pStyle w:val="HChG"/>
      </w:pPr>
      <w:r>
        <w:tab/>
      </w:r>
      <w:r>
        <w:tab/>
        <w:t>Introduction</w:t>
      </w:r>
    </w:p>
    <w:p w14:paraId="02BDAEC5" w14:textId="77777777" w:rsidR="006E34C4" w:rsidRPr="0008639A" w:rsidRDefault="006E34C4" w:rsidP="006E34C4">
      <w:pPr>
        <w:pStyle w:val="SingleTxtG"/>
        <w:rPr>
          <w:rFonts w:eastAsia="SimSun"/>
          <w:lang w:eastAsia="zh-CN"/>
        </w:rPr>
      </w:pPr>
      <w:r w:rsidRPr="00B0251D">
        <w:rPr>
          <w:rFonts w:eastAsia="SimSun"/>
          <w:lang w:eastAsia="zh-CN"/>
        </w:rPr>
        <w:t>1.</w:t>
      </w:r>
      <w:r w:rsidRPr="00B0251D">
        <w:rPr>
          <w:rFonts w:eastAsia="SimSun"/>
          <w:lang w:eastAsia="zh-CN"/>
        </w:rPr>
        <w:tab/>
        <w:t>Lors de sa 107</w:t>
      </w:r>
      <w:r w:rsidRPr="0008639A">
        <w:rPr>
          <w:rFonts w:eastAsia="SimSun"/>
          <w:vertAlign w:val="superscript"/>
          <w:lang w:eastAsia="zh-CN"/>
        </w:rPr>
        <w:t>e</w:t>
      </w:r>
      <w:r>
        <w:rPr>
          <w:rFonts w:eastAsia="SimSun"/>
          <w:lang w:eastAsia="zh-CN"/>
        </w:rPr>
        <w:t xml:space="preserve"> </w:t>
      </w:r>
      <w:r w:rsidRPr="00B0251D">
        <w:rPr>
          <w:rFonts w:eastAsia="SimSun"/>
          <w:lang w:eastAsia="zh-CN"/>
        </w:rPr>
        <w:t xml:space="preserve">session, </w:t>
      </w:r>
      <w:bookmarkStart w:id="0" w:name="_Hlk65744872"/>
      <w:r w:rsidRPr="00B0251D">
        <w:rPr>
          <w:rFonts w:eastAsia="SimSun"/>
          <w:lang w:eastAsia="zh-CN"/>
        </w:rPr>
        <w:t xml:space="preserve">le Groupe de travail </w:t>
      </w:r>
      <w:bookmarkEnd w:id="0"/>
      <w:r w:rsidRPr="00B0251D">
        <w:rPr>
          <w:rFonts w:eastAsia="SimSun"/>
          <w:lang w:eastAsia="zh-CN"/>
        </w:rPr>
        <w:t>a examiné l</w:t>
      </w:r>
      <w:r>
        <w:rPr>
          <w:rFonts w:eastAsia="SimSun"/>
          <w:lang w:eastAsia="zh-CN"/>
        </w:rPr>
        <w:t>es références aux autorités compétentes dans les parties 8 et 9 de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ADR sur la base du </w:t>
      </w:r>
      <w:r w:rsidRPr="005B32F0">
        <w:rPr>
          <w:rFonts w:eastAsia="SimSun"/>
          <w:lang w:eastAsia="zh-CN"/>
        </w:rPr>
        <w:t>document ECE/TRANS/WP.15/</w:t>
      </w:r>
      <w:r w:rsidR="00AC0298">
        <w:rPr>
          <w:rFonts w:eastAsia="SimSun"/>
          <w:lang w:eastAsia="zh-CN"/>
        </w:rPr>
        <w:br/>
      </w:r>
      <w:r w:rsidRPr="005B32F0">
        <w:rPr>
          <w:rFonts w:eastAsia="SimSun"/>
          <w:lang w:eastAsia="zh-CN"/>
        </w:rPr>
        <w:t>2019/23 é</w:t>
      </w:r>
      <w:r>
        <w:rPr>
          <w:rFonts w:eastAsia="SimSun"/>
          <w:lang w:eastAsia="zh-CN"/>
        </w:rPr>
        <w:t>tabli par le secrétariat et a prié le secrétariat de soumettre un nouveau document tenant compte des observations formulées.</w:t>
      </w:r>
    </w:p>
    <w:p w14:paraId="41E65BDC" w14:textId="77777777" w:rsidR="006E34C4" w:rsidRPr="0008639A" w:rsidRDefault="006E34C4" w:rsidP="006E34C4">
      <w:pPr>
        <w:pStyle w:val="SingleTxtG"/>
        <w:rPr>
          <w:rFonts w:eastAsia="SimSun"/>
          <w:lang w:eastAsia="zh-CN"/>
        </w:rPr>
      </w:pPr>
      <w:r w:rsidRPr="0008639A">
        <w:rPr>
          <w:rFonts w:eastAsia="SimSun"/>
          <w:lang w:eastAsia="zh-CN"/>
        </w:rPr>
        <w:t>2.</w:t>
      </w:r>
      <w:r w:rsidRPr="0008639A">
        <w:rPr>
          <w:rFonts w:eastAsia="SimSun"/>
          <w:lang w:eastAsia="zh-CN"/>
        </w:rPr>
        <w:tab/>
        <w:t>Des tableaux mis à jour sont présentés en annexe du</w:t>
      </w:r>
      <w:r>
        <w:rPr>
          <w:rFonts w:eastAsia="SimSun"/>
          <w:lang w:eastAsia="zh-CN"/>
        </w:rPr>
        <w:t xml:space="preserve"> présent document et des informations supplémentaires détaillées sont communiquées ci-après</w:t>
      </w:r>
      <w:r w:rsidRPr="0008639A">
        <w:rPr>
          <w:rFonts w:eastAsia="SimSun"/>
          <w:lang w:eastAsia="zh-CN"/>
        </w:rPr>
        <w:t>.</w:t>
      </w:r>
    </w:p>
    <w:p w14:paraId="3D5EEBC7" w14:textId="77777777" w:rsidR="006E34C4" w:rsidRPr="0008639A" w:rsidRDefault="006E34C4" w:rsidP="00AC0298">
      <w:pPr>
        <w:pStyle w:val="HChG"/>
      </w:pPr>
      <w:r w:rsidRPr="0008639A">
        <w:tab/>
      </w:r>
      <w:r w:rsidRPr="0008639A">
        <w:tab/>
        <w:t xml:space="preserve">Paragraphes dans lesquels </w:t>
      </w:r>
      <w:r w:rsidR="00AC0298">
        <w:rPr>
          <w:lang w:eastAsia="zh-CN"/>
        </w:rPr>
        <w:t>« </w:t>
      </w:r>
      <w:r w:rsidRPr="0008639A">
        <w:rPr>
          <w:lang w:eastAsia="zh-CN"/>
        </w:rPr>
        <w:t>autorité compé</w:t>
      </w:r>
      <w:r>
        <w:rPr>
          <w:lang w:eastAsia="zh-CN"/>
        </w:rPr>
        <w:t>tente</w:t>
      </w:r>
      <w:r w:rsidR="00AC0298">
        <w:rPr>
          <w:lang w:eastAsia="zh-CN"/>
        </w:rPr>
        <w:t> »</w:t>
      </w:r>
      <w:r w:rsidRPr="0008639A">
        <w:rPr>
          <w:lang w:eastAsia="zh-CN"/>
        </w:rPr>
        <w:t xml:space="preserve"> </w:t>
      </w:r>
      <w:r>
        <w:rPr>
          <w:lang w:eastAsia="zh-CN"/>
        </w:rPr>
        <w:t>est défini de manière explicite</w:t>
      </w:r>
    </w:p>
    <w:p w14:paraId="7D880E80" w14:textId="77777777" w:rsidR="006E34C4" w:rsidRPr="003C546E" w:rsidRDefault="006E34C4" w:rsidP="006E34C4">
      <w:pPr>
        <w:pStyle w:val="SingleTxtG"/>
        <w:rPr>
          <w:rFonts w:eastAsia="SimSun"/>
          <w:lang w:eastAsia="zh-CN"/>
        </w:rPr>
      </w:pPr>
      <w:r w:rsidRPr="0008639A">
        <w:rPr>
          <w:rFonts w:eastAsia="SimSun"/>
          <w:lang w:eastAsia="zh-CN"/>
        </w:rPr>
        <w:t>3.</w:t>
      </w:r>
      <w:r w:rsidRPr="0008639A">
        <w:rPr>
          <w:rFonts w:eastAsia="SimSun"/>
          <w:lang w:eastAsia="zh-CN"/>
        </w:rPr>
        <w:tab/>
        <w:t>Après discussion, les délégations q</w:t>
      </w:r>
      <w:r>
        <w:rPr>
          <w:rFonts w:eastAsia="SimSun"/>
          <w:lang w:eastAsia="zh-CN"/>
        </w:rPr>
        <w:t xml:space="preserve">ui ont pris la parole ont confirmé que les références à </w:t>
      </w:r>
      <w:bookmarkStart w:id="1" w:name="_Hlk65744947"/>
      <w:r w:rsidR="00AC0298">
        <w:rPr>
          <w:rFonts w:eastAsia="SimSun"/>
          <w:lang w:eastAsia="zh-CN"/>
        </w:rPr>
        <w:t>« </w:t>
      </w:r>
      <w:r w:rsidRPr="0008639A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08639A">
        <w:rPr>
          <w:rFonts w:eastAsia="SimSun"/>
          <w:lang w:eastAsia="zh-CN"/>
        </w:rPr>
        <w:t>autorité compétente</w:t>
      </w:r>
      <w:bookmarkEnd w:id="1"/>
      <w:r w:rsidR="00AC0298">
        <w:rPr>
          <w:rFonts w:eastAsia="SimSun"/>
          <w:lang w:eastAsia="zh-CN"/>
        </w:rPr>
        <w:t> »</w:t>
      </w:r>
      <w:r w:rsidRPr="0008639A">
        <w:rPr>
          <w:rFonts w:eastAsia="SimSun"/>
          <w:lang w:eastAsia="zh-CN"/>
        </w:rPr>
        <w:t xml:space="preserve"> a</w:t>
      </w:r>
      <w:r>
        <w:rPr>
          <w:rFonts w:eastAsia="SimSun"/>
          <w:lang w:eastAsia="zh-CN"/>
        </w:rPr>
        <w:t xml:space="preserve">ux paragraphes </w:t>
      </w:r>
      <w:r w:rsidRPr="0008639A">
        <w:rPr>
          <w:rFonts w:eastAsia="SimSun"/>
          <w:lang w:eastAsia="zh-CN"/>
        </w:rPr>
        <w:t xml:space="preserve">8.1.2.2 c), 8.6.2, 8.6.3.1, 9.1.2.2, 9.1.3.1 </w:t>
      </w:r>
      <w:r>
        <w:rPr>
          <w:rFonts w:eastAsia="SimSun"/>
          <w:lang w:eastAsia="zh-CN"/>
        </w:rPr>
        <w:t xml:space="preserve">et </w:t>
      </w:r>
      <w:r w:rsidRPr="0008639A">
        <w:rPr>
          <w:rFonts w:eastAsia="SimSun"/>
          <w:lang w:eastAsia="zh-CN"/>
        </w:rPr>
        <w:t>9.1.3.2 étaient suffisamment claires e</w:t>
      </w:r>
      <w:r>
        <w:rPr>
          <w:rFonts w:eastAsia="SimSun"/>
          <w:lang w:eastAsia="zh-CN"/>
        </w:rPr>
        <w:t>t compréhensibles et ne posaient donc pas de problème d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in</w:t>
      </w:r>
      <w:r w:rsidRPr="003C546E">
        <w:rPr>
          <w:rFonts w:eastAsia="SimSun"/>
          <w:lang w:eastAsia="zh-CN"/>
        </w:rPr>
        <w:t xml:space="preserve">terprétation. Dans ces paragraphes, </w:t>
      </w:r>
      <w:r w:rsidR="00AC0298">
        <w:rPr>
          <w:rFonts w:eastAsia="SimSun"/>
          <w:lang w:eastAsia="zh-CN"/>
        </w:rPr>
        <w:t>« </w:t>
      </w:r>
      <w:r w:rsidRPr="003C546E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3C546E">
        <w:rPr>
          <w:rFonts w:eastAsia="SimSun"/>
          <w:lang w:eastAsia="zh-CN"/>
        </w:rPr>
        <w:t>autorité compétente</w:t>
      </w:r>
      <w:r w:rsidR="00AC0298">
        <w:rPr>
          <w:rFonts w:eastAsia="SimSun"/>
          <w:lang w:eastAsia="zh-CN"/>
        </w:rPr>
        <w:t> »</w:t>
      </w:r>
      <w:r w:rsidRPr="003C546E">
        <w:rPr>
          <w:rFonts w:eastAsia="SimSun"/>
          <w:lang w:eastAsia="zh-CN"/>
        </w:rPr>
        <w:t xml:space="preserve"> est définie de</w:t>
      </w:r>
      <w:r>
        <w:rPr>
          <w:rFonts w:eastAsia="SimSun"/>
          <w:lang w:eastAsia="zh-CN"/>
        </w:rPr>
        <w:t xml:space="preserve"> manière explicite soit dans les </w:t>
      </w:r>
      <w:r w:rsidRPr="003C546E">
        <w:rPr>
          <w:rFonts w:eastAsia="SimSun"/>
          <w:lang w:eastAsia="zh-CN"/>
        </w:rPr>
        <w:t>paragraph</w:t>
      </w:r>
      <w:r>
        <w:rPr>
          <w:rFonts w:eastAsia="SimSun"/>
          <w:lang w:eastAsia="zh-CN"/>
        </w:rPr>
        <w:t>e</w:t>
      </w:r>
      <w:r w:rsidRPr="003C546E">
        <w:rPr>
          <w:rFonts w:eastAsia="SimSun"/>
          <w:lang w:eastAsia="zh-CN"/>
        </w:rPr>
        <w:t xml:space="preserve">s </w:t>
      </w:r>
      <w:r>
        <w:rPr>
          <w:rFonts w:eastAsia="SimSun"/>
          <w:lang w:eastAsia="zh-CN"/>
        </w:rPr>
        <w:t>eux-mêmes soit dans des références croisées.</w:t>
      </w:r>
    </w:p>
    <w:p w14:paraId="67A14334" w14:textId="77777777" w:rsidR="006E34C4" w:rsidRPr="003C546E" w:rsidRDefault="006E34C4" w:rsidP="006E34C4">
      <w:pPr>
        <w:pStyle w:val="SingleTxtG"/>
        <w:rPr>
          <w:rFonts w:eastAsia="SimSun"/>
          <w:lang w:eastAsia="zh-CN"/>
        </w:rPr>
      </w:pPr>
      <w:r w:rsidRPr="003C546E">
        <w:rPr>
          <w:rFonts w:eastAsia="SimSun"/>
          <w:lang w:eastAsia="zh-CN"/>
        </w:rPr>
        <w:t>4.</w:t>
      </w:r>
      <w:r w:rsidRPr="003C546E">
        <w:rPr>
          <w:rFonts w:eastAsia="SimSun"/>
          <w:lang w:eastAsia="zh-CN"/>
        </w:rPr>
        <w:tab/>
        <w:t>Le Groupe de travail s</w:t>
      </w:r>
      <w:r>
        <w:rPr>
          <w:rFonts w:eastAsia="SimSun"/>
          <w:lang w:eastAsia="zh-CN"/>
        </w:rPr>
        <w:t>ouhaitera peut-être confirmer qu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aucune modification visant à clarifier le sens de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expression </w:t>
      </w:r>
      <w:r w:rsidR="00AC0298">
        <w:rPr>
          <w:rFonts w:eastAsia="SimSun"/>
          <w:lang w:eastAsia="zh-CN"/>
        </w:rPr>
        <w:t>« </w:t>
      </w:r>
      <w:r w:rsidRPr="00192EF9">
        <w:rPr>
          <w:rFonts w:eastAsia="SimSun"/>
          <w:lang w:eastAsia="zh-CN"/>
        </w:rPr>
        <w:t>autorité compétente</w:t>
      </w:r>
      <w:r w:rsidR="00AC0298">
        <w:rPr>
          <w:rFonts w:eastAsia="SimSun"/>
          <w:lang w:eastAsia="zh-CN"/>
        </w:rPr>
        <w:t> »</w:t>
      </w:r>
      <w:r w:rsidRPr="00192E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est nécessaire dans ces paragraphes.</w:t>
      </w:r>
    </w:p>
    <w:p w14:paraId="309C01BA" w14:textId="77777777" w:rsidR="006E34C4" w:rsidRPr="00192EF9" w:rsidRDefault="006E34C4" w:rsidP="006E34C4">
      <w:pPr>
        <w:pStyle w:val="SingleTxtG"/>
        <w:rPr>
          <w:rFonts w:eastAsia="SimSun"/>
          <w:lang w:eastAsia="zh-CN"/>
        </w:rPr>
      </w:pPr>
      <w:r w:rsidRPr="00192EF9">
        <w:rPr>
          <w:rFonts w:eastAsia="SimSun"/>
          <w:lang w:eastAsia="zh-CN"/>
        </w:rPr>
        <w:t>5.</w:t>
      </w:r>
      <w:r w:rsidRPr="00192EF9">
        <w:rPr>
          <w:rFonts w:eastAsia="SimSun"/>
          <w:lang w:eastAsia="zh-CN"/>
        </w:rPr>
        <w:tab/>
        <w:t xml:space="preserve">Le paragraphe 8.6.3.1 renvoie au paragraphe 1.7.4.2 qui définit clairement </w:t>
      </w:r>
      <w:r>
        <w:rPr>
          <w:rFonts w:eastAsia="SimSun"/>
          <w:lang w:eastAsia="zh-CN"/>
        </w:rPr>
        <w:t>comment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arrangement spécial est approuvé. Certaines délégations ont estimé que la référence à </w:t>
      </w:r>
      <w:r w:rsidR="00AC0298">
        <w:rPr>
          <w:rFonts w:eastAsia="SimSun"/>
          <w:lang w:eastAsia="zh-CN"/>
        </w:rPr>
        <w:t>« </w:t>
      </w:r>
      <w:r w:rsidRPr="00192EF9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192EF9">
        <w:rPr>
          <w:rFonts w:eastAsia="SimSun"/>
          <w:lang w:eastAsia="zh-CN"/>
        </w:rPr>
        <w:t>autorité compétente</w:t>
      </w:r>
      <w:r w:rsidR="00AC0298">
        <w:rPr>
          <w:rFonts w:eastAsia="SimSun"/>
          <w:lang w:eastAsia="zh-CN"/>
        </w:rPr>
        <w:t> »</w:t>
      </w:r>
      <w:r>
        <w:rPr>
          <w:rFonts w:eastAsia="SimSun"/>
          <w:lang w:eastAsia="zh-CN"/>
        </w:rPr>
        <w:t xml:space="preserve"> était superflue au paragraphe </w:t>
      </w:r>
      <w:r w:rsidRPr="00192EF9">
        <w:rPr>
          <w:rFonts w:eastAsia="SimSun"/>
          <w:lang w:eastAsia="zh-CN"/>
        </w:rPr>
        <w:t>8.6.3.1 e</w:t>
      </w:r>
      <w:r>
        <w:rPr>
          <w:rFonts w:eastAsia="SimSun"/>
          <w:lang w:eastAsia="zh-CN"/>
        </w:rPr>
        <w:t>t pouvait donc être supprimée</w:t>
      </w:r>
      <w:r w:rsidRPr="00192EF9">
        <w:rPr>
          <w:rFonts w:eastAsia="SimSun"/>
          <w:lang w:eastAsia="zh-CN"/>
        </w:rPr>
        <w:t>.</w:t>
      </w:r>
    </w:p>
    <w:p w14:paraId="6BFAFC42" w14:textId="77777777" w:rsidR="006E34C4" w:rsidRDefault="006E34C4" w:rsidP="00AC0298">
      <w:pPr>
        <w:pStyle w:val="HChG"/>
      </w:pPr>
      <w:r w:rsidRPr="00192EF9">
        <w:lastRenderedPageBreak/>
        <w:tab/>
      </w:r>
      <w:r w:rsidRPr="00192EF9">
        <w:tab/>
      </w:r>
      <w:r>
        <w:t>Proposition 1</w:t>
      </w:r>
    </w:p>
    <w:p w14:paraId="16AC58F4" w14:textId="77777777" w:rsidR="006E34C4" w:rsidRPr="007152EB" w:rsidRDefault="006E34C4" w:rsidP="006E34C4">
      <w:pPr>
        <w:pStyle w:val="SingleTxtG"/>
      </w:pPr>
      <w:r w:rsidRPr="007152EB">
        <w:t>6.</w:t>
      </w:r>
      <w:r w:rsidRPr="007152EB">
        <w:tab/>
        <w:t xml:space="preserve">Au paragraphe 8.6.3.1, remplacer </w:t>
      </w:r>
      <w:r w:rsidR="00AC0298">
        <w:t>« </w:t>
      </w:r>
      <w:r w:rsidRPr="007152EB">
        <w:t xml:space="preserve">approuvé par la ou les autorité(s) compétente(s) sur la </w:t>
      </w:r>
      <w:r>
        <w:t xml:space="preserve">base du paragraphe </w:t>
      </w:r>
      <w:r w:rsidRPr="007152EB">
        <w:t>1.7.4.2</w:t>
      </w:r>
      <w:r w:rsidR="00AC0298">
        <w:t> »</w:t>
      </w:r>
      <w:r w:rsidRPr="007152EB">
        <w:t xml:space="preserve"> </w:t>
      </w:r>
      <w:r>
        <w:t xml:space="preserve">par </w:t>
      </w:r>
      <w:r w:rsidR="00AC0298">
        <w:t>« </w:t>
      </w:r>
      <w:r w:rsidRPr="008228F5">
        <w:t>conformément</w:t>
      </w:r>
      <w:r>
        <w:t xml:space="preserve"> au</w:t>
      </w:r>
      <w:r w:rsidRPr="008228F5">
        <w:t xml:space="preserve"> </w:t>
      </w:r>
      <w:r>
        <w:t xml:space="preserve">paragraphe </w:t>
      </w:r>
      <w:r w:rsidRPr="007152EB">
        <w:t>1.7.4.2</w:t>
      </w:r>
      <w:r w:rsidR="00AC0298">
        <w:t> »</w:t>
      </w:r>
      <w:r w:rsidRPr="007152EB">
        <w:t>.</w:t>
      </w:r>
    </w:p>
    <w:p w14:paraId="6CDD4E8C" w14:textId="77777777" w:rsidR="006E34C4" w:rsidRPr="008228F5" w:rsidRDefault="006E34C4" w:rsidP="00AC0298">
      <w:pPr>
        <w:pStyle w:val="HChG"/>
        <w:rPr>
          <w:lang w:eastAsia="zh-CN"/>
        </w:rPr>
      </w:pPr>
      <w:r w:rsidRPr="007152EB">
        <w:rPr>
          <w:lang w:eastAsia="zh-CN"/>
        </w:rPr>
        <w:tab/>
      </w:r>
      <w:r w:rsidRPr="007152EB">
        <w:rPr>
          <w:lang w:eastAsia="zh-CN"/>
        </w:rPr>
        <w:tab/>
      </w:r>
      <w:bookmarkStart w:id="2" w:name="_Hlk65747586"/>
      <w:r>
        <w:rPr>
          <w:lang w:eastAsia="zh-CN"/>
        </w:rPr>
        <w:t>M</w:t>
      </w:r>
      <w:r w:rsidRPr="008228F5">
        <w:rPr>
          <w:lang w:eastAsia="zh-CN"/>
        </w:rPr>
        <w:t xml:space="preserve">arque de conformité à une norme reconnue par une autorité compétente </w:t>
      </w:r>
      <w:r>
        <w:rPr>
          <w:lang w:eastAsia="zh-CN"/>
        </w:rPr>
        <w:t xml:space="preserve">exigée au paragraphe </w:t>
      </w:r>
      <w:r w:rsidRPr="008228F5">
        <w:t>8.1.4.4</w:t>
      </w:r>
    </w:p>
    <w:bookmarkEnd w:id="2"/>
    <w:p w14:paraId="011B3CC3" w14:textId="77777777" w:rsidR="006E34C4" w:rsidRPr="00B039A6" w:rsidRDefault="006E34C4" w:rsidP="006E34C4">
      <w:pPr>
        <w:pStyle w:val="SingleTxtG"/>
      </w:pPr>
      <w:r w:rsidRPr="00B039A6">
        <w:rPr>
          <w:rFonts w:eastAsia="SimSun"/>
          <w:lang w:eastAsia="zh-CN"/>
        </w:rPr>
        <w:t>7.</w:t>
      </w:r>
      <w:r w:rsidRPr="00B039A6">
        <w:rPr>
          <w:rFonts w:eastAsia="SimSun"/>
          <w:lang w:eastAsia="zh-CN"/>
        </w:rPr>
        <w:tab/>
        <w:t>Différent</w:t>
      </w:r>
      <w:r>
        <w:rPr>
          <w:rFonts w:eastAsia="SimSun"/>
          <w:lang w:eastAsia="zh-CN"/>
        </w:rPr>
        <w:t>s</w:t>
      </w:r>
      <w:r w:rsidRPr="00B039A6">
        <w:rPr>
          <w:rFonts w:eastAsia="SimSun"/>
          <w:lang w:eastAsia="zh-CN"/>
        </w:rPr>
        <w:t xml:space="preserve"> points de vue ont été exprimés </w:t>
      </w:r>
      <w:r>
        <w:rPr>
          <w:rFonts w:eastAsia="SimSun"/>
          <w:lang w:eastAsia="zh-CN"/>
        </w:rPr>
        <w:t>concernant la m</w:t>
      </w:r>
      <w:r w:rsidRPr="00B039A6">
        <w:rPr>
          <w:rFonts w:eastAsia="SimSun"/>
          <w:lang w:eastAsia="zh-CN"/>
        </w:rPr>
        <w:t xml:space="preserve">arque de conformité à une norme reconnue par une autorité compétente </w:t>
      </w:r>
      <w:r>
        <w:rPr>
          <w:rFonts w:eastAsia="SimSun"/>
          <w:lang w:eastAsia="zh-CN"/>
        </w:rPr>
        <w:t xml:space="preserve">qui est </w:t>
      </w:r>
      <w:r w:rsidRPr="00B039A6">
        <w:rPr>
          <w:rFonts w:eastAsia="SimSun"/>
          <w:lang w:eastAsia="zh-CN"/>
        </w:rPr>
        <w:t>exigée au paragraphe 8.1.4.4</w:t>
      </w:r>
      <w:r>
        <w:rPr>
          <w:rFonts w:eastAsia="SimSun"/>
          <w:lang w:eastAsia="zh-CN"/>
        </w:rPr>
        <w:t>. Il est apparu que des règles différentes étaient appliquées d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un pays à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autre en ce qui concerne la taille et la nature de cette marque. Les Parties contractantes sont invitées à faire des observations et à donner des exemples de la manière dont les </w:t>
      </w:r>
      <w:r w:rsidRPr="00B039A6">
        <w:rPr>
          <w:rFonts w:eastAsia="SimSun"/>
          <w:lang w:eastAsia="zh-CN"/>
        </w:rPr>
        <w:t>prescriptions de marquage d</w:t>
      </w:r>
      <w:r>
        <w:rPr>
          <w:rFonts w:eastAsia="SimSun"/>
          <w:lang w:eastAsia="zh-CN"/>
        </w:rPr>
        <w:t>u paragraphe</w:t>
      </w:r>
      <w:r w:rsidR="00AC0298">
        <w:rPr>
          <w:rFonts w:eastAsia="SimSun"/>
          <w:lang w:eastAsia="zh-CN"/>
        </w:rPr>
        <w:t> </w:t>
      </w:r>
      <w:r w:rsidRPr="00B039A6">
        <w:t>8.1.4.4 s</w:t>
      </w:r>
      <w:r>
        <w:t>ont appliquées en pratique dans leurs pays.</w:t>
      </w:r>
    </w:p>
    <w:p w14:paraId="0CF6A789" w14:textId="77777777" w:rsidR="006E34C4" w:rsidRPr="00B039A6" w:rsidRDefault="006E34C4" w:rsidP="00AC0298">
      <w:pPr>
        <w:pStyle w:val="HChG"/>
      </w:pPr>
      <w:r w:rsidRPr="00B039A6">
        <w:tab/>
      </w:r>
      <w:r w:rsidRPr="00B039A6">
        <w:tab/>
        <w:t xml:space="preserve">Références </w:t>
      </w:r>
      <w:r>
        <w:t>à l</w:t>
      </w:r>
      <w:r w:rsidR="00441C01">
        <w:t>’</w:t>
      </w:r>
      <w:r w:rsidRPr="00B039A6">
        <w:t>autorité compétente a</w:t>
      </w:r>
      <w:r>
        <w:t>u c</w:t>
      </w:r>
      <w:r w:rsidRPr="00B039A6">
        <w:t>hap</w:t>
      </w:r>
      <w:r>
        <w:t>i</w:t>
      </w:r>
      <w:r w:rsidRPr="00B039A6">
        <w:t>tr</w:t>
      </w:r>
      <w:r>
        <w:t>e</w:t>
      </w:r>
      <w:r w:rsidRPr="00B039A6">
        <w:t xml:space="preserve"> 8.2</w:t>
      </w:r>
    </w:p>
    <w:p w14:paraId="6D85EA11" w14:textId="77777777" w:rsidR="006E34C4" w:rsidRPr="00B71584" w:rsidRDefault="006E34C4" w:rsidP="006E34C4">
      <w:pPr>
        <w:pStyle w:val="SingleTxtG"/>
      </w:pPr>
      <w:r w:rsidRPr="00B71584">
        <w:t>8.</w:t>
      </w:r>
      <w:r w:rsidRPr="00B71584">
        <w:tab/>
        <w:t xml:space="preserve">Après discussion, la majorité a convenu que </w:t>
      </w:r>
      <w:r w:rsidR="00AC0298">
        <w:t>« </w:t>
      </w:r>
      <w:r w:rsidRPr="00B71584">
        <w:t>l</w:t>
      </w:r>
      <w:r w:rsidR="00441C01">
        <w:t>’</w:t>
      </w:r>
      <w:r w:rsidRPr="00B71584">
        <w:t>autorité compétente</w:t>
      </w:r>
      <w:r w:rsidR="00AC0298">
        <w:t> »</w:t>
      </w:r>
      <w:r w:rsidRPr="00B71584">
        <w:t xml:space="preserve"> évoquée au chapitre</w:t>
      </w:r>
      <w:r w:rsidR="00AC0298">
        <w:t> </w:t>
      </w:r>
      <w:r w:rsidRPr="00B71584">
        <w:t xml:space="preserve">8.2 </w:t>
      </w:r>
      <w:r>
        <w:t xml:space="preserve">faisait référence à celle du pays où se déroulent la formation et les examens. Il a également été estimé que le texte ne devait pas être clarifié davantage. Le Groupe de travail souhaitera peut-être confirmer cette </w:t>
      </w:r>
      <w:r w:rsidRPr="00B71584">
        <w:t>interprétation.</w:t>
      </w:r>
    </w:p>
    <w:p w14:paraId="45717577" w14:textId="77777777" w:rsidR="006E34C4" w:rsidRPr="00804369" w:rsidRDefault="006E34C4" w:rsidP="00AC0298">
      <w:pPr>
        <w:pStyle w:val="HChG"/>
      </w:pPr>
      <w:r w:rsidRPr="00B71584">
        <w:tab/>
      </w:r>
      <w:r w:rsidRPr="00B71584">
        <w:tab/>
      </w:r>
      <w:r w:rsidRPr="00804369">
        <w:t>Références à l</w:t>
      </w:r>
      <w:r w:rsidR="00441C01">
        <w:t>’</w:t>
      </w:r>
      <w:r w:rsidRPr="00804369">
        <w:t xml:space="preserve">autorité compétente au chapitre 8.5, </w:t>
      </w:r>
      <w:bookmarkStart w:id="3" w:name="_Hlk65748919"/>
      <w:r w:rsidRPr="00804369">
        <w:t xml:space="preserve">prescription supplémentaire </w:t>
      </w:r>
      <w:bookmarkEnd w:id="3"/>
      <w:r w:rsidRPr="00804369">
        <w:t xml:space="preserve">S1 </w:t>
      </w:r>
    </w:p>
    <w:p w14:paraId="2CB42C06" w14:textId="77777777" w:rsidR="006E34C4" w:rsidRPr="00804369" w:rsidRDefault="006E34C4" w:rsidP="006E34C4">
      <w:pPr>
        <w:pStyle w:val="SingleTxtG"/>
      </w:pPr>
      <w:r w:rsidRPr="00816BBA">
        <w:t>9.</w:t>
      </w:r>
      <w:r w:rsidRPr="00816BBA">
        <w:tab/>
        <w:t xml:space="preserve">Après discussion, la majorité a convenu que </w:t>
      </w:r>
      <w:r w:rsidR="00AC0298">
        <w:t>« </w:t>
      </w:r>
      <w:r w:rsidRPr="00816BBA">
        <w:t>l</w:t>
      </w:r>
      <w:r w:rsidR="00441C01">
        <w:t>’</w:t>
      </w:r>
      <w:r w:rsidRPr="00816BBA">
        <w:t>autorité compétente</w:t>
      </w:r>
      <w:r w:rsidR="00AC0298">
        <w:t> »</w:t>
      </w:r>
      <w:r w:rsidRPr="00816BBA">
        <w:t xml:space="preserve"> évoquée dans la prescription supplémentaire S1 </w:t>
      </w:r>
      <w:r>
        <w:t xml:space="preserve">faisait référence à celle </w:t>
      </w:r>
      <w:r w:rsidRPr="00816BBA">
        <w:t>d</w:t>
      </w:r>
      <w:r>
        <w:t>es</w:t>
      </w:r>
      <w:r w:rsidRPr="00816BBA">
        <w:t xml:space="preserve"> pays où se déroulent </w:t>
      </w:r>
      <w:r>
        <w:t xml:space="preserve">le transport, le chargement et le déchargement. </w:t>
      </w:r>
      <w:r w:rsidRPr="00804369">
        <w:t xml:space="preserve">Il a également été </w:t>
      </w:r>
      <w:r>
        <w:t>estimé</w:t>
      </w:r>
      <w:r w:rsidRPr="00804369">
        <w:t xml:space="preserve"> que le texte ne devait pas être clarifié davantage. Le Groupe de travail souhaitera peut-être confirmer cette interprétation.</w:t>
      </w:r>
    </w:p>
    <w:p w14:paraId="1709BB33" w14:textId="77777777" w:rsidR="006E34C4" w:rsidRPr="00804369" w:rsidRDefault="006E34C4" w:rsidP="00AC0298">
      <w:pPr>
        <w:pStyle w:val="HChG"/>
      </w:pPr>
      <w:r w:rsidRPr="00A8628B">
        <w:tab/>
      </w:r>
      <w:r w:rsidRPr="00A8628B">
        <w:tab/>
      </w:r>
      <w:bookmarkStart w:id="4" w:name="_Hlk65749243"/>
      <w:r w:rsidRPr="00804369">
        <w:t xml:space="preserve">Références </w:t>
      </w:r>
      <w:r>
        <w:t xml:space="preserve">aux </w:t>
      </w:r>
      <w:r w:rsidRPr="00804369">
        <w:t>autorité</w:t>
      </w:r>
      <w:r>
        <w:t>s</w:t>
      </w:r>
      <w:r w:rsidRPr="00804369">
        <w:t xml:space="preserve"> compétente</w:t>
      </w:r>
      <w:r>
        <w:t>s</w:t>
      </w:r>
      <w:r w:rsidRPr="00804369">
        <w:t xml:space="preserve"> au chapitre 8.5, prescription</w:t>
      </w:r>
      <w:r>
        <w:t>s</w:t>
      </w:r>
      <w:r w:rsidRPr="00804369">
        <w:t xml:space="preserve"> supplémentaire</w:t>
      </w:r>
      <w:r>
        <w:t>s</w:t>
      </w:r>
      <w:r w:rsidRPr="00804369">
        <w:t xml:space="preserve"> </w:t>
      </w:r>
      <w:bookmarkEnd w:id="4"/>
      <w:r w:rsidRPr="00804369">
        <w:t>S8 et S9</w:t>
      </w:r>
    </w:p>
    <w:p w14:paraId="6B5F3EE9" w14:textId="77777777" w:rsidR="006E34C4" w:rsidRDefault="006E34C4" w:rsidP="006E34C4">
      <w:pPr>
        <w:pStyle w:val="SingleTxtG"/>
      </w:pPr>
      <w:r w:rsidRPr="00804369">
        <w:t>10.</w:t>
      </w:r>
      <w:r w:rsidRPr="00804369">
        <w:tab/>
        <w:t>Certaines délégations ont estimé que</w:t>
      </w:r>
      <w:r>
        <w:t xml:space="preserve"> </w:t>
      </w:r>
      <w:r w:rsidR="00AC0298">
        <w:t>« </w:t>
      </w:r>
      <w:r w:rsidRPr="00804369">
        <w:t>l</w:t>
      </w:r>
      <w:r>
        <w:t xml:space="preserve">es </w:t>
      </w:r>
      <w:r w:rsidRPr="00804369">
        <w:t>autorité</w:t>
      </w:r>
      <w:r>
        <w:t>s</w:t>
      </w:r>
      <w:r w:rsidRPr="00804369">
        <w:t xml:space="preserve"> compétente</w:t>
      </w:r>
      <w:r>
        <w:t>s</w:t>
      </w:r>
      <w:r w:rsidR="00AC0298">
        <w:t> »</w:t>
      </w:r>
      <w:r w:rsidRPr="00A8628B">
        <w:t xml:space="preserve"> évoquée</w:t>
      </w:r>
      <w:r>
        <w:t>s</w:t>
      </w:r>
      <w:r w:rsidRPr="00A8628B">
        <w:t xml:space="preserve"> </w:t>
      </w:r>
      <w:bookmarkStart w:id="5" w:name="_Hlk65750154"/>
      <w:r w:rsidRPr="00A8628B">
        <w:t>dans l</w:t>
      </w:r>
      <w:r>
        <w:t>es</w:t>
      </w:r>
      <w:r w:rsidRPr="00A8628B">
        <w:t xml:space="preserve"> prescription</w:t>
      </w:r>
      <w:r>
        <w:t>s</w:t>
      </w:r>
      <w:r w:rsidRPr="00A8628B">
        <w:t xml:space="preserve"> supplémentaire</w:t>
      </w:r>
      <w:r>
        <w:t xml:space="preserve">s </w:t>
      </w:r>
      <w:r w:rsidRPr="00A8628B">
        <w:t>S8 e</w:t>
      </w:r>
      <w:r>
        <w:t xml:space="preserve">t </w:t>
      </w:r>
      <w:r w:rsidRPr="00A8628B">
        <w:t xml:space="preserve">S9 </w:t>
      </w:r>
      <w:bookmarkEnd w:id="5"/>
      <w:r>
        <w:t>pourrai</w:t>
      </w:r>
      <w:r w:rsidR="00441C01">
        <w:t>en</w:t>
      </w:r>
      <w:r>
        <w:t>t faire référence aux autorités locales mais pas à</w:t>
      </w:r>
      <w:r w:rsidRPr="00A8628B">
        <w:t xml:space="preserve"> </w:t>
      </w:r>
      <w:r>
        <w:t xml:space="preserve">une </w:t>
      </w:r>
      <w:bookmarkStart w:id="6" w:name="_Hlk65750215"/>
      <w:r w:rsidRPr="00A8628B">
        <w:t>autorité compétente</w:t>
      </w:r>
      <w:r>
        <w:t xml:space="preserve"> </w:t>
      </w:r>
      <w:bookmarkEnd w:id="6"/>
      <w:r>
        <w:t>en ce qui concerne l</w:t>
      </w:r>
      <w:r w:rsidR="00441C01">
        <w:t>’</w:t>
      </w:r>
      <w:r>
        <w:t>application des prescriptions de l</w:t>
      </w:r>
      <w:r w:rsidR="00441C01">
        <w:t>’</w:t>
      </w:r>
      <w:r>
        <w:t>ADR. Si le Groupe de travail est d</w:t>
      </w:r>
      <w:r w:rsidR="00441C01">
        <w:t>’</w:t>
      </w:r>
      <w:r>
        <w:t xml:space="preserve">accord avec cette interprétation il pourrait être approprié de modifier le texte dans un but de clarification. </w:t>
      </w:r>
    </w:p>
    <w:p w14:paraId="3FFD5101" w14:textId="77777777" w:rsidR="006E34C4" w:rsidRDefault="006E34C4" w:rsidP="00441C01">
      <w:pPr>
        <w:pStyle w:val="H1G"/>
      </w:pPr>
      <w:r w:rsidRPr="0022188A">
        <w:tab/>
      </w:r>
      <w:r w:rsidRPr="0022188A">
        <w:tab/>
      </w:r>
      <w:r>
        <w:t>Proposition 2</w:t>
      </w:r>
    </w:p>
    <w:p w14:paraId="74195D9D" w14:textId="77777777" w:rsidR="006E34C4" w:rsidRPr="00AB4900" w:rsidRDefault="006E34C4" w:rsidP="006E34C4">
      <w:pPr>
        <w:pStyle w:val="SingleTxtG"/>
      </w:pPr>
      <w:r w:rsidRPr="00AB4900">
        <w:t>11.</w:t>
      </w:r>
      <w:r w:rsidRPr="00AB4900">
        <w:tab/>
        <w:t>Au chapitre 8.5, dans les prescriptions supplémentaires S8 et S9, remplace</w:t>
      </w:r>
      <w:r>
        <w:t>r</w:t>
      </w:r>
      <w:r w:rsidRPr="00AB4900">
        <w:t xml:space="preserve"> </w:t>
      </w:r>
      <w:r w:rsidR="00441C01">
        <w:t>« </w:t>
      </w:r>
      <w:r w:rsidRPr="00AB4900">
        <w:t>autorité</w:t>
      </w:r>
      <w:r>
        <w:t>s</w:t>
      </w:r>
      <w:r w:rsidRPr="00AB4900">
        <w:t xml:space="preserve"> compétente</w:t>
      </w:r>
      <w:r>
        <w:t>s</w:t>
      </w:r>
      <w:r w:rsidR="00441C01">
        <w:t> »</w:t>
      </w:r>
      <w:r w:rsidRPr="00AB4900">
        <w:t xml:space="preserve"> </w:t>
      </w:r>
      <w:r>
        <w:t xml:space="preserve">par </w:t>
      </w:r>
      <w:r w:rsidR="00441C01">
        <w:t>« </w:t>
      </w:r>
      <w:r>
        <w:t xml:space="preserve">autorités </w:t>
      </w:r>
      <w:r w:rsidRPr="00AB4900">
        <w:t>locales</w:t>
      </w:r>
      <w:r w:rsidR="00441C01">
        <w:t> »</w:t>
      </w:r>
      <w:r w:rsidRPr="00AB4900">
        <w:t>.</w:t>
      </w:r>
    </w:p>
    <w:p w14:paraId="0C295077" w14:textId="77777777" w:rsidR="006E34C4" w:rsidRPr="00804369" w:rsidRDefault="006E34C4" w:rsidP="00441C01">
      <w:pPr>
        <w:pStyle w:val="HChG"/>
      </w:pPr>
      <w:r w:rsidRPr="00AB4900">
        <w:tab/>
      </w:r>
      <w:r w:rsidRPr="00AB4900">
        <w:tab/>
      </w:r>
      <w:bookmarkStart w:id="7" w:name="_Hlk65749292"/>
      <w:r w:rsidRPr="00804369">
        <w:t xml:space="preserve">Références </w:t>
      </w:r>
      <w:r>
        <w:t xml:space="preserve">aux </w:t>
      </w:r>
      <w:r w:rsidRPr="00804369">
        <w:t>autorité</w:t>
      </w:r>
      <w:r>
        <w:t>s</w:t>
      </w:r>
      <w:r w:rsidRPr="00804369">
        <w:t xml:space="preserve"> compétente</w:t>
      </w:r>
      <w:r>
        <w:t>s</w:t>
      </w:r>
      <w:r w:rsidRPr="00804369">
        <w:t xml:space="preserve"> au </w:t>
      </w:r>
      <w:bookmarkEnd w:id="7"/>
      <w:r w:rsidRPr="00804369">
        <w:t xml:space="preserve">chapitre 8.5, prescriptions supplémentaires S16 </w:t>
      </w:r>
      <w:r>
        <w:t xml:space="preserve">et </w:t>
      </w:r>
      <w:r w:rsidRPr="00804369">
        <w:t>S21</w:t>
      </w:r>
    </w:p>
    <w:p w14:paraId="2800A598" w14:textId="77777777" w:rsidR="006E34C4" w:rsidRPr="00C947D3" w:rsidRDefault="006E34C4" w:rsidP="006E34C4">
      <w:pPr>
        <w:pStyle w:val="SingleTxtG"/>
      </w:pPr>
      <w:r w:rsidRPr="00993986">
        <w:t>12.</w:t>
      </w:r>
      <w:r w:rsidRPr="00993986">
        <w:tab/>
        <w:t xml:space="preserve">Le Groupe de travail a convenu que les </w:t>
      </w:r>
      <w:r w:rsidR="00441C01">
        <w:t>« </w:t>
      </w:r>
      <w:r w:rsidRPr="00993986">
        <w:t>autorités compétentes</w:t>
      </w:r>
      <w:r w:rsidR="00441C01">
        <w:t> »</w:t>
      </w:r>
      <w:r w:rsidRPr="00993986">
        <w:t xml:space="preserve"> dans les prescriptions supplémentaires S16 e</w:t>
      </w:r>
      <w:r>
        <w:t xml:space="preserve">t </w:t>
      </w:r>
      <w:r w:rsidRPr="00993986">
        <w:t xml:space="preserve">S21 </w:t>
      </w:r>
      <w:r w:rsidRPr="0022188A">
        <w:t>faisai</w:t>
      </w:r>
      <w:r w:rsidR="00441C01">
        <w:t>en</w:t>
      </w:r>
      <w:r w:rsidRPr="0022188A">
        <w:t xml:space="preserve">t référence </w:t>
      </w:r>
      <w:r>
        <w:t>aux autorités des pays où se déroule le transport.</w:t>
      </w:r>
      <w:r w:rsidRPr="00C947D3">
        <w:t xml:space="preserve"> Il a également été estimé que le texte ne devait pas être clarifié davantage. Le Groupe de travail souhaitera peut-être confirmer cette interprétation.</w:t>
      </w:r>
    </w:p>
    <w:p w14:paraId="3BDD932F" w14:textId="77777777" w:rsidR="006E34C4" w:rsidRPr="00804369" w:rsidRDefault="006E34C4" w:rsidP="00441C01">
      <w:pPr>
        <w:pStyle w:val="HChG"/>
      </w:pPr>
      <w:bookmarkStart w:id="8" w:name="_GoBack"/>
      <w:bookmarkEnd w:id="8"/>
      <w:r w:rsidRPr="00C947D3">
        <w:lastRenderedPageBreak/>
        <w:tab/>
      </w:r>
      <w:r w:rsidRPr="00C947D3">
        <w:tab/>
      </w:r>
      <w:r w:rsidRPr="00804369">
        <w:t xml:space="preserve">Références à </w:t>
      </w:r>
      <w:bookmarkStart w:id="9" w:name="_Hlk65753619"/>
      <w:r w:rsidRPr="00804369">
        <w:t>l</w:t>
      </w:r>
      <w:r w:rsidR="00441C01">
        <w:t>’</w:t>
      </w:r>
      <w:r w:rsidRPr="00804369">
        <w:t>autorité compétente</w:t>
      </w:r>
      <w:bookmarkEnd w:id="9"/>
      <w:r w:rsidRPr="00804369">
        <w:t xml:space="preserve"> au </w:t>
      </w:r>
      <w:r>
        <w:t xml:space="preserve">paragraphe </w:t>
      </w:r>
      <w:r w:rsidRPr="00804369">
        <w:t>9.1.2.1</w:t>
      </w:r>
    </w:p>
    <w:p w14:paraId="3E64392E" w14:textId="77777777" w:rsidR="006E34C4" w:rsidRPr="002C6D7A" w:rsidRDefault="006E34C4" w:rsidP="006E34C4">
      <w:pPr>
        <w:pStyle w:val="SingleTxtG"/>
      </w:pPr>
      <w:r w:rsidRPr="001C6ECF">
        <w:rPr>
          <w:rFonts w:eastAsia="SimSun"/>
          <w:lang w:eastAsia="zh-CN"/>
        </w:rPr>
        <w:t>13.</w:t>
      </w:r>
      <w:r w:rsidRPr="001C6ECF">
        <w:rPr>
          <w:rFonts w:eastAsia="SimSun"/>
          <w:lang w:eastAsia="zh-CN"/>
        </w:rPr>
        <w:tab/>
        <w:t>Le document ECE/TRANS/WP.15/2019/23 contenait une proposition visant à remplacer</w:t>
      </w:r>
      <w:r>
        <w:rPr>
          <w:rFonts w:eastAsia="SimSun"/>
          <w:lang w:eastAsia="zh-CN"/>
        </w:rPr>
        <w:t xml:space="preserve"> la première occurrence de</w:t>
      </w:r>
      <w:r w:rsidRPr="001C6ECF">
        <w:rPr>
          <w:rFonts w:eastAsia="SimSun"/>
          <w:lang w:eastAsia="zh-CN"/>
        </w:rPr>
        <w:t xml:space="preserve"> </w:t>
      </w:r>
      <w:r w:rsidR="00441C01">
        <w:rPr>
          <w:rFonts w:eastAsia="SimSun"/>
          <w:lang w:eastAsia="zh-CN"/>
        </w:rPr>
        <w:t>« </w:t>
      </w:r>
      <w:r w:rsidRPr="001C6ECF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1C6ECF">
        <w:rPr>
          <w:rFonts w:eastAsia="SimSun"/>
          <w:lang w:eastAsia="zh-CN"/>
        </w:rPr>
        <w:t>autorité compétente</w:t>
      </w:r>
      <w:r w:rsidR="00441C01">
        <w:rPr>
          <w:rFonts w:eastAsia="SimSun"/>
          <w:lang w:eastAsia="zh-CN"/>
        </w:rPr>
        <w:t> »</w:t>
      </w:r>
      <w:r w:rsidRPr="001C6ECF">
        <w:rPr>
          <w:rFonts w:eastAsia="SimSun"/>
          <w:lang w:eastAsia="zh-CN"/>
        </w:rPr>
        <w:t xml:space="preserve"> s</w:t>
      </w:r>
      <w:r>
        <w:rPr>
          <w:rFonts w:eastAsia="SimSun"/>
          <w:lang w:eastAsia="zh-CN"/>
        </w:rPr>
        <w:t>oit par</w:t>
      </w:r>
      <w:r w:rsidRPr="001C6ECF">
        <w:rPr>
          <w:rFonts w:eastAsia="SimSun"/>
          <w:lang w:eastAsia="zh-CN"/>
        </w:rPr>
        <w:t xml:space="preserve"> </w:t>
      </w:r>
      <w:r w:rsidR="00441C01">
        <w:rPr>
          <w:rFonts w:eastAsia="SimSun"/>
          <w:lang w:eastAsia="zh-CN"/>
        </w:rPr>
        <w:t>« </w:t>
      </w:r>
      <w:r w:rsidRPr="001C6ECF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1C6ECF">
        <w:rPr>
          <w:rFonts w:eastAsia="SimSun"/>
          <w:lang w:eastAsia="zh-CN"/>
        </w:rPr>
        <w:t>autorité compétente</w:t>
      </w:r>
      <w:r>
        <w:rPr>
          <w:rFonts w:eastAsia="SimSun"/>
          <w:lang w:eastAsia="zh-CN"/>
        </w:rPr>
        <w:t xml:space="preserve"> du pays</w:t>
      </w:r>
      <w:r w:rsidRPr="001C6ECF">
        <w:rPr>
          <w:rFonts w:eastAsia="SimSun"/>
          <w:lang w:eastAsia="zh-CN"/>
        </w:rPr>
        <w:t xml:space="preserve"> d</w:t>
      </w:r>
      <w:r w:rsidR="00441C01">
        <w:rPr>
          <w:rFonts w:eastAsia="SimSun"/>
          <w:lang w:eastAsia="zh-CN"/>
        </w:rPr>
        <w:t>’</w:t>
      </w:r>
      <w:r w:rsidRPr="001C6ECF">
        <w:rPr>
          <w:rFonts w:eastAsia="SimSun"/>
          <w:lang w:eastAsia="zh-CN"/>
        </w:rPr>
        <w:t>agrément</w:t>
      </w:r>
      <w:r w:rsidR="00441C01">
        <w:rPr>
          <w:rFonts w:eastAsia="SimSun"/>
          <w:lang w:eastAsia="zh-CN"/>
        </w:rPr>
        <w:t> »</w:t>
      </w:r>
      <w:r w:rsidRPr="001C6EC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soit par</w:t>
      </w:r>
      <w:r w:rsidRPr="001C6ECF">
        <w:rPr>
          <w:rFonts w:eastAsia="SimSun"/>
          <w:lang w:eastAsia="zh-CN"/>
        </w:rPr>
        <w:t xml:space="preserve"> </w:t>
      </w:r>
      <w:r w:rsidR="00441C01">
        <w:rPr>
          <w:rFonts w:eastAsia="SimSun"/>
          <w:lang w:eastAsia="zh-CN"/>
        </w:rPr>
        <w:t>« </w:t>
      </w:r>
      <w:r w:rsidRPr="001C6ECF">
        <w:rPr>
          <w:rFonts w:eastAsia="SimSun"/>
          <w:lang w:eastAsia="zh-CN"/>
        </w:rPr>
        <w:t>l</w:t>
      </w:r>
      <w:r w:rsidR="00441C01">
        <w:rPr>
          <w:rFonts w:eastAsia="SimSun"/>
          <w:lang w:eastAsia="zh-CN"/>
        </w:rPr>
        <w:t>’</w:t>
      </w:r>
      <w:r w:rsidRPr="001C6ECF">
        <w:rPr>
          <w:rFonts w:eastAsia="SimSun"/>
          <w:lang w:eastAsia="zh-CN"/>
        </w:rPr>
        <w:t xml:space="preserve">autorité compétente du pays </w:t>
      </w:r>
      <w:r>
        <w:rPr>
          <w:rFonts w:eastAsia="SimSun"/>
          <w:lang w:eastAsia="zh-CN"/>
        </w:rPr>
        <w:t>d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immatriculation</w:t>
      </w:r>
      <w:r w:rsidR="00441C01">
        <w:rPr>
          <w:rFonts w:eastAsia="SimSun"/>
          <w:lang w:eastAsia="zh-CN"/>
        </w:rPr>
        <w:t> »</w:t>
      </w:r>
      <w:r w:rsidRPr="001C6ECF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Il n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y a pas eu de consensus sur ce point. Certaines délégations ont estimé que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ajout de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expression </w:t>
      </w:r>
      <w:r w:rsidR="00441C01">
        <w:rPr>
          <w:rFonts w:eastAsia="SimSun"/>
          <w:lang w:eastAsia="zh-CN"/>
        </w:rPr>
        <w:t>« </w:t>
      </w:r>
      <w:r w:rsidRPr="002C6D7A">
        <w:rPr>
          <w:rFonts w:eastAsia="SimSun"/>
          <w:lang w:eastAsia="zh-CN"/>
        </w:rPr>
        <w:t>pays d</w:t>
      </w:r>
      <w:r w:rsidR="00441C01">
        <w:rPr>
          <w:rFonts w:eastAsia="SimSun"/>
          <w:lang w:eastAsia="zh-CN"/>
        </w:rPr>
        <w:t>’</w:t>
      </w:r>
      <w:r w:rsidRPr="002C6D7A">
        <w:rPr>
          <w:rFonts w:eastAsia="SimSun"/>
          <w:lang w:eastAsia="zh-CN"/>
        </w:rPr>
        <w:t>immatriculation</w:t>
      </w:r>
      <w:r w:rsidR="00441C01">
        <w:rPr>
          <w:rFonts w:eastAsia="SimSun"/>
          <w:lang w:eastAsia="zh-CN"/>
        </w:rPr>
        <w:t> »</w:t>
      </w:r>
      <w:r w:rsidRPr="002C6D7A">
        <w:rPr>
          <w:rFonts w:eastAsia="SimSun"/>
          <w:lang w:eastAsia="zh-CN"/>
        </w:rPr>
        <w:t xml:space="preserve"> p</w:t>
      </w:r>
      <w:r>
        <w:rPr>
          <w:rFonts w:eastAsia="SimSun"/>
          <w:lang w:eastAsia="zh-CN"/>
        </w:rPr>
        <w:t>ourrait clarifier le texte. D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autres ont noté que dans certains pays l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>homologation n</w:t>
      </w:r>
      <w:r w:rsidR="00441C01">
        <w:rPr>
          <w:rFonts w:eastAsia="SimSun"/>
          <w:lang w:eastAsia="zh-CN"/>
        </w:rPr>
        <w:t>’</w:t>
      </w:r>
      <w:r>
        <w:rPr>
          <w:rFonts w:eastAsia="SimSun"/>
          <w:lang w:eastAsia="zh-CN"/>
        </w:rPr>
        <w:t xml:space="preserve">était pas requise pour certaines remorques. Le Groupe de travail souhaitera peut-être </w:t>
      </w:r>
      <w:r w:rsidRPr="002C6D7A">
        <w:rPr>
          <w:rFonts w:eastAsia="SimSun"/>
          <w:lang w:eastAsia="zh-CN"/>
        </w:rPr>
        <w:t>poursuivre ce débat.</w:t>
      </w:r>
    </w:p>
    <w:p w14:paraId="25F28203" w14:textId="77777777" w:rsidR="006E34C4" w:rsidRPr="00A8628B" w:rsidRDefault="006E34C4" w:rsidP="00441C01">
      <w:pPr>
        <w:pStyle w:val="HChG"/>
      </w:pPr>
      <w:r w:rsidRPr="002C6D7A">
        <w:tab/>
      </w:r>
      <w:r w:rsidRPr="002C6D7A">
        <w:tab/>
      </w:r>
      <w:r w:rsidRPr="00804369">
        <w:t>Références à l</w:t>
      </w:r>
      <w:r w:rsidR="00441C01">
        <w:t>’</w:t>
      </w:r>
      <w:r w:rsidRPr="00804369">
        <w:t xml:space="preserve">autorité compétente au </w:t>
      </w:r>
      <w:r>
        <w:t xml:space="preserve">paragraphe </w:t>
      </w:r>
      <w:r w:rsidRPr="00A8628B">
        <w:t>9.1.2.2</w:t>
      </w:r>
    </w:p>
    <w:p w14:paraId="637280EF" w14:textId="77777777" w:rsidR="00F9573C" w:rsidRDefault="006E34C4" w:rsidP="006E34C4">
      <w:pPr>
        <w:pStyle w:val="SingleTxtG"/>
      </w:pPr>
      <w:r w:rsidRPr="002C6D7A">
        <w:t>14.</w:t>
      </w:r>
      <w:r w:rsidRPr="002C6D7A">
        <w:tab/>
        <w:t>Après discussion, il a été convenu que</w:t>
      </w:r>
      <w:r>
        <w:t xml:space="preserve"> ce paragraphe faisait référence à l</w:t>
      </w:r>
      <w:r w:rsidR="00441C01">
        <w:t>’</w:t>
      </w:r>
      <w:r>
        <w:t xml:space="preserve">autorité compétente conformément au Règlement </w:t>
      </w:r>
      <w:r w:rsidR="00441C01">
        <w:t xml:space="preserve">ONU </w:t>
      </w:r>
      <w:r w:rsidR="00441C01">
        <w:rPr>
          <w:rFonts w:eastAsia="MS Mincho"/>
        </w:rPr>
        <w:t>n</w:t>
      </w:r>
      <w:r w:rsidR="00441C01">
        <w:rPr>
          <w:rFonts w:eastAsia="MS Mincho"/>
          <w:vertAlign w:val="superscript"/>
        </w:rPr>
        <w:t>o</w:t>
      </w:r>
      <w:r w:rsidR="00441C01">
        <w:t> </w:t>
      </w:r>
      <w:r>
        <w:t xml:space="preserve">105. </w:t>
      </w:r>
      <w:r w:rsidRPr="002C6D7A">
        <w:t>Il a également été estimé que le texte ne devait pas être clarifié davantage. Le Groupe de travail souhaitera peut-être confirmer cette interprétation.</w:t>
      </w:r>
    </w:p>
    <w:p w14:paraId="3AC9347B" w14:textId="77777777" w:rsidR="00AC0298" w:rsidRDefault="00AC0298" w:rsidP="006E34C4">
      <w:pPr>
        <w:pStyle w:val="SingleTxtG"/>
        <w:sectPr w:rsidR="00AC0298" w:rsidSect="006E34C4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53EF1C7D" w14:textId="77777777" w:rsidR="00AC0298" w:rsidRPr="00FC0BFB" w:rsidRDefault="00AC0298" w:rsidP="00441C01">
      <w:pPr>
        <w:pStyle w:val="HChG"/>
      </w:pPr>
      <w:r w:rsidRPr="00FC0BFB">
        <w:lastRenderedPageBreak/>
        <w:t>Annex</w:t>
      </w:r>
      <w:r>
        <w:t>e</w:t>
      </w:r>
    </w:p>
    <w:p w14:paraId="1724BE08" w14:textId="77777777" w:rsidR="00AC0298" w:rsidRDefault="00CC3BDA" w:rsidP="00441C01">
      <w:pPr>
        <w:pStyle w:val="H1G"/>
      </w:pPr>
      <w:r>
        <w:tab/>
      </w:r>
      <w:r>
        <w:tab/>
      </w:r>
      <w:r w:rsidR="00AC0298" w:rsidRPr="00FC0BFB">
        <w:t>Part</w:t>
      </w:r>
      <w:r w:rsidR="00AC0298">
        <w:t>ie</w:t>
      </w:r>
      <w:r w:rsidR="00AC0298" w:rsidRPr="00FC0BFB">
        <w:t xml:space="preserve"> 8</w:t>
      </w:r>
    </w:p>
    <w:tbl>
      <w:tblPr>
        <w:tblStyle w:val="TableGrid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221"/>
        <w:gridCol w:w="4278"/>
      </w:tblGrid>
      <w:tr w:rsidR="00AC0298" w:rsidRPr="005E5574" w14:paraId="7A1866D2" w14:textId="77777777" w:rsidTr="00B541FC">
        <w:trPr>
          <w:tblHeader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9AEB7B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E5574">
              <w:rPr>
                <w:i/>
                <w:sz w:val="16"/>
              </w:rPr>
              <w:t>Paragraph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48BED4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E5574">
              <w:rPr>
                <w:i/>
                <w:sz w:val="16"/>
              </w:rPr>
              <w:t>Text</w:t>
            </w:r>
            <w:r>
              <w:rPr>
                <w:i/>
                <w:sz w:val="16"/>
              </w:rPr>
              <w:t>e (ADR 2021)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D8948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Remarques </w:t>
            </w:r>
          </w:p>
        </w:tc>
      </w:tr>
      <w:tr w:rsidR="00AC0298" w:rsidRPr="005E5574" w14:paraId="55EEA412" w14:textId="77777777" w:rsidTr="00B541FC">
        <w:trPr>
          <w:trHeight w:hRule="exact" w:val="113"/>
          <w:tblHeader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2D7410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CA4156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2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394A92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C0298" w:rsidRPr="005E5574" w14:paraId="284D537C" w14:textId="77777777" w:rsidTr="00B541FC">
        <w:tc>
          <w:tcPr>
            <w:tcW w:w="1277" w:type="dxa"/>
            <w:shd w:val="clear" w:color="auto" w:fill="auto"/>
          </w:tcPr>
          <w:p w14:paraId="3F1928FF" w14:textId="77777777" w:rsidR="00AC0298" w:rsidRPr="005E5574" w:rsidRDefault="00AC0298" w:rsidP="00B541FC">
            <w:pPr>
              <w:spacing w:before="40" w:after="120"/>
              <w:ind w:right="113"/>
            </w:pPr>
            <w:r>
              <w:t>8.1.2.2</w:t>
            </w:r>
          </w:p>
        </w:tc>
        <w:tc>
          <w:tcPr>
            <w:tcW w:w="8221" w:type="dxa"/>
            <w:shd w:val="clear" w:color="auto" w:fill="auto"/>
          </w:tcPr>
          <w:p w14:paraId="43468C0A" w14:textId="77777777" w:rsidR="00AC0298" w:rsidRPr="00AF3C07" w:rsidRDefault="00AC0298" w:rsidP="00B541FC">
            <w:pPr>
              <w:spacing w:before="40" w:after="120"/>
              <w:ind w:right="113"/>
            </w:pPr>
            <w:r w:rsidRPr="00AF3C07">
              <w:t>Dans les cas où les disposition</w:t>
            </w:r>
            <w:r>
              <w:t>s</w:t>
            </w:r>
            <w:r w:rsidRPr="00AF3C07">
              <w:t xml:space="preserve"> de l</w:t>
            </w:r>
            <w:r w:rsidR="00441C01">
              <w:t>’</w:t>
            </w:r>
            <w:r w:rsidRPr="00AF3C07">
              <w:t>ADR en prévoient l</w:t>
            </w:r>
            <w:r w:rsidR="00441C01">
              <w:t>’</w:t>
            </w:r>
            <w:r w:rsidRPr="00AF3C07">
              <w:t>établissement, doivent également se trouver à bord de l</w:t>
            </w:r>
            <w:r w:rsidR="00441C01">
              <w:t>’</w:t>
            </w:r>
            <w:r w:rsidRPr="00AF3C07">
              <w:t>unité de transport</w:t>
            </w:r>
            <w:r w:rsidR="00441C01">
              <w:t> </w:t>
            </w:r>
            <w:r w:rsidRPr="00AF3C07">
              <w:t>:</w:t>
            </w:r>
          </w:p>
          <w:p w14:paraId="04772777" w14:textId="77777777" w:rsidR="00AC0298" w:rsidRPr="00AF3C07" w:rsidRDefault="00AC0298" w:rsidP="00B541FC">
            <w:pPr>
              <w:spacing w:before="40" w:after="120"/>
              <w:ind w:right="113"/>
            </w:pPr>
            <w:r w:rsidRPr="00AF3C07">
              <w:t>[…]</w:t>
            </w:r>
          </w:p>
          <w:p w14:paraId="6A31ACD0" w14:textId="77777777" w:rsidR="00AC0298" w:rsidRPr="00AF3C07" w:rsidRDefault="00AC0298" w:rsidP="00B541FC">
            <w:pPr>
              <w:spacing w:before="40" w:after="120"/>
              <w:ind w:right="113"/>
            </w:pPr>
            <w:r w:rsidRPr="00AF3C07">
              <w:t>c)</w:t>
            </w:r>
            <w:r w:rsidRPr="00AF3C07">
              <w:tab/>
              <w:t>Une copie de l</w:t>
            </w:r>
            <w:r w:rsidR="00441C01">
              <w:t>’</w:t>
            </w:r>
            <w:r w:rsidRPr="00AF3C07">
              <w:t xml:space="preserve">agrément de </w:t>
            </w:r>
            <w:r w:rsidRPr="00AF3C07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AF3C07">
              <w:rPr>
                <w:b/>
                <w:bCs/>
              </w:rPr>
              <w:t xml:space="preserve">autorité compétente, </w:t>
            </w:r>
            <w:r w:rsidRPr="00AF3C07">
              <w:t>lorsqu</w:t>
            </w:r>
            <w:r w:rsidR="00441C01">
              <w:t>’</w:t>
            </w:r>
            <w:r w:rsidRPr="00AF3C07">
              <w:t xml:space="preserve">elle est prescrite </w:t>
            </w:r>
            <w:r>
              <w:t>au paragraphe</w:t>
            </w:r>
            <w:r w:rsidR="00441C01">
              <w:t> </w:t>
            </w:r>
            <w:r w:rsidRPr="00AF3C07">
              <w:t>5.4.1.2.1 c) o</w:t>
            </w:r>
            <w:r>
              <w:t>u</w:t>
            </w:r>
            <w:r w:rsidRPr="00AF3C07">
              <w:t xml:space="preserve"> d) o</w:t>
            </w:r>
            <w:r>
              <w:t xml:space="preserve">u au paragraphe </w:t>
            </w:r>
            <w:r w:rsidRPr="00AF3C07">
              <w:t>5.4.1.2.3.3.</w:t>
            </w:r>
          </w:p>
        </w:tc>
        <w:tc>
          <w:tcPr>
            <w:tcW w:w="4278" w:type="dxa"/>
            <w:shd w:val="clear" w:color="auto" w:fill="auto"/>
          </w:tcPr>
          <w:p w14:paraId="0EBF8454" w14:textId="77777777" w:rsidR="00AC0298" w:rsidRPr="00A85D2D" w:rsidRDefault="00AC0298" w:rsidP="00B541FC">
            <w:pPr>
              <w:spacing w:before="40" w:after="120"/>
              <w:ind w:right="113"/>
            </w:pPr>
            <w:r>
              <w:t>L</w:t>
            </w:r>
            <w:r w:rsidR="00441C01">
              <w:t>’</w:t>
            </w:r>
            <w:r>
              <w:t>alinéa c) du paragraphe 5</w:t>
            </w:r>
            <w:r w:rsidRPr="00A85D2D">
              <w:t>.4.1.2.1 fait référence à l</w:t>
            </w:r>
            <w:r w:rsidR="00441C01">
              <w:t>’</w:t>
            </w:r>
            <w:r w:rsidRPr="00A85D2D">
              <w:t>autorité compétente mentionnée dans l</w:t>
            </w:r>
            <w:r w:rsidR="00441C01">
              <w:t>’</w:t>
            </w:r>
            <w:r w:rsidRPr="00A85D2D">
              <w:t>instruction d</w:t>
            </w:r>
            <w:r w:rsidR="00441C01">
              <w:t>’</w:t>
            </w:r>
            <w:r w:rsidRPr="00A85D2D">
              <w:t>emballage P101.</w:t>
            </w:r>
          </w:p>
          <w:p w14:paraId="6444390B" w14:textId="77777777" w:rsidR="00AC0298" w:rsidRPr="005E5574" w:rsidRDefault="00AC0298" w:rsidP="00B541FC">
            <w:pPr>
              <w:spacing w:before="40" w:after="120"/>
              <w:ind w:right="113"/>
            </w:pPr>
            <w:r>
              <w:t>A</w:t>
            </w:r>
            <w:r w:rsidRPr="00A85D2D">
              <w:t>ucune modification n</w:t>
            </w:r>
            <w:r w:rsidR="00441C01">
              <w:t>’</w:t>
            </w:r>
            <w:r w:rsidRPr="00A85D2D">
              <w:t>est requise</w:t>
            </w:r>
            <w:r>
              <w:t>.</w:t>
            </w:r>
          </w:p>
        </w:tc>
      </w:tr>
      <w:tr w:rsidR="00AC0298" w:rsidRPr="00A54B94" w14:paraId="4456A154" w14:textId="77777777" w:rsidTr="00B541FC">
        <w:tc>
          <w:tcPr>
            <w:tcW w:w="1277" w:type="dxa"/>
            <w:shd w:val="clear" w:color="auto" w:fill="auto"/>
          </w:tcPr>
          <w:p w14:paraId="39887285" w14:textId="77777777" w:rsidR="00AC0298" w:rsidRPr="005E5574" w:rsidRDefault="00AC0298" w:rsidP="00B541FC">
            <w:pPr>
              <w:spacing w:before="40" w:after="120"/>
              <w:ind w:right="113"/>
            </w:pPr>
            <w:r>
              <w:t>8.1.4.4</w:t>
            </w:r>
          </w:p>
        </w:tc>
        <w:tc>
          <w:tcPr>
            <w:tcW w:w="8221" w:type="dxa"/>
            <w:shd w:val="clear" w:color="auto" w:fill="auto"/>
          </w:tcPr>
          <w:p w14:paraId="429E342E" w14:textId="77777777" w:rsidR="00AC0298" w:rsidRPr="001C44F4" w:rsidRDefault="00AC0298" w:rsidP="00B541FC">
            <w:pPr>
              <w:spacing w:before="40" w:after="120"/>
              <w:ind w:right="113"/>
            </w:pPr>
            <w:r w:rsidRPr="00AF3C07">
              <w:t>Les extincteurs d</w:t>
            </w:r>
            <w:r w:rsidR="00441C01">
              <w:t>’</w:t>
            </w:r>
            <w:r w:rsidRPr="00AF3C07">
              <w:t>incendie doivent faire l</w:t>
            </w:r>
            <w:r w:rsidR="00441C01">
              <w:t>’</w:t>
            </w:r>
            <w:r w:rsidRPr="00AF3C07">
              <w:t>objet d</w:t>
            </w:r>
            <w:r w:rsidR="00441C01">
              <w:t>’</w:t>
            </w:r>
            <w:r w:rsidRPr="00AF3C07">
              <w:t xml:space="preserve">inspections en accord avec les normes nationales autorisées, afin de garantir un fonctionnement en toute sécurité. Ils doivent porter une marque de conformité à une norme reconnue par une </w:t>
            </w:r>
            <w:r w:rsidRPr="00A85D2D">
              <w:rPr>
                <w:b/>
                <w:bCs/>
              </w:rPr>
              <w:t>autorité compétente</w:t>
            </w:r>
            <w:r w:rsidRPr="00AF3C07">
              <w:t xml:space="preserve"> ainsi qu</w:t>
            </w:r>
            <w:r w:rsidR="00441C01">
              <w:t>’</w:t>
            </w:r>
            <w:r w:rsidRPr="00AF3C07">
              <w:t>une marque indiquant la date (mois, année) de la prochaine inspection ou la date limite d</w:t>
            </w:r>
            <w:r w:rsidR="00441C01">
              <w:t>’</w:t>
            </w:r>
            <w:r w:rsidRPr="00AF3C07">
              <w:t>utilisation.</w:t>
            </w:r>
          </w:p>
        </w:tc>
        <w:tc>
          <w:tcPr>
            <w:tcW w:w="4278" w:type="dxa"/>
            <w:shd w:val="clear" w:color="auto" w:fill="auto"/>
          </w:tcPr>
          <w:p w14:paraId="4A4496B6" w14:textId="77777777" w:rsidR="00AC0298" w:rsidRPr="001C44F4" w:rsidRDefault="00AC0298" w:rsidP="00441C01">
            <w:pPr>
              <w:spacing w:before="40" w:after="120"/>
              <w:ind w:right="113"/>
            </w:pPr>
            <w:r w:rsidRPr="00B3611E">
              <w:t>Les Parties contractantes sont invitées à faire des observations et à donner des exemples de la manière dont les prescriptions de marquage du paragraphe</w:t>
            </w:r>
            <w:r w:rsidR="00441C01">
              <w:t> </w:t>
            </w:r>
            <w:r w:rsidRPr="00B3611E">
              <w:t>8.1.4.4 sont appliquées en pratique dans leurs pays.</w:t>
            </w:r>
          </w:p>
        </w:tc>
      </w:tr>
      <w:tr w:rsidR="00AC0298" w:rsidRPr="00A54B94" w14:paraId="1FFEB266" w14:textId="77777777" w:rsidTr="00B541FC">
        <w:tc>
          <w:tcPr>
            <w:tcW w:w="1277" w:type="dxa"/>
            <w:shd w:val="clear" w:color="auto" w:fill="auto"/>
          </w:tcPr>
          <w:p w14:paraId="4A77EBDB" w14:textId="77777777" w:rsidR="00AC0298" w:rsidRPr="00AF3C07" w:rsidRDefault="00AC0298" w:rsidP="00B541FC">
            <w:pPr>
              <w:spacing w:before="40" w:after="120"/>
              <w:ind w:right="113"/>
            </w:pPr>
            <w:r w:rsidRPr="00AF3C07">
              <w:t>8.2.1.1 et références dans</w:t>
            </w:r>
            <w:r>
              <w:t xml:space="preserve"> les </w:t>
            </w:r>
            <w:r w:rsidRPr="00AF3C07">
              <w:t>paragraph</w:t>
            </w:r>
            <w:r>
              <w:t>e</w:t>
            </w:r>
            <w:r w:rsidRPr="00AF3C07">
              <w:t xml:space="preserve">s </w:t>
            </w:r>
            <w:r>
              <w:t>suivants au c</w:t>
            </w:r>
            <w:r w:rsidRPr="00AF3C07">
              <w:t>hap</w:t>
            </w:r>
            <w:r>
              <w:t>itre</w:t>
            </w:r>
            <w:r w:rsidR="00441C01">
              <w:t> </w:t>
            </w:r>
            <w:r w:rsidRPr="00AF3C07">
              <w:t>8.2</w:t>
            </w:r>
          </w:p>
        </w:tc>
        <w:tc>
          <w:tcPr>
            <w:tcW w:w="8221" w:type="dxa"/>
            <w:shd w:val="clear" w:color="auto" w:fill="auto"/>
          </w:tcPr>
          <w:p w14:paraId="75A01050" w14:textId="77777777" w:rsidR="00AC0298" w:rsidRPr="001C44F4" w:rsidRDefault="00AC0298" w:rsidP="00441C01">
            <w:pPr>
              <w:spacing w:before="40" w:after="120"/>
              <w:ind w:right="113"/>
            </w:pPr>
            <w:r w:rsidRPr="00A85D2D">
              <w:t xml:space="preserve">Les conducteurs des véhicules transportant des marchandises dangereuses doivent détenir un certificat délivré par </w:t>
            </w:r>
            <w:r w:rsidRPr="00A85D2D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A85D2D">
              <w:rPr>
                <w:b/>
                <w:bCs/>
              </w:rPr>
              <w:t>autorité compétente</w:t>
            </w:r>
            <w:r w:rsidRPr="00A85D2D">
              <w:t>, attestant qu</w:t>
            </w:r>
            <w:r w:rsidR="00441C01">
              <w:t>’</w:t>
            </w:r>
            <w:r w:rsidRPr="00A85D2D">
              <w:t xml:space="preserve">ils ont suivi une formation et réussi un examen portant sur les exigences spéciales auxquelles il doit être satisfait lors du transport de marchandises dangereuses. </w:t>
            </w:r>
          </w:p>
        </w:tc>
        <w:tc>
          <w:tcPr>
            <w:tcW w:w="4278" w:type="dxa"/>
            <w:shd w:val="clear" w:color="auto" w:fill="auto"/>
          </w:tcPr>
          <w:p w14:paraId="189ED283" w14:textId="77777777" w:rsidR="00AC0298" w:rsidRPr="00B3611E" w:rsidRDefault="00AC0298" w:rsidP="00B541FC">
            <w:pPr>
              <w:spacing w:before="40" w:after="120"/>
              <w:ind w:right="113"/>
            </w:pPr>
            <w:r w:rsidRPr="00B3611E">
              <w:t>Fait référence à l</w:t>
            </w:r>
            <w:r w:rsidR="00441C01">
              <w:t>’</w:t>
            </w:r>
            <w:r w:rsidRPr="00B3611E">
              <w:t>autorité compétente du pays où se déroulent la formation et les examens.</w:t>
            </w:r>
          </w:p>
        </w:tc>
      </w:tr>
      <w:tr w:rsidR="00AC0298" w:rsidRPr="00A54B94" w14:paraId="03270135" w14:textId="77777777" w:rsidTr="00B541FC">
        <w:tc>
          <w:tcPr>
            <w:tcW w:w="1277" w:type="dxa"/>
            <w:shd w:val="clear" w:color="auto" w:fill="auto"/>
          </w:tcPr>
          <w:p w14:paraId="090EBF7C" w14:textId="77777777" w:rsidR="00AC0298" w:rsidRPr="00A85D2D" w:rsidRDefault="00AC0298" w:rsidP="00B541FC">
            <w:pPr>
              <w:spacing w:before="40" w:after="120"/>
              <w:ind w:right="113"/>
            </w:pPr>
            <w:r w:rsidRPr="00A85D2D">
              <w:t>Chapitre 8.5, S1</w:t>
            </w:r>
          </w:p>
        </w:tc>
        <w:tc>
          <w:tcPr>
            <w:tcW w:w="8221" w:type="dxa"/>
            <w:shd w:val="clear" w:color="auto" w:fill="auto"/>
          </w:tcPr>
          <w:p w14:paraId="15D4B604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…</w:t>
            </w:r>
          </w:p>
          <w:p w14:paraId="1C577340" w14:textId="77777777" w:rsidR="00AC0298" w:rsidRPr="00B3611E" w:rsidRDefault="00AC0298" w:rsidP="00B541FC">
            <w:pPr>
              <w:spacing w:before="40" w:after="120"/>
              <w:ind w:right="113"/>
            </w:pPr>
            <w:r w:rsidRPr="00B3611E">
              <w:t>2)</w:t>
            </w:r>
            <w:r w:rsidRPr="00B3611E">
              <w:tab/>
              <w:t xml:space="preserve">Agent agréé </w:t>
            </w:r>
          </w:p>
          <w:p w14:paraId="61ED0FC7" w14:textId="77777777" w:rsidR="00AC0298" w:rsidRPr="001C44F4" w:rsidRDefault="00AC0298" w:rsidP="00B541FC">
            <w:pPr>
              <w:spacing w:before="40" w:after="120"/>
              <w:ind w:right="113"/>
            </w:pPr>
            <w:r w:rsidRPr="00B3611E">
              <w:tab/>
              <w:t>L</w:t>
            </w:r>
            <w:r w:rsidR="00441C01">
              <w:t>’</w:t>
            </w:r>
            <w:r w:rsidRPr="00B3611E">
              <w:rPr>
                <w:b/>
                <w:bCs/>
              </w:rPr>
              <w:t>autorité compétente</w:t>
            </w:r>
            <w:r w:rsidRPr="00B3611E">
              <w:t xml:space="preserve"> d</w:t>
            </w:r>
            <w:r w:rsidR="00441C01">
              <w:t>’</w:t>
            </w:r>
            <w:r w:rsidRPr="00B3611E">
              <w:t>un pays partie contractante à l</w:t>
            </w:r>
            <w:r w:rsidR="00441C01">
              <w:t>’</w:t>
            </w:r>
            <w:r w:rsidRPr="00B3611E">
              <w:t>ADR peut imposer, aux frais du transporteur, la présence d</w:t>
            </w:r>
            <w:r w:rsidR="00441C01">
              <w:t>’</w:t>
            </w:r>
            <w:r w:rsidRPr="00B3611E">
              <w:t xml:space="preserve">un agent agréé à bord du véhicule si les réglementations nationales le prévoient. </w:t>
            </w:r>
          </w:p>
          <w:p w14:paraId="5E83219A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…</w:t>
            </w:r>
          </w:p>
          <w:p w14:paraId="67AD08C1" w14:textId="77777777" w:rsidR="00AC0298" w:rsidRPr="00A85D2D" w:rsidRDefault="00AC0298" w:rsidP="00B541FC">
            <w:pPr>
              <w:spacing w:before="40" w:after="120"/>
              <w:ind w:right="113"/>
            </w:pPr>
            <w:r w:rsidRPr="00A85D2D">
              <w:t>4)</w:t>
            </w:r>
            <w:r w:rsidRPr="00A85D2D">
              <w:tab/>
              <w:t>Lieux de chargement et de déchargeme</w:t>
            </w:r>
            <w:r>
              <w:t xml:space="preserve">nt </w:t>
            </w:r>
          </w:p>
          <w:p w14:paraId="7435BEF5" w14:textId="77777777" w:rsidR="00AC0298" w:rsidRPr="00B3611E" w:rsidRDefault="00AC0298" w:rsidP="00B541FC">
            <w:pPr>
              <w:spacing w:before="40" w:after="120"/>
              <w:ind w:right="113"/>
            </w:pPr>
            <w:r w:rsidRPr="00A85D2D">
              <w:tab/>
            </w:r>
            <w:r w:rsidRPr="00B3611E">
              <w:t>a)</w:t>
            </w:r>
            <w:r w:rsidRPr="00B3611E">
              <w:tab/>
              <w:t>Il est interdit de charger et de décharger sur un emplacement public à l</w:t>
            </w:r>
            <w:r w:rsidR="00441C01">
              <w:t>’</w:t>
            </w:r>
            <w:r w:rsidRPr="00B3611E">
              <w:t xml:space="preserve">intérieur des agglomérations des matières et objets de la classe 1 sans permission spéciale des </w:t>
            </w:r>
            <w:r w:rsidRPr="00B3611E">
              <w:rPr>
                <w:b/>
                <w:bCs/>
              </w:rPr>
              <w:t>autorités compétentes</w:t>
            </w:r>
            <w:r w:rsidR="00441C01">
              <w:rPr>
                <w:b/>
                <w:bCs/>
              </w:rPr>
              <w:t> </w:t>
            </w:r>
            <w:r w:rsidRPr="00B3611E">
              <w:t>;</w:t>
            </w:r>
          </w:p>
          <w:p w14:paraId="4CEBBDF4" w14:textId="77777777" w:rsidR="00AC0298" w:rsidRPr="00B3611E" w:rsidRDefault="00AC0298" w:rsidP="00B541FC">
            <w:pPr>
              <w:spacing w:before="40" w:after="120"/>
              <w:ind w:right="113"/>
            </w:pPr>
            <w:r w:rsidRPr="00B3611E">
              <w:lastRenderedPageBreak/>
              <w:tab/>
              <w:t>b)</w:t>
            </w:r>
            <w:r w:rsidRPr="00B3611E">
              <w:tab/>
              <w:t xml:space="preserve">Il est interdit de charger et de décharger sur un emplacement public en dehors des agglomérations des matières et objets de la classe 1 sans en avoir averti les </w:t>
            </w:r>
            <w:r w:rsidRPr="00B3611E">
              <w:rPr>
                <w:b/>
                <w:bCs/>
              </w:rPr>
              <w:t>autorités compétentes</w:t>
            </w:r>
            <w:r w:rsidRPr="00B3611E">
              <w:t>, à moins que ces opérations ne soient justifiées par un motif grave ayant trait à la sécurité</w:t>
            </w:r>
            <w:r w:rsidR="00441C01">
              <w:t> </w:t>
            </w:r>
            <w:r w:rsidRPr="00B3611E">
              <w:t>;</w:t>
            </w:r>
          </w:p>
          <w:p w14:paraId="0AE32AB6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…</w:t>
            </w:r>
          </w:p>
          <w:p w14:paraId="47EA3F44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5)</w:t>
            </w:r>
            <w:r w:rsidRPr="001C44F4">
              <w:tab/>
              <w:t xml:space="preserve">Convois </w:t>
            </w:r>
          </w:p>
          <w:p w14:paraId="0089E18F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ab/>
              <w:t>…</w:t>
            </w:r>
          </w:p>
          <w:p w14:paraId="449ED3DC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ab/>
            </w:r>
            <w:r w:rsidRPr="00A85D2D">
              <w:t>b)</w:t>
            </w:r>
            <w:r w:rsidRPr="00A85D2D">
              <w:tab/>
              <w:t>L</w:t>
            </w:r>
            <w:r w:rsidR="00441C01">
              <w:t>’</w:t>
            </w:r>
            <w:r w:rsidRPr="00A85D2D">
              <w:rPr>
                <w:b/>
                <w:bCs/>
              </w:rPr>
              <w:t>autorité compétente</w:t>
            </w:r>
            <w:r w:rsidRPr="00A85D2D">
              <w:t xml:space="preserve"> peut imposer des prescriptions pour 1</w:t>
            </w:r>
            <w:r w:rsidR="00441C01">
              <w:t>’</w:t>
            </w:r>
            <w:r w:rsidRPr="00A85D2D">
              <w:t xml:space="preserve">ordre ou la composition des convois. </w:t>
            </w:r>
          </w:p>
          <w:p w14:paraId="1C327F82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6)</w:t>
            </w:r>
            <w:r w:rsidRPr="001C44F4">
              <w:tab/>
              <w:t xml:space="preserve">Surveillance des véhicules </w:t>
            </w:r>
          </w:p>
          <w:p w14:paraId="58526256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ab/>
              <w:t>…</w:t>
            </w:r>
          </w:p>
          <w:p w14:paraId="6B935B5A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ab/>
            </w:r>
            <w:r w:rsidRPr="00B3611E">
              <w:t>En outre, ces matières et objets</w:t>
            </w:r>
            <w:r>
              <w:t>,</w:t>
            </w:r>
            <w:r w:rsidRPr="00B3611E">
              <w:t xml:space="preserve"> </w:t>
            </w:r>
            <w:r w:rsidRPr="002B4A44">
              <w:t>lorsqu</w:t>
            </w:r>
            <w:r w:rsidR="00441C01">
              <w:t>’</w:t>
            </w:r>
            <w:r w:rsidRPr="002B4A44">
              <w:t>ils sont soumis aux dispositions d</w:t>
            </w:r>
            <w:r>
              <w:t>e la section</w:t>
            </w:r>
            <w:r w:rsidRPr="002B4A44">
              <w:t xml:space="preserve"> 1.10.3</w:t>
            </w:r>
            <w:r>
              <w:t>,</w:t>
            </w:r>
            <w:r w:rsidRPr="002B4A44">
              <w:t xml:space="preserve"> </w:t>
            </w:r>
            <w:r w:rsidRPr="00B3611E">
              <w:t>doivent faire l</w:t>
            </w:r>
            <w:r w:rsidR="00441C01">
              <w:t>’</w:t>
            </w:r>
            <w:r w:rsidRPr="00B3611E">
              <w:t>objet</w:t>
            </w:r>
            <w:r>
              <w:t>,</w:t>
            </w:r>
            <w:r w:rsidRPr="00B3611E">
              <w:t xml:space="preserve"> d</w:t>
            </w:r>
            <w:r w:rsidR="00441C01">
              <w:t>’</w:t>
            </w:r>
            <w:r w:rsidRPr="00B3611E">
              <w:t>une surveillance constante</w:t>
            </w:r>
            <w:r>
              <w:t>,</w:t>
            </w:r>
            <w:r w:rsidRPr="00B3611E">
              <w:t xml:space="preserve"> </w:t>
            </w:r>
            <w:r w:rsidRPr="007A39EB">
              <w:t xml:space="preserve">conformément au plan de sûreté </w:t>
            </w:r>
            <w:r>
              <w:t>du paragraphe</w:t>
            </w:r>
            <w:r w:rsidR="00441C01">
              <w:t> </w:t>
            </w:r>
            <w:r w:rsidRPr="007A39EB">
              <w:t>1.10.3.2,</w:t>
            </w:r>
            <w:r>
              <w:t xml:space="preserve"> </w:t>
            </w:r>
            <w:r w:rsidRPr="00B3611E">
              <w:t xml:space="preserve">destinée à prévenir tout acte de malveillance et à alerter le conducteur et les </w:t>
            </w:r>
            <w:r w:rsidRPr="007A39EB">
              <w:rPr>
                <w:b/>
                <w:bCs/>
              </w:rPr>
              <w:t>autorités compétentes</w:t>
            </w:r>
            <w:r w:rsidRPr="00B3611E">
              <w:t xml:space="preserve"> en cas de perte ou d</w:t>
            </w:r>
            <w:r w:rsidR="00441C01">
              <w:t>’</w:t>
            </w:r>
            <w:r w:rsidRPr="00B3611E">
              <w:t xml:space="preserve">incendie. </w:t>
            </w:r>
          </w:p>
        </w:tc>
        <w:tc>
          <w:tcPr>
            <w:tcW w:w="4278" w:type="dxa"/>
            <w:shd w:val="clear" w:color="auto" w:fill="auto"/>
          </w:tcPr>
          <w:p w14:paraId="0F246AEF" w14:textId="77777777" w:rsidR="00AC0298" w:rsidRPr="00EE6BFB" w:rsidRDefault="00AC0298" w:rsidP="00B541FC">
            <w:pPr>
              <w:spacing w:before="40" w:after="120"/>
              <w:ind w:right="113"/>
            </w:pPr>
            <w:r w:rsidRPr="00EE6BFB">
              <w:lastRenderedPageBreak/>
              <w:t>Fait référence à l</w:t>
            </w:r>
            <w:r w:rsidR="00441C01">
              <w:t>’</w:t>
            </w:r>
            <w:r w:rsidRPr="00EE6BFB">
              <w:t>autorité com</w:t>
            </w:r>
            <w:r>
              <w:t xml:space="preserve">pétente </w:t>
            </w:r>
            <w:r w:rsidRPr="00EE6BFB">
              <w:t>des pays où se déroulent le transport, le chargement et le déchargement.</w:t>
            </w:r>
          </w:p>
        </w:tc>
      </w:tr>
      <w:tr w:rsidR="00AC0298" w:rsidRPr="00A54B94" w14:paraId="3BF1BFDC" w14:textId="77777777" w:rsidTr="00B541FC">
        <w:tc>
          <w:tcPr>
            <w:tcW w:w="1277" w:type="dxa"/>
            <w:shd w:val="clear" w:color="auto" w:fill="auto"/>
          </w:tcPr>
          <w:p w14:paraId="0A661271" w14:textId="77777777" w:rsidR="00AC0298" w:rsidRPr="005E5574" w:rsidRDefault="00AC0298" w:rsidP="00B541FC">
            <w:pPr>
              <w:spacing w:before="40" w:after="120"/>
              <w:ind w:right="113"/>
            </w:pPr>
            <w:r>
              <w:t>Chapitre</w:t>
            </w:r>
            <w:r w:rsidRPr="005B6D1D">
              <w:t xml:space="preserve"> 8.5, S8</w:t>
            </w:r>
            <w:r>
              <w:t xml:space="preserve"> et S9</w:t>
            </w:r>
          </w:p>
        </w:tc>
        <w:tc>
          <w:tcPr>
            <w:tcW w:w="8221" w:type="dxa"/>
            <w:shd w:val="clear" w:color="auto" w:fill="auto"/>
          </w:tcPr>
          <w:p w14:paraId="08DE37C6" w14:textId="77777777" w:rsidR="00AC0298" w:rsidRPr="00396F5E" w:rsidRDefault="00AC0298" w:rsidP="00B541FC">
            <w:pPr>
              <w:spacing w:before="40" w:after="120"/>
              <w:ind w:right="113"/>
            </w:pPr>
            <w:r w:rsidRPr="00396F5E">
              <w:t>S8</w:t>
            </w:r>
            <w:r w:rsidRPr="00396F5E">
              <w:tab/>
              <w:t>Lorsqu</w:t>
            </w:r>
            <w:r w:rsidR="00441C01">
              <w:t>’</w:t>
            </w:r>
            <w:r w:rsidRPr="00396F5E">
              <w:t>une unité de transport est chargée de plus de 2 000 kg de cette marchandise, les arrêts pour les besoins du service au cours du transport doivent, dans toute la mesure possible, ne pas avoir lieu à proximité de lieux habités ou de lieux de rassemblement. Un arrêt ne peut être prolongé, à proximité de tels lieux, qu</w:t>
            </w:r>
            <w:r w:rsidR="00441C01">
              <w:t>’</w:t>
            </w:r>
            <w:r w:rsidRPr="00396F5E">
              <w:t>avec l</w:t>
            </w:r>
            <w:r w:rsidR="00441C01">
              <w:t>’</w:t>
            </w:r>
            <w:r w:rsidRPr="00396F5E">
              <w:t xml:space="preserve">accord des </w:t>
            </w:r>
            <w:r w:rsidRPr="00396F5E">
              <w:rPr>
                <w:b/>
                <w:bCs/>
              </w:rPr>
              <w:t>autorités compétentes</w:t>
            </w:r>
            <w:r w:rsidRPr="00396F5E">
              <w:t>.</w:t>
            </w:r>
          </w:p>
          <w:p w14:paraId="500E4C4F" w14:textId="77777777" w:rsidR="00AC0298" w:rsidRPr="001C44F4" w:rsidRDefault="00AC0298" w:rsidP="00441C01">
            <w:pPr>
              <w:spacing w:before="40" w:after="120"/>
              <w:ind w:right="113"/>
            </w:pPr>
            <w:r w:rsidRPr="00396F5E">
              <w:t>S</w:t>
            </w:r>
            <w:r>
              <w:t>9</w:t>
            </w:r>
            <w:r w:rsidRPr="00396F5E">
              <w:tab/>
              <w:t>Au cours du transport de cette marchandise, les arrêts pour les besoins du service doivent, dans toute la mesure possible, ne pas avoir lieu à proximité de lieux habités ou de lieux de rassemblement. Un arrêt ne peut être prolongé, à proximité de tels lieux, qu</w:t>
            </w:r>
            <w:r w:rsidR="00441C01">
              <w:t>’</w:t>
            </w:r>
            <w:r w:rsidRPr="00396F5E">
              <w:t>avec l</w:t>
            </w:r>
            <w:r w:rsidR="00441C01">
              <w:t>’</w:t>
            </w:r>
            <w:r w:rsidRPr="00396F5E">
              <w:t xml:space="preserve">accord des </w:t>
            </w:r>
            <w:r w:rsidRPr="00396F5E">
              <w:rPr>
                <w:b/>
                <w:bCs/>
              </w:rPr>
              <w:t>autorités compétentes</w:t>
            </w:r>
            <w:r w:rsidRPr="00396F5E">
              <w:t>.</w:t>
            </w:r>
          </w:p>
        </w:tc>
        <w:tc>
          <w:tcPr>
            <w:tcW w:w="4278" w:type="dxa"/>
            <w:shd w:val="clear" w:color="auto" w:fill="auto"/>
          </w:tcPr>
          <w:p w14:paraId="4F9255C8" w14:textId="77777777" w:rsidR="00AC0298" w:rsidRPr="001D78D7" w:rsidRDefault="00AC0298" w:rsidP="00B541FC">
            <w:pPr>
              <w:spacing w:before="40" w:after="120"/>
              <w:ind w:right="113"/>
            </w:pPr>
            <w:r w:rsidRPr="001D78D7">
              <w:t xml:space="preserve">Fait référence </w:t>
            </w:r>
            <w:r>
              <w:t xml:space="preserve">aux </w:t>
            </w:r>
            <w:r w:rsidRPr="001D78D7">
              <w:t xml:space="preserve">autorités locales. </w:t>
            </w:r>
          </w:p>
        </w:tc>
      </w:tr>
      <w:tr w:rsidR="00AC0298" w:rsidRPr="00A54B94" w14:paraId="452B8524" w14:textId="77777777" w:rsidTr="00B541FC">
        <w:tc>
          <w:tcPr>
            <w:tcW w:w="1277" w:type="dxa"/>
            <w:shd w:val="clear" w:color="auto" w:fill="auto"/>
          </w:tcPr>
          <w:p w14:paraId="445A2B78" w14:textId="77777777" w:rsidR="00AC0298" w:rsidRPr="005E5574" w:rsidRDefault="00AC0298" w:rsidP="00B541FC">
            <w:pPr>
              <w:spacing w:before="40" w:after="120"/>
              <w:ind w:right="113"/>
            </w:pPr>
            <w:r>
              <w:t>Chapitre 8.5, S16 et S21</w:t>
            </w:r>
          </w:p>
        </w:tc>
        <w:tc>
          <w:tcPr>
            <w:tcW w:w="8221" w:type="dxa"/>
            <w:shd w:val="clear" w:color="auto" w:fill="auto"/>
          </w:tcPr>
          <w:p w14:paraId="52427E8C" w14:textId="77777777" w:rsidR="00AC0298" w:rsidRPr="00396F5E" w:rsidRDefault="00AC0298" w:rsidP="00B541FC">
            <w:pPr>
              <w:spacing w:before="40" w:after="120"/>
              <w:ind w:right="113"/>
            </w:pPr>
            <w:r w:rsidRPr="00396F5E">
              <w:t>S16</w:t>
            </w:r>
            <w:r w:rsidRPr="00396F5E">
              <w:tab/>
              <w:t>… En outre, les véhicules transportant plus de 500 kg de cette marchandise, lorsqu</w:t>
            </w:r>
            <w:r w:rsidR="00441C01">
              <w:t>’</w:t>
            </w:r>
            <w:r w:rsidRPr="00396F5E">
              <w:t>ils sont soumis aux dispositions de</w:t>
            </w:r>
            <w:r>
              <w:t xml:space="preserve"> la section </w:t>
            </w:r>
            <w:r w:rsidRPr="00396F5E">
              <w:t>1.10.3, doivent faire 1</w:t>
            </w:r>
            <w:r w:rsidR="00441C01">
              <w:t>’</w:t>
            </w:r>
            <w:r w:rsidRPr="00396F5E">
              <w:t>objet d</w:t>
            </w:r>
            <w:r w:rsidR="00441C01">
              <w:t>’</w:t>
            </w:r>
            <w:r w:rsidRPr="00396F5E">
              <w:t xml:space="preserve">une surveillance constante, conformément au plan de sûreté </w:t>
            </w:r>
            <w:r w:rsidRPr="001C44F4">
              <w:t xml:space="preserve">du paragraphe </w:t>
            </w:r>
            <w:r w:rsidRPr="00396F5E">
              <w:t>1.10.3.2,</w:t>
            </w:r>
            <w:r w:rsidR="00441C01">
              <w:t xml:space="preserve"> </w:t>
            </w:r>
            <w:r w:rsidRPr="00FF5A6C">
              <w:t xml:space="preserve">pour empêcher tout acte de malveillance </w:t>
            </w:r>
            <w:r w:rsidRPr="00396F5E">
              <w:t xml:space="preserve">et alerter le conducteur et les </w:t>
            </w:r>
            <w:r w:rsidRPr="001C44F4">
              <w:rPr>
                <w:b/>
                <w:bCs/>
              </w:rPr>
              <w:t>autorités compétentes</w:t>
            </w:r>
            <w:r w:rsidRPr="00396F5E">
              <w:t xml:space="preserve"> en cas de perte ou d</w:t>
            </w:r>
            <w:r w:rsidR="00441C01">
              <w:t>’</w:t>
            </w:r>
            <w:r w:rsidRPr="00396F5E">
              <w:t>incendie.</w:t>
            </w:r>
          </w:p>
          <w:p w14:paraId="5BFDA689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S21</w:t>
            </w:r>
            <w:r w:rsidRPr="001C44F4">
              <w:tab/>
              <w:t>… En outre, ces marchandises, lorsqu</w:t>
            </w:r>
            <w:r w:rsidR="00441C01">
              <w:t>’</w:t>
            </w:r>
            <w:r w:rsidRPr="001C44F4">
              <w:t>elles sont soumises aux dispositions d</w:t>
            </w:r>
            <w:r>
              <w:t>e la section</w:t>
            </w:r>
            <w:r w:rsidR="00441C01">
              <w:t> </w:t>
            </w:r>
            <w:r w:rsidRPr="001C44F4">
              <w:t>1.10.3, doivent faire 1</w:t>
            </w:r>
            <w:r w:rsidR="00441C01">
              <w:t>’</w:t>
            </w:r>
            <w:r w:rsidRPr="001C44F4">
              <w:t>objet d</w:t>
            </w:r>
            <w:r w:rsidR="00441C01">
              <w:t>’</w:t>
            </w:r>
            <w:r w:rsidRPr="001C44F4">
              <w:t xml:space="preserve">une surveillance constante, conformément au plan de sûreté </w:t>
            </w:r>
            <w:r>
              <w:t>du paragraphe</w:t>
            </w:r>
            <w:r w:rsidR="00441C01">
              <w:t> </w:t>
            </w:r>
            <w:r w:rsidRPr="001C44F4">
              <w:t xml:space="preserve">1.10.3.2, </w:t>
            </w:r>
            <w:r>
              <w:t xml:space="preserve">pour </w:t>
            </w:r>
            <w:r w:rsidRPr="001C44F4">
              <w:t xml:space="preserve">empêcher toute action de malveillance et alerter le conducteur et les </w:t>
            </w:r>
            <w:r w:rsidRPr="001C44F4">
              <w:rPr>
                <w:b/>
                <w:bCs/>
              </w:rPr>
              <w:t>autorités compétentes</w:t>
            </w:r>
            <w:r w:rsidRPr="001C44F4">
              <w:t xml:space="preserve"> en cas de perte ou d</w:t>
            </w:r>
            <w:r w:rsidR="00441C01">
              <w:t>’</w:t>
            </w:r>
            <w:r w:rsidRPr="001C44F4">
              <w:t>incendie</w:t>
            </w:r>
            <w:r>
              <w:t>.</w:t>
            </w:r>
          </w:p>
        </w:tc>
        <w:tc>
          <w:tcPr>
            <w:tcW w:w="4278" w:type="dxa"/>
            <w:shd w:val="clear" w:color="auto" w:fill="auto"/>
          </w:tcPr>
          <w:p w14:paraId="2CEAC244" w14:textId="77777777" w:rsidR="00AC0298" w:rsidRPr="001D78D7" w:rsidRDefault="00AC0298" w:rsidP="00B541FC">
            <w:pPr>
              <w:spacing w:before="40" w:after="120"/>
              <w:ind w:right="113"/>
            </w:pPr>
            <w:r w:rsidRPr="001D78D7">
              <w:t>Fait référence à l</w:t>
            </w:r>
            <w:r w:rsidR="00441C01">
              <w:t>’</w:t>
            </w:r>
            <w:r w:rsidRPr="001D78D7">
              <w:t>autorité compétente d</w:t>
            </w:r>
            <w:r>
              <w:t xml:space="preserve">es </w:t>
            </w:r>
            <w:r w:rsidRPr="001D78D7">
              <w:t>pays où se déroule</w:t>
            </w:r>
            <w:r>
              <w:t xml:space="preserve"> le transport</w:t>
            </w:r>
            <w:r w:rsidRPr="001D78D7">
              <w:t>.</w:t>
            </w:r>
          </w:p>
        </w:tc>
      </w:tr>
      <w:tr w:rsidR="00AC0298" w:rsidRPr="00A54B94" w14:paraId="2F162C22" w14:textId="77777777" w:rsidTr="00AC0298">
        <w:tc>
          <w:tcPr>
            <w:tcW w:w="1277" w:type="dxa"/>
            <w:shd w:val="clear" w:color="auto" w:fill="auto"/>
          </w:tcPr>
          <w:p w14:paraId="319F9922" w14:textId="77777777" w:rsidR="00AC0298" w:rsidRPr="005E5574" w:rsidRDefault="00AC0298" w:rsidP="00B541FC">
            <w:pPr>
              <w:spacing w:before="40" w:after="120"/>
              <w:ind w:right="113"/>
            </w:pPr>
            <w:r>
              <w:lastRenderedPageBreak/>
              <w:t>8.6.2</w:t>
            </w:r>
          </w:p>
        </w:tc>
        <w:tc>
          <w:tcPr>
            <w:tcW w:w="8221" w:type="dxa"/>
            <w:shd w:val="clear" w:color="auto" w:fill="auto"/>
          </w:tcPr>
          <w:p w14:paraId="52C28C23" w14:textId="77777777" w:rsidR="00AC0298" w:rsidRPr="00A54B94" w:rsidRDefault="00AC0298" w:rsidP="00CC3BDA">
            <w:pPr>
              <w:spacing w:before="40" w:after="120"/>
              <w:ind w:right="113"/>
            </w:pPr>
            <w:r w:rsidRPr="001C44F4">
              <w:t>La catégorie de tunnel, affectée conformément au pa</w:t>
            </w:r>
            <w:r>
              <w:t xml:space="preserve">ragraphe </w:t>
            </w:r>
            <w:r w:rsidRPr="001C44F4">
              <w:t xml:space="preserve">1.9.5.1 par </w:t>
            </w:r>
            <w:r w:rsidRPr="001C44F4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1C44F4">
              <w:rPr>
                <w:b/>
                <w:bCs/>
              </w:rPr>
              <w:t>autorité compétente</w:t>
            </w:r>
            <w:r w:rsidRPr="001C44F4">
              <w:t xml:space="preserve"> à un tunnel routier donné, aux fins des restrictions de circulation des unités de transport transportant des marchandises dangereuses, doit être indiquée comme suit au moyen d</w:t>
            </w:r>
            <w:r w:rsidR="00441C01">
              <w:t>’</w:t>
            </w:r>
            <w:r w:rsidRPr="001C44F4">
              <w:t xml:space="preserve">une signalisation routière : </w:t>
            </w:r>
          </w:p>
        </w:tc>
        <w:tc>
          <w:tcPr>
            <w:tcW w:w="4278" w:type="dxa"/>
            <w:shd w:val="clear" w:color="auto" w:fill="auto"/>
          </w:tcPr>
          <w:p w14:paraId="0C86EBF1" w14:textId="77777777" w:rsidR="00AC0298" w:rsidRPr="00A54B94" w:rsidRDefault="00AC0298" w:rsidP="00B541FC">
            <w:pPr>
              <w:spacing w:before="40" w:after="120"/>
              <w:ind w:right="113"/>
            </w:pPr>
            <w:r w:rsidRPr="001D78D7">
              <w:t>Fait référence à l</w:t>
            </w:r>
            <w:r w:rsidR="00441C01">
              <w:t>’</w:t>
            </w:r>
            <w:r w:rsidRPr="001D78D7">
              <w:t>autorité compétente d</w:t>
            </w:r>
            <w:r w:rsidR="00441C01">
              <w:t>’</w:t>
            </w:r>
            <w:r w:rsidRPr="001D78D7">
              <w:t>un pays Partie contractante à l</w:t>
            </w:r>
            <w:r w:rsidR="00441C01">
              <w:t>’</w:t>
            </w:r>
            <w:r w:rsidRPr="001D78D7">
              <w:t xml:space="preserve">ADR responsable de la catégorisation des tunnels relevant de sa juridiction conformément au </w:t>
            </w:r>
            <w:r>
              <w:t xml:space="preserve">paragraphe </w:t>
            </w:r>
            <w:r w:rsidRPr="001D78D7">
              <w:t>1.9.5.1.</w:t>
            </w:r>
          </w:p>
        </w:tc>
      </w:tr>
      <w:tr w:rsidR="00AC0298" w:rsidRPr="001D78D7" w14:paraId="5278A1B0" w14:textId="77777777" w:rsidTr="00AC0298"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14:paraId="00A7D4F2" w14:textId="77777777" w:rsidR="00AC0298" w:rsidRPr="005E5574" w:rsidRDefault="00AC0298" w:rsidP="00B541FC">
            <w:pPr>
              <w:spacing w:before="40" w:after="120"/>
              <w:ind w:right="113"/>
            </w:pPr>
            <w:r w:rsidRPr="00FC0BFB">
              <w:rPr>
                <w:sz w:val="18"/>
                <w:szCs w:val="18"/>
              </w:rPr>
              <w:t>8.6.3.1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shd w:val="clear" w:color="auto" w:fill="auto"/>
          </w:tcPr>
          <w:p w14:paraId="41A0EB0E" w14:textId="77777777" w:rsidR="00AC0298" w:rsidRPr="001C44F4" w:rsidRDefault="00AC0298" w:rsidP="00B541FC">
            <w:pPr>
              <w:spacing w:before="40" w:after="120"/>
              <w:ind w:right="113"/>
            </w:pPr>
            <w:r w:rsidRPr="001C44F4">
              <w:t>…</w:t>
            </w:r>
            <w:r w:rsidRPr="001C44F4">
              <w:rPr>
                <w:rFonts w:ascii="Segoe UI" w:hAnsi="Segoe UI" w:cs="Segoe UI"/>
              </w:rPr>
              <w:t xml:space="preserve"> </w:t>
            </w:r>
            <w:r w:rsidRPr="001C44F4">
              <w:t xml:space="preserve">Lorsque </w:t>
            </w:r>
            <w:r w:rsidR="00CC3BDA">
              <w:t>« </w:t>
            </w:r>
            <w:r w:rsidRPr="001C44F4">
              <w:t>(─)</w:t>
            </w:r>
            <w:r w:rsidR="00CC3BDA">
              <w:t> »</w:t>
            </w:r>
            <w:r w:rsidRPr="001C44F4">
              <w:t xml:space="preserve"> est indiqué au lieu de l</w:t>
            </w:r>
            <w:r w:rsidR="00441C01">
              <w:t>’</w:t>
            </w:r>
            <w:r w:rsidRPr="001C44F4">
              <w:t>un des codes de restriction en tunnels, les marchandises dangereuses en question ne sont soumises à aucune restriction en tunnels</w:t>
            </w:r>
            <w:r>
              <w:t xml:space="preserve">. </w:t>
            </w:r>
            <w:r w:rsidRPr="001C44F4">
              <w:t xml:space="preserve">Pour les marchandises dangereuses affectées aux </w:t>
            </w:r>
            <w:r w:rsidR="00CC3BDA">
              <w:t>Nos</w:t>
            </w:r>
            <w:r w:rsidRPr="001C44F4">
              <w:t xml:space="preserve"> ONU 2919 et 3331, des restrictions au passage dans les tunnels peuvent cependant être comprises dans l</w:t>
            </w:r>
            <w:r w:rsidR="00441C01">
              <w:t>’</w:t>
            </w:r>
            <w:r w:rsidRPr="001C44F4">
              <w:t xml:space="preserve">arrangement spécial approuvé par </w:t>
            </w:r>
            <w:r w:rsidRPr="001C44F4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1C44F4">
              <w:rPr>
                <w:b/>
                <w:bCs/>
              </w:rPr>
              <w:t>autorité ou</w:t>
            </w:r>
            <w:r w:rsidRPr="001C44F4">
              <w:t xml:space="preserve"> </w:t>
            </w:r>
            <w:r w:rsidRPr="001C44F4">
              <w:rPr>
                <w:b/>
                <w:bCs/>
              </w:rPr>
              <w:t>les autorités compétentes</w:t>
            </w:r>
            <w:r w:rsidRPr="001C44F4">
              <w:t xml:space="preserve"> sur la base du </w:t>
            </w:r>
            <w:r>
              <w:t xml:space="preserve">paragraphe </w:t>
            </w:r>
            <w:r w:rsidRPr="001C44F4">
              <w:t>1.7.4.2.</w:t>
            </w:r>
          </w:p>
        </w:tc>
        <w:tc>
          <w:tcPr>
            <w:tcW w:w="4278" w:type="dxa"/>
            <w:tcBorders>
              <w:bottom w:val="single" w:sz="12" w:space="0" w:color="auto"/>
            </w:tcBorders>
            <w:shd w:val="clear" w:color="auto" w:fill="auto"/>
          </w:tcPr>
          <w:p w14:paraId="55665931" w14:textId="77777777" w:rsidR="00AC0298" w:rsidRPr="001D78D7" w:rsidRDefault="00AC0298" w:rsidP="00B541FC">
            <w:pPr>
              <w:spacing w:before="40" w:after="120"/>
              <w:ind w:right="113"/>
            </w:pPr>
            <w:r w:rsidRPr="001D78D7">
              <w:t>Fait référence à l</w:t>
            </w:r>
            <w:r w:rsidR="00441C01">
              <w:t>’</w:t>
            </w:r>
            <w:r w:rsidRPr="001D78D7">
              <w:t xml:space="preserve">autorité compétente </w:t>
            </w:r>
            <w:r>
              <w:t>définie au paragraphe</w:t>
            </w:r>
            <w:r w:rsidR="00CC3BDA">
              <w:t> </w:t>
            </w:r>
            <w:r w:rsidRPr="001D78D7">
              <w:t>1.7.4.2. La référence à l</w:t>
            </w:r>
            <w:r w:rsidR="00441C01">
              <w:t>’</w:t>
            </w:r>
            <w:r w:rsidRPr="001D78D7">
              <w:t>autorité compétente es</w:t>
            </w:r>
            <w:r>
              <w:t>t superflue</w:t>
            </w:r>
            <w:r w:rsidRPr="001D78D7">
              <w:t>.</w:t>
            </w:r>
          </w:p>
        </w:tc>
      </w:tr>
    </w:tbl>
    <w:p w14:paraId="78DFC48F" w14:textId="77777777" w:rsidR="00AC0298" w:rsidRPr="001D78D7" w:rsidRDefault="00AC0298" w:rsidP="00AC0298"/>
    <w:p w14:paraId="3B84AA2B" w14:textId="77777777" w:rsidR="00AC0298" w:rsidRDefault="00AC0298" w:rsidP="00CC3BDA">
      <w:pPr>
        <w:pStyle w:val="H1G"/>
      </w:pPr>
      <w:r w:rsidRPr="001D78D7">
        <w:br w:type="page"/>
      </w:r>
      <w:r w:rsidR="00CC3BDA">
        <w:lastRenderedPageBreak/>
        <w:tab/>
      </w:r>
      <w:r w:rsidR="00CC3BDA">
        <w:tab/>
      </w:r>
      <w:r w:rsidRPr="00FC0BFB">
        <w:t>Part</w:t>
      </w:r>
      <w:r>
        <w:t>ie</w:t>
      </w:r>
      <w:r w:rsidRPr="00FC0BFB">
        <w:t xml:space="preserve"> 9</w:t>
      </w:r>
    </w:p>
    <w:tbl>
      <w:tblPr>
        <w:tblStyle w:val="TableGrid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82"/>
        <w:gridCol w:w="4592"/>
      </w:tblGrid>
      <w:tr w:rsidR="00AC0298" w:rsidRPr="005E5574" w14:paraId="6112C62A" w14:textId="77777777" w:rsidTr="00B541FC"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811626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E5574">
              <w:rPr>
                <w:i/>
                <w:sz w:val="16"/>
              </w:rPr>
              <w:t>Paragraph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3BAA89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E5574">
              <w:rPr>
                <w:i/>
                <w:sz w:val="16"/>
              </w:rPr>
              <w:t>Text</w:t>
            </w:r>
            <w:r>
              <w:rPr>
                <w:i/>
                <w:sz w:val="16"/>
              </w:rPr>
              <w:t>e (ADR 2021)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0A37FD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Remarques</w:t>
            </w:r>
          </w:p>
        </w:tc>
      </w:tr>
      <w:tr w:rsidR="00AC0298" w:rsidRPr="005E5574" w14:paraId="339492FB" w14:textId="77777777" w:rsidTr="00B541FC">
        <w:trPr>
          <w:trHeight w:hRule="exact" w:val="113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49309F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74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DB04CD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53F96C" w14:textId="77777777" w:rsidR="00AC0298" w:rsidRPr="005E5574" w:rsidRDefault="00AC0298" w:rsidP="00B541F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C0298" w:rsidRPr="005E5574" w14:paraId="48739929" w14:textId="77777777" w:rsidTr="00B541FC">
        <w:tc>
          <w:tcPr>
            <w:tcW w:w="1702" w:type="dxa"/>
            <w:shd w:val="clear" w:color="auto" w:fill="auto"/>
          </w:tcPr>
          <w:p w14:paraId="65D76C7E" w14:textId="77777777" w:rsidR="00AC0298" w:rsidRPr="005E5574" w:rsidRDefault="00AC0298" w:rsidP="00CC3BDA">
            <w:pPr>
              <w:spacing w:before="40" w:after="100"/>
              <w:ind w:right="113"/>
            </w:pPr>
            <w:r w:rsidRPr="00A66CCD">
              <w:t>9.1.1.2</w:t>
            </w:r>
            <w:r>
              <w:t>, définition de l</w:t>
            </w:r>
            <w:r w:rsidR="00441C01">
              <w:t>’</w:t>
            </w:r>
            <w:r>
              <w:t>agrément ADR</w:t>
            </w:r>
          </w:p>
        </w:tc>
        <w:tc>
          <w:tcPr>
            <w:tcW w:w="7482" w:type="dxa"/>
            <w:shd w:val="clear" w:color="auto" w:fill="auto"/>
          </w:tcPr>
          <w:p w14:paraId="1469F84A" w14:textId="77777777" w:rsidR="00AC0298" w:rsidRPr="00FF5A6C" w:rsidRDefault="00CC3BDA" w:rsidP="00CC3BDA">
            <w:pPr>
              <w:spacing w:before="40" w:after="100"/>
              <w:ind w:right="113"/>
            </w:pPr>
            <w:r w:rsidRPr="00CC3BDA">
              <w:t>«</w:t>
            </w:r>
            <w:r>
              <w:rPr>
                <w:i/>
                <w:iCs/>
              </w:rPr>
              <w:t> </w:t>
            </w:r>
            <w:r w:rsidR="00AC0298" w:rsidRPr="00C34BB4">
              <w:rPr>
                <w:i/>
                <w:iCs/>
              </w:rPr>
              <w:t>Agrément ADR</w:t>
            </w:r>
            <w:r>
              <w:rPr>
                <w:i/>
                <w:iCs/>
              </w:rPr>
              <w:t> </w:t>
            </w:r>
            <w:r w:rsidRPr="00CC3BDA">
              <w:t>»</w:t>
            </w:r>
            <w:r w:rsidR="00AC0298">
              <w:rPr>
                <w:i/>
                <w:iCs/>
              </w:rPr>
              <w:t> :</w:t>
            </w:r>
            <w:r w:rsidR="00AC0298" w:rsidRPr="00C34BB4">
              <w:t xml:space="preserve"> la certification par </w:t>
            </w:r>
            <w:r w:rsidR="00AC0298" w:rsidRPr="00C34BB4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="00AC0298" w:rsidRPr="00C34BB4">
              <w:rPr>
                <w:b/>
                <w:bCs/>
              </w:rPr>
              <w:t>autorité compétente d</w:t>
            </w:r>
            <w:r w:rsidR="00441C01">
              <w:rPr>
                <w:b/>
                <w:bCs/>
              </w:rPr>
              <w:t>’</w:t>
            </w:r>
            <w:r w:rsidR="00AC0298" w:rsidRPr="00C34BB4">
              <w:rPr>
                <w:b/>
                <w:bCs/>
              </w:rPr>
              <w:t>une Partie contractante</w:t>
            </w:r>
            <w:r w:rsidR="00AC0298" w:rsidRPr="00C34BB4">
              <w:t xml:space="preserve"> à l</w:t>
            </w:r>
            <w:r w:rsidR="00441C01">
              <w:t>’</w:t>
            </w:r>
            <w:r w:rsidR="00AC0298" w:rsidRPr="00C34BB4">
              <w:t>ADR qu</w:t>
            </w:r>
            <w:r w:rsidR="00441C01">
              <w:t>’</w:t>
            </w:r>
            <w:r w:rsidR="00AC0298" w:rsidRPr="00C34BB4">
              <w:t xml:space="preserve">un véhicule destiné au transport de marchandises dangereuses satisfait aux prescriptions techniques pertinentes de la présente partie en tant que véhicule EX/II, EX/III, FL ou AT ou </w:t>
            </w:r>
            <w:r w:rsidR="00AC0298">
              <w:t xml:space="preserve">en tant que </w:t>
            </w:r>
            <w:r w:rsidR="00AC0298" w:rsidRPr="00C34BB4">
              <w:t xml:space="preserve">MEMU. </w:t>
            </w:r>
          </w:p>
        </w:tc>
        <w:tc>
          <w:tcPr>
            <w:tcW w:w="4592" w:type="dxa"/>
            <w:shd w:val="clear" w:color="auto" w:fill="auto"/>
          </w:tcPr>
          <w:p w14:paraId="4066F28B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Défini.</w:t>
            </w:r>
          </w:p>
        </w:tc>
      </w:tr>
      <w:tr w:rsidR="00AC0298" w:rsidRPr="00A54B94" w14:paraId="21750A58" w14:textId="77777777" w:rsidTr="00B541FC">
        <w:tc>
          <w:tcPr>
            <w:tcW w:w="1702" w:type="dxa"/>
            <w:shd w:val="clear" w:color="auto" w:fill="auto"/>
          </w:tcPr>
          <w:p w14:paraId="15C78B7F" w14:textId="77777777" w:rsidR="00AC0298" w:rsidRPr="005E5574" w:rsidRDefault="00AC0298" w:rsidP="00CC3BDA">
            <w:pPr>
              <w:spacing w:before="40" w:after="100"/>
              <w:ind w:right="113"/>
            </w:pPr>
            <w:r w:rsidRPr="007B3B8E">
              <w:t>9.1.2.1</w:t>
            </w:r>
          </w:p>
        </w:tc>
        <w:tc>
          <w:tcPr>
            <w:tcW w:w="7482" w:type="dxa"/>
            <w:shd w:val="clear" w:color="auto" w:fill="auto"/>
          </w:tcPr>
          <w:p w14:paraId="233F3332" w14:textId="77777777" w:rsidR="00AC0298" w:rsidRDefault="00AC0298" w:rsidP="00CC3BDA">
            <w:pPr>
              <w:spacing w:before="40" w:after="100"/>
              <w:ind w:right="113"/>
            </w:pPr>
            <w:r w:rsidRPr="00C34BB4">
              <w:t>… Tout véhicule complet ou complété doit faire l</w:t>
            </w:r>
            <w:r w:rsidR="00441C01">
              <w:t>’</w:t>
            </w:r>
            <w:r w:rsidRPr="00C34BB4">
              <w:t xml:space="preserve">objet, par </w:t>
            </w:r>
            <w:r w:rsidRPr="00C34BB4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C34BB4">
              <w:rPr>
                <w:b/>
                <w:bCs/>
              </w:rPr>
              <w:t>autorité compétente</w:t>
            </w:r>
            <w:r w:rsidRPr="00C34BB4">
              <w:t>, d</w:t>
            </w:r>
            <w:r w:rsidR="00441C01">
              <w:t>’</w:t>
            </w:r>
            <w:r w:rsidRPr="00C34BB4">
              <w:t xml:space="preserve">une première visite technique selon les prescriptions administratives du présent chapitre, pour vérifier la conformité avec les prescriptions techniques pertinentes des chapitres 9.2 à 9.8. </w:t>
            </w:r>
          </w:p>
          <w:p w14:paraId="4A9BD783" w14:textId="77777777" w:rsidR="00AC0298" w:rsidRPr="00CC3BDA" w:rsidRDefault="00AC0298" w:rsidP="00CC3BDA">
            <w:pPr>
              <w:spacing w:before="40" w:after="100"/>
              <w:ind w:right="113"/>
              <w:rPr>
                <w:spacing w:val="-2"/>
              </w:rPr>
            </w:pPr>
            <w:r w:rsidRPr="00CC3BDA">
              <w:rPr>
                <w:b/>
                <w:bCs/>
                <w:spacing w:val="-2"/>
              </w:rPr>
              <w:t>L</w:t>
            </w:r>
            <w:r w:rsidR="00441C01" w:rsidRPr="00CC3BDA">
              <w:rPr>
                <w:b/>
                <w:bCs/>
                <w:spacing w:val="-2"/>
              </w:rPr>
              <w:t>’</w:t>
            </w:r>
            <w:r w:rsidRPr="00CC3BDA">
              <w:rPr>
                <w:b/>
                <w:bCs/>
                <w:spacing w:val="-2"/>
              </w:rPr>
              <w:t>autorité compétente</w:t>
            </w:r>
            <w:r w:rsidRPr="00CC3BDA">
              <w:rPr>
                <w:spacing w:val="-2"/>
              </w:rPr>
              <w:t xml:space="preserve"> peut dispenser de la première visite un tracteur pour semi</w:t>
            </w:r>
            <w:r w:rsidR="00CC3BDA" w:rsidRPr="00CC3BDA">
              <w:rPr>
                <w:spacing w:val="-2"/>
              </w:rPr>
              <w:noBreakHyphen/>
            </w:r>
            <w:r w:rsidRPr="00CC3BDA">
              <w:rPr>
                <w:spacing w:val="-2"/>
              </w:rPr>
              <w:t>remorque homologué par type selon le paragraphe 9.1.2.2 pour lequel le constructeur, son représentant dûment accrédité ou un organisme reconnu par l</w:t>
            </w:r>
            <w:r w:rsidR="00441C01" w:rsidRPr="00CC3BDA">
              <w:rPr>
                <w:spacing w:val="-2"/>
              </w:rPr>
              <w:t>’</w:t>
            </w:r>
            <w:r w:rsidRPr="00CC3BDA">
              <w:rPr>
                <w:spacing w:val="-2"/>
              </w:rPr>
              <w:t>autorité compétente a délivré une déclaration de conformité aux prescriptions du chapitre 9.2…</w:t>
            </w:r>
          </w:p>
        </w:tc>
        <w:tc>
          <w:tcPr>
            <w:tcW w:w="4592" w:type="dxa"/>
            <w:shd w:val="clear" w:color="auto" w:fill="auto"/>
          </w:tcPr>
          <w:p w14:paraId="57A787F7" w14:textId="77777777" w:rsidR="00AC0298" w:rsidRPr="00C34BB4" w:rsidRDefault="00AC0298" w:rsidP="00CC3BDA">
            <w:pPr>
              <w:spacing w:before="40" w:after="100"/>
              <w:ind w:right="113"/>
            </w:pPr>
            <w:r>
              <w:t>D</w:t>
            </w:r>
            <w:r w:rsidRPr="00C34BB4">
              <w:t>u pays d</w:t>
            </w:r>
            <w:r w:rsidR="00441C01">
              <w:t>’</w:t>
            </w:r>
            <w:r w:rsidRPr="00C34BB4">
              <w:t>agrément</w:t>
            </w:r>
            <w:r>
              <w:t>/</w:t>
            </w:r>
            <w:r w:rsidRPr="00C34BB4">
              <w:t>du pays d</w:t>
            </w:r>
            <w:r w:rsidR="00441C01">
              <w:t>’</w:t>
            </w:r>
            <w:r w:rsidRPr="00C34BB4">
              <w:t>immatriculation</w:t>
            </w:r>
            <w:r w:rsidR="00CC3BDA">
              <w:t> </w:t>
            </w:r>
            <w:r w:rsidRPr="00C34BB4">
              <w:t>?</w:t>
            </w:r>
          </w:p>
          <w:p w14:paraId="51180498" w14:textId="77777777" w:rsidR="00AC0298" w:rsidRPr="00C34BB4" w:rsidRDefault="00AC0298" w:rsidP="00CC3BDA">
            <w:pPr>
              <w:spacing w:before="40" w:after="100"/>
              <w:ind w:right="113"/>
            </w:pPr>
            <w:r>
              <w:t xml:space="preserve">Pas de </w:t>
            </w:r>
            <w:r w:rsidRPr="00C34BB4">
              <w:t>consensus.</w:t>
            </w:r>
            <w:r>
              <w:t xml:space="preserve"> Discussion plus approfondie </w:t>
            </w:r>
            <w:r w:rsidRPr="00C34BB4">
              <w:t>nécessaire.</w:t>
            </w:r>
          </w:p>
        </w:tc>
      </w:tr>
      <w:tr w:rsidR="00AC0298" w:rsidRPr="00A54B94" w14:paraId="69EB3B40" w14:textId="77777777" w:rsidTr="00B541FC">
        <w:tc>
          <w:tcPr>
            <w:tcW w:w="1702" w:type="dxa"/>
            <w:shd w:val="clear" w:color="auto" w:fill="auto"/>
          </w:tcPr>
          <w:p w14:paraId="221AA49E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9.1.2.2</w:t>
            </w:r>
          </w:p>
        </w:tc>
        <w:tc>
          <w:tcPr>
            <w:tcW w:w="7482" w:type="dxa"/>
            <w:shd w:val="clear" w:color="auto" w:fill="auto"/>
          </w:tcPr>
          <w:p w14:paraId="732A0249" w14:textId="77777777" w:rsidR="00AC0298" w:rsidRPr="00437F98" w:rsidRDefault="00AC0298" w:rsidP="00CC3BDA">
            <w:pPr>
              <w:spacing w:before="40" w:after="100"/>
              <w:ind w:right="113"/>
            </w:pPr>
            <w:r w:rsidRPr="00FF0D22">
              <w:t xml:space="preserve">À la demande du constructeur du véhicule ou de son représentant dûment accrédité, les véhicules soumis à agrément ADR selon le </w:t>
            </w:r>
            <w:r>
              <w:t xml:space="preserve">paragraphe </w:t>
            </w:r>
            <w:r w:rsidRPr="00FF0D22">
              <w:t>9.1.2.1, peuvent faire l</w:t>
            </w:r>
            <w:r w:rsidR="00441C01">
              <w:t>’</w:t>
            </w:r>
            <w:r w:rsidRPr="00FF0D22">
              <w:t>objet d</w:t>
            </w:r>
            <w:r w:rsidR="00441C01">
              <w:t>’</w:t>
            </w:r>
            <w:r w:rsidRPr="00FF0D22">
              <w:t xml:space="preserve">une homologation de type par une </w:t>
            </w:r>
            <w:r w:rsidRPr="00FF0D22">
              <w:rPr>
                <w:b/>
                <w:bCs/>
              </w:rPr>
              <w:t>autorité compétente</w:t>
            </w:r>
            <w:r w:rsidRPr="00FF0D22">
              <w:t>. Les prescriptions techniques pertinentes du chapitre 9.2, doivent être considérées comme respectées si un certificat d</w:t>
            </w:r>
            <w:r w:rsidR="00441C01">
              <w:t>’</w:t>
            </w:r>
            <w:r w:rsidRPr="00FF0D22">
              <w:t xml:space="preserve">homologation de type a été délivré par une </w:t>
            </w:r>
            <w:r w:rsidRPr="00FF0D22">
              <w:rPr>
                <w:b/>
                <w:bCs/>
              </w:rPr>
              <w:t>autorité compétente</w:t>
            </w:r>
            <w:r w:rsidRPr="00FF0D22">
              <w:t xml:space="preserve"> conformément au Règlement ONU </w:t>
            </w:r>
            <w:r w:rsidR="00CC3BDA">
              <w:rPr>
                <w:rFonts w:eastAsia="MS Mincho"/>
              </w:rPr>
              <w:t>n</w:t>
            </w:r>
            <w:r w:rsidR="00CC3BDA">
              <w:rPr>
                <w:rFonts w:eastAsia="MS Mincho"/>
                <w:vertAlign w:val="superscript"/>
              </w:rPr>
              <w:t>o</w:t>
            </w:r>
            <w:r w:rsidR="00CC3BDA">
              <w:t> </w:t>
            </w:r>
            <w:r w:rsidRPr="00FF0D22">
              <w:t>105</w:t>
            </w:r>
            <w:r w:rsidRPr="00FF0D22">
              <w:rPr>
                <w:vertAlign w:val="superscript"/>
              </w:rPr>
              <w:t>2</w:t>
            </w:r>
            <w:r w:rsidRPr="00FF0D22">
              <w:t xml:space="preserve"> sous réserve que les prescriptions techniques d</w:t>
            </w:r>
            <w:r>
              <w:t>e ce</w:t>
            </w:r>
            <w:r w:rsidRPr="00FF0D22">
              <w:t xml:space="preserve"> Règlement correspondent à celles du chapitre 9.2 de la présente partie et qu</w:t>
            </w:r>
            <w:r w:rsidR="00441C01">
              <w:t>’</w:t>
            </w:r>
            <w:r w:rsidRPr="00FF0D22">
              <w:t>aucune modification du véhicule ne remette en cause sa validité</w:t>
            </w:r>
            <w:r>
              <w:t xml:space="preserve">. </w:t>
            </w:r>
            <w:r w:rsidRPr="00FF0D22">
              <w:t>Dans le cas d</w:t>
            </w:r>
            <w:r>
              <w:t>e</w:t>
            </w:r>
            <w:r w:rsidRPr="00FF0D22">
              <w:t xml:space="preserve"> MEMU, la marque d</w:t>
            </w:r>
            <w:r w:rsidR="00441C01">
              <w:t>’</w:t>
            </w:r>
            <w:r w:rsidRPr="00FF0D22">
              <w:t xml:space="preserve">homologation de type apposée conformément au Règlement ONU </w:t>
            </w:r>
            <w:r w:rsidR="00CC3BDA">
              <w:rPr>
                <w:rFonts w:eastAsia="MS Mincho"/>
              </w:rPr>
              <w:t>n</w:t>
            </w:r>
            <w:r w:rsidR="00CC3BDA">
              <w:rPr>
                <w:rFonts w:eastAsia="MS Mincho"/>
                <w:vertAlign w:val="superscript"/>
              </w:rPr>
              <w:t>o</w:t>
            </w:r>
            <w:r w:rsidR="00CC3BDA">
              <w:t> </w:t>
            </w:r>
            <w:r w:rsidRPr="00FF0D22">
              <w:t>105 peut identifier le véhicule soit en tant que MEMU soit en tant que EX/III.</w:t>
            </w:r>
            <w:r w:rsidRPr="00FF0D22">
              <w:rPr>
                <w:rFonts w:ascii="Segoe UI" w:hAnsi="Segoe UI" w:cs="Segoe UI"/>
              </w:rPr>
              <w:t xml:space="preserve"> </w:t>
            </w:r>
            <w:r w:rsidRPr="00FF0D22">
              <w:t>Les MEMU ne doivent être identifié</w:t>
            </w:r>
            <w:r>
              <w:t>e</w:t>
            </w:r>
            <w:r w:rsidRPr="00FF0D22">
              <w:t>s en tant que tel</w:t>
            </w:r>
            <w:r>
              <w:t>le</w:t>
            </w:r>
            <w:r w:rsidRPr="00FF0D22">
              <w:t>s que dans le certificat d</w:t>
            </w:r>
            <w:r w:rsidR="00441C01">
              <w:t>’</w:t>
            </w:r>
            <w:r w:rsidRPr="00FF0D22">
              <w:t xml:space="preserve">agrément issu conformément </w:t>
            </w:r>
            <w:r>
              <w:t xml:space="preserve">à la section </w:t>
            </w:r>
            <w:r w:rsidRPr="00FF0D22">
              <w:t>9.1.3.</w:t>
            </w:r>
          </w:p>
        </w:tc>
        <w:tc>
          <w:tcPr>
            <w:tcW w:w="4592" w:type="dxa"/>
            <w:shd w:val="clear" w:color="auto" w:fill="auto"/>
          </w:tcPr>
          <w:p w14:paraId="2DA68FE6" w14:textId="77777777" w:rsidR="00AC0298" w:rsidRPr="00FF0D22" w:rsidRDefault="00AC0298" w:rsidP="00CC3BDA">
            <w:pPr>
              <w:spacing w:before="40" w:after="100"/>
              <w:ind w:right="113"/>
            </w:pPr>
            <w:r w:rsidRPr="00FF0D22">
              <w:t>Autorité compétente conformément au Règ</w:t>
            </w:r>
            <w:r>
              <w:t xml:space="preserve">lement </w:t>
            </w:r>
            <w:r w:rsidR="00CC3BDA">
              <w:t xml:space="preserve">ONU </w:t>
            </w:r>
            <w:r w:rsidR="00CC3BDA">
              <w:rPr>
                <w:rFonts w:eastAsia="MS Mincho"/>
              </w:rPr>
              <w:t>n</w:t>
            </w:r>
            <w:r w:rsidR="00CC3BDA">
              <w:rPr>
                <w:rFonts w:eastAsia="MS Mincho"/>
                <w:vertAlign w:val="superscript"/>
              </w:rPr>
              <w:t>o</w:t>
            </w:r>
            <w:r w:rsidR="00CC3BDA">
              <w:t> </w:t>
            </w:r>
            <w:r w:rsidRPr="00FF0D22">
              <w:t xml:space="preserve">105. </w:t>
            </w:r>
          </w:p>
        </w:tc>
      </w:tr>
      <w:tr w:rsidR="00AC0298" w:rsidRPr="005E5574" w14:paraId="50653386" w14:textId="77777777" w:rsidTr="00B541FC">
        <w:tc>
          <w:tcPr>
            <w:tcW w:w="1702" w:type="dxa"/>
            <w:shd w:val="clear" w:color="auto" w:fill="auto"/>
          </w:tcPr>
          <w:p w14:paraId="004CF825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9.1.3.1</w:t>
            </w:r>
          </w:p>
        </w:tc>
        <w:tc>
          <w:tcPr>
            <w:tcW w:w="7482" w:type="dxa"/>
            <w:shd w:val="clear" w:color="auto" w:fill="auto"/>
          </w:tcPr>
          <w:p w14:paraId="23D85A84" w14:textId="77777777" w:rsidR="00AC0298" w:rsidRPr="00A54B94" w:rsidRDefault="00AC0298" w:rsidP="00CC3BDA">
            <w:pPr>
              <w:spacing w:before="40" w:after="100"/>
              <w:ind w:right="113"/>
            </w:pPr>
            <w:r w:rsidRPr="00FF0D22">
              <w:t>La conformité des véhicules EX/II, EX/III, FL et AT et des MEMU avec les prescriptions de la présente partie doit être attestée par un certificat d</w:t>
            </w:r>
            <w:r w:rsidR="00441C01">
              <w:t>’</w:t>
            </w:r>
            <w:r w:rsidRPr="00FF0D22">
              <w:t>agrément (certificat d</w:t>
            </w:r>
            <w:r w:rsidR="00441C01">
              <w:t>’</w:t>
            </w:r>
            <w:r w:rsidRPr="00FF0D22">
              <w:t>agrément ADR)</w:t>
            </w:r>
            <w:r w:rsidRPr="00FF0D22">
              <w:rPr>
                <w:vertAlign w:val="superscript"/>
              </w:rPr>
              <w:t>4</w:t>
            </w:r>
            <w:r w:rsidRPr="00FF0D22">
              <w:t xml:space="preserve"> délivré par </w:t>
            </w:r>
            <w:r w:rsidRPr="00FF0D22">
              <w:rPr>
                <w:b/>
                <w:bCs/>
              </w:rPr>
              <w:t>l</w:t>
            </w:r>
            <w:r w:rsidR="00441C01">
              <w:rPr>
                <w:b/>
                <w:bCs/>
              </w:rPr>
              <w:t>’</w:t>
            </w:r>
            <w:r w:rsidRPr="00FF0D22">
              <w:rPr>
                <w:b/>
                <w:bCs/>
              </w:rPr>
              <w:t>autorité compétente du pays d</w:t>
            </w:r>
            <w:r w:rsidR="00441C01">
              <w:rPr>
                <w:b/>
                <w:bCs/>
              </w:rPr>
              <w:t>’</w:t>
            </w:r>
            <w:r w:rsidRPr="00FF0D22">
              <w:rPr>
                <w:b/>
                <w:bCs/>
              </w:rPr>
              <w:t>immatriculation</w:t>
            </w:r>
            <w:r w:rsidRPr="00FF0D22">
              <w:t xml:space="preserve"> pour chaque véhicule dont la visite est satisfaisante ou qui a fait l</w:t>
            </w:r>
            <w:r w:rsidR="00441C01">
              <w:t>’</w:t>
            </w:r>
            <w:r w:rsidRPr="00FF0D22">
              <w:t>objet de la délivrance d</w:t>
            </w:r>
            <w:r w:rsidR="00441C01">
              <w:t>’</w:t>
            </w:r>
            <w:r w:rsidRPr="00FF0D22">
              <w:t xml:space="preserve">une déclaration de conformité aux prescriptions du chapitre 9.2 selon le </w:t>
            </w:r>
            <w:r>
              <w:t xml:space="preserve">paragraphe </w:t>
            </w:r>
            <w:r w:rsidRPr="00FF0D22">
              <w:t xml:space="preserve">9.1.2.1. </w:t>
            </w:r>
          </w:p>
        </w:tc>
        <w:tc>
          <w:tcPr>
            <w:tcW w:w="4592" w:type="dxa"/>
            <w:shd w:val="clear" w:color="auto" w:fill="auto"/>
          </w:tcPr>
          <w:p w14:paraId="3E1540D6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Défini.</w:t>
            </w:r>
          </w:p>
        </w:tc>
      </w:tr>
      <w:tr w:rsidR="00AC0298" w:rsidRPr="005E5574" w14:paraId="6B2F0374" w14:textId="77777777" w:rsidTr="00B541FC"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14:paraId="55767717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9.1.3.2</w:t>
            </w:r>
          </w:p>
        </w:tc>
        <w:tc>
          <w:tcPr>
            <w:tcW w:w="7482" w:type="dxa"/>
            <w:tcBorders>
              <w:bottom w:val="single" w:sz="12" w:space="0" w:color="auto"/>
            </w:tcBorders>
            <w:shd w:val="clear" w:color="auto" w:fill="auto"/>
          </w:tcPr>
          <w:p w14:paraId="3CC39E46" w14:textId="77777777" w:rsidR="00AC0298" w:rsidRPr="00CC3BDA" w:rsidRDefault="00AC0298" w:rsidP="00CC3BDA">
            <w:pPr>
              <w:spacing w:before="40" w:after="100"/>
              <w:ind w:right="113"/>
              <w:rPr>
                <w:spacing w:val="-2"/>
              </w:rPr>
            </w:pPr>
            <w:r w:rsidRPr="00CC3BDA">
              <w:rPr>
                <w:spacing w:val="-2"/>
              </w:rPr>
              <w:t>Un certificat d</w:t>
            </w:r>
            <w:r w:rsidR="00441C01" w:rsidRPr="00CC3BDA">
              <w:rPr>
                <w:spacing w:val="-2"/>
              </w:rPr>
              <w:t>’</w:t>
            </w:r>
            <w:r w:rsidRPr="00CC3BDA">
              <w:rPr>
                <w:spacing w:val="-2"/>
              </w:rPr>
              <w:t xml:space="preserve">agrément délivré par </w:t>
            </w:r>
            <w:r w:rsidRPr="00CC3BDA">
              <w:rPr>
                <w:b/>
                <w:bCs/>
                <w:spacing w:val="-2"/>
              </w:rPr>
              <w:t>l</w:t>
            </w:r>
            <w:r w:rsidR="00441C01" w:rsidRPr="00CC3BDA">
              <w:rPr>
                <w:b/>
                <w:bCs/>
                <w:spacing w:val="-2"/>
              </w:rPr>
              <w:t>’</w:t>
            </w:r>
            <w:r w:rsidRPr="00CC3BDA">
              <w:rPr>
                <w:b/>
                <w:bCs/>
                <w:spacing w:val="-2"/>
              </w:rPr>
              <w:t>autorité compétente d</w:t>
            </w:r>
            <w:r w:rsidR="00441C01" w:rsidRPr="00CC3BDA">
              <w:rPr>
                <w:b/>
                <w:bCs/>
                <w:spacing w:val="-2"/>
              </w:rPr>
              <w:t>’</w:t>
            </w:r>
            <w:r w:rsidRPr="00CC3BDA">
              <w:rPr>
                <w:b/>
                <w:bCs/>
                <w:spacing w:val="-2"/>
              </w:rPr>
              <w:t>une Partie contractante</w:t>
            </w:r>
            <w:r w:rsidRPr="00CC3BDA">
              <w:rPr>
                <w:spacing w:val="-2"/>
              </w:rPr>
              <w:t xml:space="preserve"> pour un véhicule immatriculé sur le territoire de cette Partie contractante doit être accepté pendant sa durée de validité par </w:t>
            </w:r>
            <w:r w:rsidRPr="00CC3BDA">
              <w:rPr>
                <w:b/>
                <w:bCs/>
                <w:spacing w:val="-2"/>
              </w:rPr>
              <w:t>les autorités compétentes des autres Parties contractantes</w:t>
            </w:r>
            <w:r w:rsidRPr="00CC3BDA">
              <w:rPr>
                <w:spacing w:val="-2"/>
              </w:rPr>
              <w:t>.</w:t>
            </w:r>
          </w:p>
        </w:tc>
        <w:tc>
          <w:tcPr>
            <w:tcW w:w="4592" w:type="dxa"/>
            <w:tcBorders>
              <w:bottom w:val="single" w:sz="12" w:space="0" w:color="auto"/>
            </w:tcBorders>
            <w:shd w:val="clear" w:color="auto" w:fill="auto"/>
          </w:tcPr>
          <w:p w14:paraId="379BB301" w14:textId="77777777" w:rsidR="00AC0298" w:rsidRPr="005E5574" w:rsidRDefault="00AC0298" w:rsidP="00CC3BDA">
            <w:pPr>
              <w:spacing w:before="40" w:after="100"/>
              <w:ind w:right="113"/>
            </w:pPr>
            <w:r>
              <w:t>Défini.</w:t>
            </w:r>
          </w:p>
        </w:tc>
      </w:tr>
    </w:tbl>
    <w:p w14:paraId="05A46E08" w14:textId="77777777" w:rsidR="006E34C4" w:rsidRPr="00AC0298" w:rsidRDefault="00AC0298" w:rsidP="00AC02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34C4" w:rsidRPr="00AC0298" w:rsidSect="00BC3362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224D" w14:textId="77777777" w:rsidR="00B32AB7" w:rsidRDefault="00B32AB7" w:rsidP="00F95C08">
      <w:pPr>
        <w:spacing w:line="240" w:lineRule="auto"/>
      </w:pPr>
    </w:p>
  </w:endnote>
  <w:endnote w:type="continuationSeparator" w:id="0">
    <w:p w14:paraId="4C32A313" w14:textId="77777777" w:rsidR="00B32AB7" w:rsidRPr="00AC3823" w:rsidRDefault="00B32AB7" w:rsidP="00AC3823">
      <w:pPr>
        <w:pStyle w:val="Footer"/>
      </w:pPr>
    </w:p>
  </w:endnote>
  <w:endnote w:type="continuationNotice" w:id="1">
    <w:p w14:paraId="17117352" w14:textId="77777777" w:rsidR="00B32AB7" w:rsidRDefault="00B32A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7C09" w14:textId="77777777" w:rsidR="006E34C4" w:rsidRPr="006E34C4" w:rsidRDefault="006E34C4" w:rsidP="006E34C4">
    <w:pPr>
      <w:pStyle w:val="Footer"/>
      <w:tabs>
        <w:tab w:val="right" w:pos="9638"/>
      </w:tabs>
    </w:pPr>
    <w:r w:rsidRPr="006E34C4">
      <w:rPr>
        <w:b/>
        <w:sz w:val="18"/>
      </w:rPr>
      <w:fldChar w:fldCharType="begin"/>
    </w:r>
    <w:r w:rsidRPr="006E34C4">
      <w:rPr>
        <w:b/>
        <w:sz w:val="18"/>
      </w:rPr>
      <w:instrText xml:space="preserve"> PAGE  \* MERGEFORMAT </w:instrText>
    </w:r>
    <w:r w:rsidRPr="006E34C4">
      <w:rPr>
        <w:b/>
        <w:sz w:val="18"/>
      </w:rPr>
      <w:fldChar w:fldCharType="separate"/>
    </w:r>
    <w:r w:rsidRPr="006E34C4">
      <w:rPr>
        <w:b/>
        <w:noProof/>
        <w:sz w:val="18"/>
      </w:rPr>
      <w:t>2</w:t>
    </w:r>
    <w:r w:rsidRPr="006E34C4">
      <w:rPr>
        <w:b/>
        <w:sz w:val="18"/>
      </w:rPr>
      <w:fldChar w:fldCharType="end"/>
    </w:r>
    <w:r>
      <w:rPr>
        <w:b/>
        <w:sz w:val="18"/>
      </w:rPr>
      <w:tab/>
    </w:r>
    <w:r>
      <w:t>GE.21-02226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C081" w14:textId="77777777" w:rsidR="006E34C4" w:rsidRPr="006E34C4" w:rsidRDefault="006E34C4" w:rsidP="006E34C4">
    <w:pPr>
      <w:pStyle w:val="Footer"/>
      <w:tabs>
        <w:tab w:val="right" w:pos="9638"/>
      </w:tabs>
      <w:rPr>
        <w:b/>
        <w:sz w:val="18"/>
      </w:rPr>
    </w:pPr>
    <w:r>
      <w:t>GE.21-02226</w:t>
    </w:r>
    <w:r>
      <w:tab/>
    </w:r>
    <w:r w:rsidRPr="006E34C4">
      <w:rPr>
        <w:b/>
        <w:sz w:val="18"/>
      </w:rPr>
      <w:fldChar w:fldCharType="begin"/>
    </w:r>
    <w:r w:rsidRPr="006E34C4">
      <w:rPr>
        <w:b/>
        <w:sz w:val="18"/>
      </w:rPr>
      <w:instrText xml:space="preserve"> PAGE  \* MERGEFORMAT </w:instrText>
    </w:r>
    <w:r w:rsidRPr="006E34C4">
      <w:rPr>
        <w:b/>
        <w:sz w:val="18"/>
      </w:rPr>
      <w:fldChar w:fldCharType="separate"/>
    </w:r>
    <w:r w:rsidRPr="006E34C4">
      <w:rPr>
        <w:b/>
        <w:noProof/>
        <w:sz w:val="18"/>
      </w:rPr>
      <w:t>3</w:t>
    </w:r>
    <w:r w:rsidRPr="006E34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B13C" w14:textId="77777777" w:rsidR="007F20FA" w:rsidRPr="006E34C4" w:rsidRDefault="006E34C4" w:rsidP="006E34C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ACB030" wp14:editId="17F005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21-02226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08D322" wp14:editId="6398AF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040321    050321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68F4" w14:textId="77777777" w:rsidR="00B3611E" w:rsidRPr="00BC3362" w:rsidRDefault="00CC3BDA" w:rsidP="00BC33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0CE214" wp14:editId="7C49E04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7D5940" w14:textId="77777777" w:rsidR="00B3611E" w:rsidRPr="00E54775" w:rsidRDefault="00CC3BDA" w:rsidP="00BC336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5477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5477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5477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E5477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53D5B7A1" w14:textId="77777777" w:rsidR="00B3611E" w:rsidRDefault="00E909F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02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pt;height:481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3611E" w:rsidRPr="00E54775" w:rsidRDefault="00CC3BDA" w:rsidP="00BC3362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54775">
                      <w:rPr>
                        <w:b/>
                        <w:sz w:val="18"/>
                      </w:rPr>
                      <w:fldChar w:fldCharType="begin"/>
                    </w:r>
                    <w:r w:rsidRPr="00E5477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5477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E5477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B3611E" w:rsidRDefault="00CC3BD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E28A" w14:textId="77777777" w:rsidR="00B3611E" w:rsidRPr="00BC3362" w:rsidRDefault="00CC3BDA" w:rsidP="00BC33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2EA4F1" wp14:editId="4D7A899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6FF3B0A" w14:textId="77777777" w:rsidR="00B3611E" w:rsidRPr="00E54775" w:rsidRDefault="00CC3BDA" w:rsidP="00BC336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E5477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5477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5477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E5477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8889AEA" w14:textId="77777777" w:rsidR="00B3611E" w:rsidRDefault="00E909F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2F0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3611E" w:rsidRPr="00E54775" w:rsidRDefault="00CC3BDA" w:rsidP="00BC3362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E54775">
                      <w:rPr>
                        <w:b/>
                        <w:sz w:val="18"/>
                      </w:rPr>
                      <w:fldChar w:fldCharType="begin"/>
                    </w:r>
                    <w:r w:rsidRPr="00E5477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5477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E54775">
                      <w:rPr>
                        <w:b/>
                        <w:sz w:val="18"/>
                      </w:rPr>
                      <w:fldChar w:fldCharType="end"/>
                    </w:r>
                  </w:p>
                  <w:p w:rsidR="00B3611E" w:rsidRDefault="00CC3BD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BED3" w14:textId="77777777" w:rsidR="00B32AB7" w:rsidRPr="00AC3823" w:rsidRDefault="00B32A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F50A84" w14:textId="77777777" w:rsidR="00B32AB7" w:rsidRPr="00AC3823" w:rsidRDefault="00B32A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AF891D" w14:textId="77777777" w:rsidR="00B32AB7" w:rsidRPr="00AC3823" w:rsidRDefault="00B32AB7">
      <w:pPr>
        <w:spacing w:line="240" w:lineRule="auto"/>
        <w:rPr>
          <w:sz w:val="2"/>
          <w:szCs w:val="2"/>
        </w:rPr>
      </w:pPr>
    </w:p>
  </w:footnote>
  <w:footnote w:id="2">
    <w:p w14:paraId="70FD501A" w14:textId="77777777" w:rsidR="006E34C4" w:rsidRPr="00AC0298" w:rsidRDefault="00AC0298" w:rsidP="00AC0298">
      <w:pPr>
        <w:pStyle w:val="FootnoteText"/>
      </w:pPr>
      <w:r>
        <w:rPr>
          <w:sz w:val="20"/>
        </w:rPr>
        <w:tab/>
      </w:r>
      <w:r w:rsidR="006E34C4" w:rsidRPr="00AC0298">
        <w:rPr>
          <w:rStyle w:val="FootnoteReference"/>
          <w:sz w:val="20"/>
          <w:vertAlign w:val="baseline"/>
        </w:rPr>
        <w:sym w:font="Symbol" w:char="F02A"/>
      </w:r>
      <w:r w:rsidR="006E34C4">
        <w:tab/>
      </w:r>
      <w:r w:rsidR="006E34C4" w:rsidRPr="003B34DC">
        <w:t>A/75/6 (Sect.20), par</w:t>
      </w:r>
      <w:r w:rsidR="006E34C4">
        <w:t>.</w:t>
      </w:r>
      <w:r w:rsidR="006E34C4" w:rsidRPr="003B34DC">
        <w:t xml:space="preserve">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76A1" w14:textId="77777777" w:rsidR="006E34C4" w:rsidRPr="006E34C4" w:rsidRDefault="00E909F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E34C4">
      <w:t>ECE/TRANS/WP.15/2021/5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909A" w14:textId="77777777" w:rsidR="006E34C4" w:rsidRPr="006E34C4" w:rsidRDefault="00E909F6" w:rsidP="006E34C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E34C4">
      <w:t>ECE/TRANS/WP.15/2021/5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9420" w14:textId="77777777" w:rsidR="00B3611E" w:rsidRPr="00BC3362" w:rsidRDefault="00CC3BDA" w:rsidP="00BC336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A3973B" wp14:editId="65ED9FF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C8FC3" w14:textId="77777777" w:rsidR="00B3611E" w:rsidRPr="00E54775" w:rsidRDefault="00CC3BDA" w:rsidP="00BC3362">
                          <w:pPr>
                            <w:pStyle w:val="Header"/>
                          </w:pPr>
                          <w:fldSimple w:instr=" TITLE  \* MERGEFORMAT ">
                            <w:r>
                              <w:t>ECE/TRANS/WP.15/2021/5</w:t>
                            </w:r>
                          </w:fldSimple>
                        </w:p>
                        <w:p w14:paraId="0EE4065B" w14:textId="77777777" w:rsidR="00B3611E" w:rsidRDefault="00E909F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9C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AuJ/7q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B3611E" w:rsidRPr="00E54775" w:rsidRDefault="00CC3BDA" w:rsidP="00BC3362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ECE/TRANS/WP.15/2021/5</w:t>
                    </w:r>
                    <w:r>
                      <w:fldChar w:fldCharType="end"/>
                    </w:r>
                  </w:p>
                  <w:p w:rsidR="00B3611E" w:rsidRDefault="00CC3BD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C6AD" w14:textId="77777777" w:rsidR="00B3611E" w:rsidRPr="00BC3362" w:rsidRDefault="00CC3BDA" w:rsidP="00BC3362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1F293D" wp14:editId="0E7DE6D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5A3181" w14:textId="77777777" w:rsidR="00B3611E" w:rsidRPr="00E54775" w:rsidRDefault="00CC3BDA" w:rsidP="00BC3362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ECE/TRANS/WP.15/2021/5</w:t>
                            </w:r>
                          </w:fldSimple>
                        </w:p>
                        <w:p w14:paraId="392A19D3" w14:textId="77777777" w:rsidR="00B3611E" w:rsidRDefault="00E909F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1C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GqFdYo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3611E" w:rsidRPr="00E54775" w:rsidRDefault="00CC3BDA" w:rsidP="00BC3362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ECE/TRANS/WP.15/2021/5</w:t>
                    </w:r>
                    <w:r>
                      <w:fldChar w:fldCharType="end"/>
                    </w:r>
                  </w:p>
                  <w:p w:rsidR="00B3611E" w:rsidRDefault="00CC3BD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B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01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E34C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0298"/>
    <w:rsid w:val="00AC3823"/>
    <w:rsid w:val="00AE323C"/>
    <w:rsid w:val="00AF0CB5"/>
    <w:rsid w:val="00B00181"/>
    <w:rsid w:val="00B00B0D"/>
    <w:rsid w:val="00B32AB7"/>
    <w:rsid w:val="00B45F2E"/>
    <w:rsid w:val="00B765F7"/>
    <w:rsid w:val="00B77993"/>
    <w:rsid w:val="00BA0CA9"/>
    <w:rsid w:val="00C02897"/>
    <w:rsid w:val="00C97039"/>
    <w:rsid w:val="00CC3BDA"/>
    <w:rsid w:val="00D3439C"/>
    <w:rsid w:val="00D7622E"/>
    <w:rsid w:val="00DB1831"/>
    <w:rsid w:val="00DD3BFD"/>
    <w:rsid w:val="00DF6678"/>
    <w:rsid w:val="00E0299A"/>
    <w:rsid w:val="00E85C74"/>
    <w:rsid w:val="00E909F6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92822"/>
  <w15:docId w15:val="{3DFDA26E-DFFC-4CAC-9CAE-E59A636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E34C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9CB7C-B5C0-4710-AA5A-112EE0E0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B3106-F0B2-48EA-A7CF-747CFD61F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DF4DF-8C0A-46B6-B457-A2BF96765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ECE/TRANS/WP.15/2021/5</vt:lpstr>
    </vt:vector>
  </TitlesOfParts>
  <Company>DCM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ECE/TRANS/WP.15/2021/5</dc:title>
  <dc:subject/>
  <dc:creator>Sandrine CLERE</dc:creator>
  <cp:keywords/>
  <cp:lastModifiedBy>Christine Barrio-Champeau</cp:lastModifiedBy>
  <cp:revision>2</cp:revision>
  <cp:lastPrinted>2014-05-14T10:59:00Z</cp:lastPrinted>
  <dcterms:created xsi:type="dcterms:W3CDTF">2021-03-05T16:14:00Z</dcterms:created>
  <dcterms:modified xsi:type="dcterms:W3CDTF">2021-03-05T16:14:00Z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