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F552CAA" w14:textId="77777777" w:rsidTr="00B20551">
        <w:trPr>
          <w:cantSplit/>
          <w:trHeight w:hRule="exact" w:val="851"/>
        </w:trPr>
        <w:tc>
          <w:tcPr>
            <w:tcW w:w="1276" w:type="dxa"/>
            <w:tcBorders>
              <w:bottom w:val="single" w:sz="4" w:space="0" w:color="auto"/>
            </w:tcBorders>
            <w:vAlign w:val="bottom"/>
          </w:tcPr>
          <w:p w14:paraId="266E7574" w14:textId="77777777" w:rsidR="009E6CB7" w:rsidRDefault="009E6CB7" w:rsidP="00B20551">
            <w:pPr>
              <w:spacing w:after="80"/>
            </w:pPr>
          </w:p>
        </w:tc>
        <w:tc>
          <w:tcPr>
            <w:tcW w:w="2268" w:type="dxa"/>
            <w:tcBorders>
              <w:bottom w:val="single" w:sz="4" w:space="0" w:color="auto"/>
            </w:tcBorders>
            <w:vAlign w:val="bottom"/>
          </w:tcPr>
          <w:p w14:paraId="769CBA6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5A8FF40" w14:textId="77777777" w:rsidR="009E6CB7" w:rsidRPr="00D47EEA" w:rsidRDefault="00DF015A" w:rsidP="00DF015A">
            <w:pPr>
              <w:jc w:val="right"/>
            </w:pPr>
            <w:r w:rsidRPr="00DF015A">
              <w:rPr>
                <w:sz w:val="40"/>
              </w:rPr>
              <w:t>ECE</w:t>
            </w:r>
            <w:r>
              <w:t>/TRANS/WP.15/2021/4</w:t>
            </w:r>
          </w:p>
        </w:tc>
      </w:tr>
      <w:tr w:rsidR="009E6CB7" w14:paraId="672E7E21" w14:textId="77777777" w:rsidTr="00B20551">
        <w:trPr>
          <w:cantSplit/>
          <w:trHeight w:hRule="exact" w:val="2835"/>
        </w:trPr>
        <w:tc>
          <w:tcPr>
            <w:tcW w:w="1276" w:type="dxa"/>
            <w:tcBorders>
              <w:top w:val="single" w:sz="4" w:space="0" w:color="auto"/>
              <w:bottom w:val="single" w:sz="12" w:space="0" w:color="auto"/>
            </w:tcBorders>
          </w:tcPr>
          <w:p w14:paraId="319F5DAF" w14:textId="77777777" w:rsidR="009E6CB7" w:rsidRDefault="00686A48" w:rsidP="00B20551">
            <w:pPr>
              <w:spacing w:before="120"/>
            </w:pPr>
            <w:r>
              <w:rPr>
                <w:noProof/>
                <w:lang w:val="fr-CH" w:eastAsia="fr-CH"/>
              </w:rPr>
              <w:drawing>
                <wp:inline distT="0" distB="0" distL="0" distR="0" wp14:anchorId="70E41A4D" wp14:editId="79D1ED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D9DA0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58DA451" w14:textId="77777777" w:rsidR="009E6CB7" w:rsidRDefault="00DF015A" w:rsidP="00DF015A">
            <w:pPr>
              <w:spacing w:before="240" w:line="240" w:lineRule="exact"/>
            </w:pPr>
            <w:r>
              <w:t>Distr.: General</w:t>
            </w:r>
          </w:p>
          <w:p w14:paraId="65E5A199" w14:textId="6022465B" w:rsidR="00DF015A" w:rsidRDefault="00543ADC" w:rsidP="00DF015A">
            <w:pPr>
              <w:spacing w:line="240" w:lineRule="exact"/>
            </w:pPr>
            <w:r>
              <w:t>8</w:t>
            </w:r>
            <w:bookmarkStart w:id="0" w:name="_GoBack"/>
            <w:bookmarkEnd w:id="0"/>
            <w:r w:rsidR="00DF015A">
              <w:t xml:space="preserve"> February 2021</w:t>
            </w:r>
          </w:p>
          <w:p w14:paraId="3575532F" w14:textId="77777777" w:rsidR="00DF015A" w:rsidRDefault="00DF015A" w:rsidP="00DF015A">
            <w:pPr>
              <w:spacing w:line="240" w:lineRule="exact"/>
            </w:pPr>
          </w:p>
          <w:p w14:paraId="7104FB6D" w14:textId="77777777" w:rsidR="00DF015A" w:rsidRDefault="00DF015A" w:rsidP="00DF015A">
            <w:pPr>
              <w:spacing w:line="240" w:lineRule="exact"/>
            </w:pPr>
            <w:r>
              <w:t>Original: English</w:t>
            </w:r>
          </w:p>
        </w:tc>
      </w:tr>
    </w:tbl>
    <w:p w14:paraId="346BFBDB" w14:textId="77777777" w:rsidR="00F90CC1" w:rsidRDefault="00F90CC1" w:rsidP="00C411EB">
      <w:pPr>
        <w:spacing w:before="120"/>
        <w:rPr>
          <w:b/>
          <w:sz w:val="28"/>
          <w:szCs w:val="28"/>
        </w:rPr>
      </w:pPr>
      <w:r>
        <w:rPr>
          <w:b/>
          <w:sz w:val="28"/>
          <w:szCs w:val="28"/>
        </w:rPr>
        <w:t>Economic Commission for Europe</w:t>
      </w:r>
    </w:p>
    <w:p w14:paraId="2DA9C7D2" w14:textId="77777777" w:rsidR="00F90CC1" w:rsidRDefault="00F90CC1" w:rsidP="00C411EB">
      <w:pPr>
        <w:spacing w:before="120"/>
        <w:rPr>
          <w:sz w:val="28"/>
          <w:szCs w:val="28"/>
        </w:rPr>
      </w:pPr>
      <w:r>
        <w:rPr>
          <w:sz w:val="28"/>
          <w:szCs w:val="28"/>
        </w:rPr>
        <w:t>Inland Transport Committee</w:t>
      </w:r>
    </w:p>
    <w:p w14:paraId="656383CD" w14:textId="77777777" w:rsidR="00F90CC1" w:rsidRPr="001330DE" w:rsidRDefault="00F90CC1" w:rsidP="00C411EB">
      <w:pPr>
        <w:spacing w:before="120"/>
        <w:rPr>
          <w:b/>
          <w:sz w:val="24"/>
          <w:szCs w:val="24"/>
        </w:rPr>
      </w:pPr>
      <w:r>
        <w:rPr>
          <w:b/>
          <w:sz w:val="24"/>
          <w:szCs w:val="24"/>
        </w:rPr>
        <w:t xml:space="preserve">Working Party on the Transport </w:t>
      </w:r>
      <w:r w:rsidRPr="001330DE">
        <w:rPr>
          <w:b/>
          <w:sz w:val="24"/>
          <w:szCs w:val="24"/>
        </w:rPr>
        <w:t>of Dangerous Goods</w:t>
      </w:r>
    </w:p>
    <w:p w14:paraId="0B8FBB02" w14:textId="77777777" w:rsidR="004C736E" w:rsidRDefault="004C736E" w:rsidP="004C736E">
      <w:pPr>
        <w:spacing w:before="120"/>
        <w:rPr>
          <w:b/>
        </w:rPr>
      </w:pPr>
      <w:r>
        <w:rPr>
          <w:b/>
        </w:rPr>
        <w:t>109th session</w:t>
      </w:r>
    </w:p>
    <w:p w14:paraId="2405F9EB" w14:textId="77777777" w:rsidR="004C736E" w:rsidRDefault="004C736E" w:rsidP="004C736E">
      <w:r>
        <w:t>Geneva, 3-7 May 2021</w:t>
      </w:r>
    </w:p>
    <w:p w14:paraId="14517D12" w14:textId="6430A3A7" w:rsidR="004C736E" w:rsidRPr="0079029A" w:rsidRDefault="004C736E" w:rsidP="004C736E">
      <w:pPr>
        <w:autoSpaceDE w:val="0"/>
        <w:autoSpaceDN w:val="0"/>
        <w:adjustRightInd w:val="0"/>
        <w:rPr>
          <w:b/>
          <w:bCs/>
        </w:rPr>
      </w:pPr>
      <w:r>
        <w:t xml:space="preserve">Item </w:t>
      </w:r>
      <w:r w:rsidR="009E601E">
        <w:t>8</w:t>
      </w:r>
      <w:r>
        <w:t xml:space="preserve"> of the provisional agenda</w:t>
      </w:r>
      <w:r>
        <w:br/>
      </w:r>
      <w:r w:rsidR="00CD7C24" w:rsidRPr="00CD7C24">
        <w:rPr>
          <w:b/>
          <w:bCs/>
        </w:rPr>
        <w:t>Any other business</w:t>
      </w:r>
    </w:p>
    <w:p w14:paraId="1537E712" w14:textId="01517615" w:rsidR="004C736E" w:rsidRPr="00A87535" w:rsidRDefault="004C736E" w:rsidP="004C736E">
      <w:pPr>
        <w:keepNext/>
        <w:keepLines/>
        <w:tabs>
          <w:tab w:val="right" w:pos="851"/>
        </w:tabs>
        <w:spacing w:before="360" w:after="240" w:line="300" w:lineRule="exact"/>
        <w:ind w:left="1134" w:right="1134" w:hanging="1134"/>
        <w:rPr>
          <w:b/>
          <w:sz w:val="28"/>
          <w:lang w:eastAsia="en-US"/>
        </w:rPr>
      </w:pPr>
      <w:r w:rsidRPr="00A87535">
        <w:rPr>
          <w:b/>
          <w:sz w:val="28"/>
          <w:lang w:eastAsia="en-US"/>
        </w:rPr>
        <w:tab/>
      </w:r>
      <w:r w:rsidRPr="00A87535">
        <w:rPr>
          <w:b/>
          <w:sz w:val="28"/>
          <w:lang w:eastAsia="en-US"/>
        </w:rPr>
        <w:tab/>
      </w:r>
      <w:r w:rsidR="004354C6">
        <w:rPr>
          <w:b/>
          <w:sz w:val="28"/>
          <w:lang w:eastAsia="en-US"/>
        </w:rPr>
        <w:t>M</w:t>
      </w:r>
      <w:r w:rsidR="004354C6" w:rsidRPr="004354C6">
        <w:rPr>
          <w:b/>
          <w:sz w:val="28"/>
          <w:lang w:eastAsia="en-US"/>
        </w:rPr>
        <w:t>ethodology and systems used for the assignment of tunnel codes</w:t>
      </w:r>
      <w:r w:rsidR="004354C6">
        <w:rPr>
          <w:b/>
          <w:sz w:val="28"/>
          <w:lang w:eastAsia="en-US"/>
        </w:rPr>
        <w:t xml:space="preserve"> for Class 7 goods and </w:t>
      </w:r>
      <w:r w:rsidR="00D0039D">
        <w:rPr>
          <w:b/>
          <w:sz w:val="28"/>
          <w:lang w:eastAsia="en-US"/>
        </w:rPr>
        <w:t>for the assignment of code “(-)”</w:t>
      </w:r>
    </w:p>
    <w:p w14:paraId="1CA8549D" w14:textId="77777777" w:rsidR="004C736E" w:rsidRPr="00C22823" w:rsidRDefault="004C736E" w:rsidP="004C736E">
      <w:pPr>
        <w:tabs>
          <w:tab w:val="right" w:pos="851"/>
        </w:tabs>
        <w:spacing w:before="360" w:after="240" w:line="270" w:lineRule="exact"/>
        <w:ind w:left="1134" w:right="1134" w:hanging="1134"/>
        <w:rPr>
          <w:b/>
          <w:sz w:val="24"/>
        </w:rPr>
      </w:pPr>
      <w:r w:rsidRPr="00C22823">
        <w:tab/>
      </w:r>
      <w:r w:rsidRPr="00C22823">
        <w:tab/>
      </w:r>
      <w:r w:rsidRPr="00C22823">
        <w:rPr>
          <w:b/>
          <w:sz w:val="24"/>
        </w:rPr>
        <w:t>Note by the secretariat</w:t>
      </w:r>
      <w:r w:rsidRPr="00C22823">
        <w:rPr>
          <w:b/>
          <w:vertAlign w:val="superscript"/>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F121C" w14:paraId="62B15017" w14:textId="77777777" w:rsidTr="00371F4F">
        <w:trPr>
          <w:jc w:val="center"/>
        </w:trPr>
        <w:tc>
          <w:tcPr>
            <w:tcW w:w="9629" w:type="dxa"/>
            <w:shd w:val="clear" w:color="auto" w:fill="auto"/>
          </w:tcPr>
          <w:p w14:paraId="6989B352" w14:textId="77777777" w:rsidR="000F121C" w:rsidRPr="00C6263E" w:rsidRDefault="000F121C" w:rsidP="006E5E26">
            <w:pPr>
              <w:spacing w:before="240" w:after="120"/>
              <w:ind w:left="255"/>
              <w:rPr>
                <w:i/>
                <w:sz w:val="24"/>
              </w:rPr>
            </w:pPr>
            <w:r w:rsidRPr="00C6263E">
              <w:rPr>
                <w:i/>
                <w:sz w:val="24"/>
              </w:rPr>
              <w:t>Summary</w:t>
            </w:r>
          </w:p>
        </w:tc>
      </w:tr>
      <w:tr w:rsidR="00371F4F" w14:paraId="463556D2" w14:textId="77777777" w:rsidTr="00371F4F">
        <w:tblPrEx>
          <w:tblBorders>
            <w:insideH w:val="single" w:sz="4" w:space="0" w:color="auto"/>
          </w:tblBorders>
        </w:tblPrEx>
        <w:trPr>
          <w:jc w:val="center"/>
        </w:trPr>
        <w:tc>
          <w:tcPr>
            <w:tcW w:w="9629" w:type="dxa"/>
            <w:tcBorders>
              <w:top w:val="nil"/>
              <w:bottom w:val="nil"/>
            </w:tcBorders>
            <w:shd w:val="clear" w:color="auto" w:fill="auto"/>
          </w:tcPr>
          <w:p w14:paraId="68CE1CD7" w14:textId="5B603AD8" w:rsidR="00371F4F" w:rsidRPr="0073384B" w:rsidRDefault="00371F4F" w:rsidP="00EF34DD">
            <w:pPr>
              <w:pStyle w:val="SingleTxtG"/>
              <w:spacing w:after="60"/>
              <w:ind w:left="3402" w:hanging="2268"/>
              <w:rPr>
                <w:szCs w:val="22"/>
              </w:rPr>
            </w:pPr>
            <w:r>
              <w:rPr>
                <w:b/>
                <w:szCs w:val="22"/>
              </w:rPr>
              <w:t>Executive s</w:t>
            </w:r>
            <w:r w:rsidRPr="004F0D24">
              <w:rPr>
                <w:b/>
                <w:szCs w:val="22"/>
              </w:rPr>
              <w:t>ummary</w:t>
            </w:r>
            <w:r>
              <w:rPr>
                <w:szCs w:val="22"/>
              </w:rPr>
              <w:t>:</w:t>
            </w:r>
            <w:r>
              <w:rPr>
                <w:szCs w:val="22"/>
              </w:rPr>
              <w:tab/>
            </w:r>
            <w:r w:rsidR="00C4593E">
              <w:t xml:space="preserve">This document recalls the history of the allocation of tunnel restriction codes for class 7 goods and </w:t>
            </w:r>
            <w:r w:rsidR="00C4593E" w:rsidRPr="00C4593E">
              <w:t xml:space="preserve">summarizes </w:t>
            </w:r>
            <w:r w:rsidR="00C4593E">
              <w:t>the principles adopted for the allocation of code “(-)”.</w:t>
            </w:r>
          </w:p>
        </w:tc>
      </w:tr>
      <w:tr w:rsidR="00371F4F" w14:paraId="393D2D95" w14:textId="77777777" w:rsidTr="00371F4F">
        <w:tblPrEx>
          <w:tblBorders>
            <w:insideH w:val="single" w:sz="4" w:space="0" w:color="auto"/>
          </w:tblBorders>
        </w:tblPrEx>
        <w:trPr>
          <w:jc w:val="center"/>
        </w:trPr>
        <w:tc>
          <w:tcPr>
            <w:tcW w:w="9629" w:type="dxa"/>
            <w:tcBorders>
              <w:top w:val="nil"/>
              <w:bottom w:val="nil"/>
            </w:tcBorders>
            <w:shd w:val="clear" w:color="auto" w:fill="auto"/>
          </w:tcPr>
          <w:p w14:paraId="075093A7" w14:textId="73B0DF45" w:rsidR="00371F4F" w:rsidRDefault="00371F4F" w:rsidP="00B763F5">
            <w:pPr>
              <w:pStyle w:val="SingleTxtG"/>
              <w:spacing w:after="60"/>
              <w:ind w:left="3402" w:hanging="2268"/>
            </w:pPr>
            <w:r w:rsidRPr="004F0D24">
              <w:rPr>
                <w:b/>
                <w:szCs w:val="22"/>
              </w:rPr>
              <w:t>Action</w:t>
            </w:r>
            <w:r>
              <w:rPr>
                <w:b/>
                <w:szCs w:val="22"/>
              </w:rPr>
              <w:t xml:space="preserve"> </w:t>
            </w:r>
            <w:r w:rsidRPr="004F0D24">
              <w:rPr>
                <w:b/>
                <w:szCs w:val="22"/>
              </w:rPr>
              <w:t>to</w:t>
            </w:r>
            <w:r>
              <w:rPr>
                <w:b/>
                <w:szCs w:val="22"/>
              </w:rPr>
              <w:t xml:space="preserve"> </w:t>
            </w:r>
            <w:r w:rsidRPr="004F0D24">
              <w:rPr>
                <w:b/>
                <w:szCs w:val="22"/>
              </w:rPr>
              <w:t>be</w:t>
            </w:r>
            <w:r>
              <w:rPr>
                <w:b/>
                <w:szCs w:val="22"/>
              </w:rPr>
              <w:t xml:space="preserve"> </w:t>
            </w:r>
            <w:r w:rsidRPr="004F0D24">
              <w:rPr>
                <w:b/>
                <w:szCs w:val="22"/>
              </w:rPr>
              <w:t>taken</w:t>
            </w:r>
            <w:r>
              <w:rPr>
                <w:szCs w:val="22"/>
              </w:rPr>
              <w:t>:</w:t>
            </w:r>
            <w:r>
              <w:rPr>
                <w:szCs w:val="22"/>
              </w:rPr>
              <w:tab/>
            </w:r>
            <w:r w:rsidR="0020240B">
              <w:rPr>
                <w:szCs w:val="22"/>
              </w:rPr>
              <w:t xml:space="preserve">The Working Party </w:t>
            </w:r>
            <w:r w:rsidR="004B4425">
              <w:rPr>
                <w:szCs w:val="22"/>
              </w:rPr>
              <w:t xml:space="preserve">may wish to note </w:t>
            </w:r>
            <w:r w:rsidR="00F36106">
              <w:rPr>
                <w:szCs w:val="22"/>
              </w:rPr>
              <w:t>this</w:t>
            </w:r>
            <w:r w:rsidR="004B4425">
              <w:rPr>
                <w:szCs w:val="22"/>
              </w:rPr>
              <w:t xml:space="preserve"> </w:t>
            </w:r>
            <w:r w:rsidR="0038516A" w:rsidRPr="0038516A">
              <w:rPr>
                <w:szCs w:val="22"/>
              </w:rPr>
              <w:t xml:space="preserve">information </w:t>
            </w:r>
            <w:r w:rsidR="00F36106">
              <w:rPr>
                <w:szCs w:val="22"/>
              </w:rPr>
              <w:t xml:space="preserve">and use it for further discussions on the </w:t>
            </w:r>
            <w:r w:rsidR="00D26E43">
              <w:t>assignment of tunnel codes.</w:t>
            </w:r>
          </w:p>
        </w:tc>
      </w:tr>
      <w:tr w:rsidR="000F121C" w14:paraId="740DB39D" w14:textId="77777777" w:rsidTr="00371F4F">
        <w:trPr>
          <w:jc w:val="center"/>
        </w:trPr>
        <w:tc>
          <w:tcPr>
            <w:tcW w:w="9629" w:type="dxa"/>
            <w:shd w:val="clear" w:color="auto" w:fill="auto"/>
          </w:tcPr>
          <w:p w14:paraId="79AED88A" w14:textId="369DF049" w:rsidR="000F121C" w:rsidRDefault="006A5D98" w:rsidP="00B50586">
            <w:pPr>
              <w:pStyle w:val="SingleTxtG"/>
              <w:ind w:left="3402" w:hanging="2268"/>
            </w:pPr>
            <w:r w:rsidRPr="006A5D98">
              <w:rPr>
                <w:b/>
                <w:bCs/>
              </w:rPr>
              <w:t>Reference documents:</w:t>
            </w:r>
            <w:r>
              <w:t xml:space="preserve"> </w:t>
            </w:r>
            <w:r w:rsidR="00B50586">
              <w:rPr>
                <w:szCs w:val="22"/>
              </w:rPr>
              <w:tab/>
            </w:r>
            <w:r w:rsidR="005A0654">
              <w:t>Seventy-third</w:t>
            </w:r>
            <w:r w:rsidR="00903233">
              <w:t xml:space="preserve"> session </w:t>
            </w:r>
            <w:r w:rsidR="00602572">
              <w:t xml:space="preserve">of the Working Party </w:t>
            </w:r>
            <w:r w:rsidR="00A1264F">
              <w:t>(November 2012)</w:t>
            </w:r>
            <w:r w:rsidR="00A460F0">
              <w:t xml:space="preserve">: </w:t>
            </w:r>
            <w:r w:rsidR="00D15164">
              <w:t>r</w:t>
            </w:r>
            <w:r w:rsidR="00903233">
              <w:t>eport</w:t>
            </w:r>
            <w:r w:rsidR="00A460F0">
              <w:t xml:space="preserve"> TRANS/WP.15/172 and document </w:t>
            </w:r>
            <w:r w:rsidR="00A460F0" w:rsidRPr="00A460F0">
              <w:t>TRANS/WP.15/2002/21</w:t>
            </w:r>
            <w:r w:rsidR="00A460F0">
              <w:t>;</w:t>
            </w:r>
          </w:p>
          <w:p w14:paraId="45444C81" w14:textId="347170AE" w:rsidR="00A460F0" w:rsidRDefault="00241AD0" w:rsidP="00A460F0">
            <w:pPr>
              <w:pStyle w:val="SingleTxtG"/>
              <w:ind w:left="3402"/>
            </w:pPr>
            <w:r>
              <w:t xml:space="preserve">Seventy-fourth </w:t>
            </w:r>
            <w:r w:rsidR="00D46193" w:rsidRPr="00D46193">
              <w:t>session of the Working Party</w:t>
            </w:r>
            <w:r w:rsidR="00152334">
              <w:t xml:space="preserve"> (May 2003)</w:t>
            </w:r>
            <w:r w:rsidR="00D46193">
              <w:t xml:space="preserve">: </w:t>
            </w:r>
            <w:r w:rsidR="00257DC5">
              <w:t xml:space="preserve">report </w:t>
            </w:r>
            <w:r w:rsidR="006F3033" w:rsidRPr="006F3033">
              <w:t>TRANS/WP.15/</w:t>
            </w:r>
            <w:r w:rsidR="00431182">
              <w:t>174</w:t>
            </w:r>
            <w:r w:rsidR="006F3033" w:rsidRPr="006F3033">
              <w:t xml:space="preserve"> </w:t>
            </w:r>
            <w:r w:rsidR="006F3033">
              <w:t xml:space="preserve">and </w:t>
            </w:r>
            <w:r w:rsidR="00D46193">
              <w:t>informal document INF.15</w:t>
            </w:r>
            <w:r w:rsidR="00F65184">
              <w:t>;</w:t>
            </w:r>
          </w:p>
          <w:p w14:paraId="2A10D845" w14:textId="0FC0CEB9" w:rsidR="008363DC" w:rsidRDefault="00DE2271" w:rsidP="008363DC">
            <w:pPr>
              <w:pStyle w:val="SingleTxtG"/>
              <w:ind w:left="3402"/>
            </w:pPr>
            <w:r>
              <w:t>S</w:t>
            </w:r>
            <w:r w:rsidR="00242F57">
              <w:t xml:space="preserve">eventy-sixth </w:t>
            </w:r>
            <w:r w:rsidR="008363DC" w:rsidRPr="00D46193">
              <w:t>session of the Working Party</w:t>
            </w:r>
            <w:r w:rsidR="00677EA1">
              <w:t xml:space="preserve"> (October 2004)</w:t>
            </w:r>
            <w:r w:rsidR="008363DC">
              <w:t xml:space="preserve">: </w:t>
            </w:r>
            <w:r>
              <w:t>r</w:t>
            </w:r>
            <w:r w:rsidR="00677EA1">
              <w:t xml:space="preserve">eport </w:t>
            </w:r>
            <w:r w:rsidR="00677EA1" w:rsidRPr="00677EA1">
              <w:t>TRANS/WP.15/179</w:t>
            </w:r>
            <w:r>
              <w:t xml:space="preserve"> and </w:t>
            </w:r>
            <w:r w:rsidR="00677EA1" w:rsidRPr="00677EA1">
              <w:t>Add.1</w:t>
            </w:r>
            <w:r>
              <w:t xml:space="preserve">, </w:t>
            </w:r>
            <w:r w:rsidR="008363DC">
              <w:t>informal document INF.9</w:t>
            </w:r>
            <w:r>
              <w:t>;</w:t>
            </w:r>
          </w:p>
          <w:p w14:paraId="1F10E72E" w14:textId="41593410" w:rsidR="00EB4210" w:rsidRDefault="000D1A6A" w:rsidP="00EB4210">
            <w:pPr>
              <w:pStyle w:val="SingleTxtG"/>
              <w:ind w:left="3402"/>
            </w:pPr>
            <w:r>
              <w:t>Eightieth</w:t>
            </w:r>
            <w:r w:rsidR="00EB4210">
              <w:t xml:space="preserve"> </w:t>
            </w:r>
            <w:r w:rsidR="00EB4210" w:rsidRPr="00D46193">
              <w:t>session of the Working Party</w:t>
            </w:r>
            <w:r>
              <w:t xml:space="preserve"> (May 2006)</w:t>
            </w:r>
            <w:r w:rsidR="00EB4210">
              <w:t xml:space="preserve">: </w:t>
            </w:r>
            <w:r w:rsidR="00D15164">
              <w:t xml:space="preserve">report ECE/TRANS/WP.15/188 and </w:t>
            </w:r>
            <w:r w:rsidR="00EB4210">
              <w:t>informal document INF.7</w:t>
            </w:r>
            <w:r w:rsidR="002024EA">
              <w:t>;</w:t>
            </w:r>
          </w:p>
          <w:p w14:paraId="208221A6" w14:textId="77777777" w:rsidR="00D46193" w:rsidRDefault="002024EA" w:rsidP="002024EA">
            <w:pPr>
              <w:pStyle w:val="SingleTxtG"/>
              <w:ind w:left="3402"/>
            </w:pPr>
            <w:r>
              <w:t>N</w:t>
            </w:r>
            <w:r w:rsidRPr="00164021">
              <w:t>inety-</w:t>
            </w:r>
            <w:r>
              <w:t>eighth</w:t>
            </w:r>
            <w:r w:rsidRPr="00164021">
              <w:t xml:space="preserve"> session </w:t>
            </w:r>
            <w:r w:rsidRPr="00D46193">
              <w:t>of the Working Party</w:t>
            </w:r>
            <w:r>
              <w:t xml:space="preserve"> (May 2015): r</w:t>
            </w:r>
            <w:r w:rsidR="00EA4560">
              <w:t>eport ECE/TRANS/WP.15/228 and documents ECE/TRANS/WP.15/2015/2 and ECE/TRANS/WP.15/2015/5</w:t>
            </w:r>
            <w:r>
              <w:t>.</w:t>
            </w:r>
          </w:p>
          <w:p w14:paraId="475A737F" w14:textId="24B7A005" w:rsidR="00B50586" w:rsidRDefault="00B50586" w:rsidP="00B50586">
            <w:pPr>
              <w:pStyle w:val="SingleTxtG"/>
              <w:ind w:left="3402" w:hanging="2268"/>
            </w:pPr>
            <w:r w:rsidRPr="006A5D98">
              <w:tab/>
            </w:r>
            <w:r>
              <w:t>108th session of the Working Party (November 2020): report ECE/TRANS/WP.15/251.</w:t>
            </w:r>
          </w:p>
        </w:tc>
      </w:tr>
      <w:tr w:rsidR="000F121C" w14:paraId="29E387A4" w14:textId="77777777" w:rsidTr="00371F4F">
        <w:trPr>
          <w:jc w:val="center"/>
        </w:trPr>
        <w:tc>
          <w:tcPr>
            <w:tcW w:w="9629" w:type="dxa"/>
            <w:shd w:val="clear" w:color="auto" w:fill="auto"/>
          </w:tcPr>
          <w:p w14:paraId="4CB07E21" w14:textId="77777777" w:rsidR="000F121C" w:rsidRDefault="000F121C" w:rsidP="006E5E26"/>
        </w:tc>
      </w:tr>
    </w:tbl>
    <w:p w14:paraId="7862522D" w14:textId="2AC81A26" w:rsidR="00F90CC1" w:rsidRDefault="00F90CC1" w:rsidP="000F121C"/>
    <w:p w14:paraId="4FC4160D" w14:textId="14AF8C80" w:rsidR="00A809F7" w:rsidRDefault="00A809F7" w:rsidP="00A809F7">
      <w:pPr>
        <w:pStyle w:val="HChG"/>
      </w:pPr>
      <w:r>
        <w:lastRenderedPageBreak/>
        <w:tab/>
      </w:r>
      <w:r>
        <w:tab/>
        <w:t>Introduction</w:t>
      </w:r>
    </w:p>
    <w:p w14:paraId="0CF300E4" w14:textId="4FB0B24E" w:rsidR="004741A0" w:rsidRDefault="00DF19B0" w:rsidP="004741A0">
      <w:pPr>
        <w:pStyle w:val="SingleTxtG"/>
      </w:pPr>
      <w:r>
        <w:t>1.</w:t>
      </w:r>
      <w:r>
        <w:tab/>
        <w:t>At its 108</w:t>
      </w:r>
      <w:r w:rsidRPr="00E211FB">
        <w:t>th</w:t>
      </w:r>
      <w:r>
        <w:t xml:space="preserve"> session, the Working Party </w:t>
      </w:r>
      <w:r w:rsidR="00E211FB" w:rsidRPr="00E211FB">
        <w:t xml:space="preserve">requested the secretariat to seek information on the methodology and systems used for the assignment of tunnel codes to </w:t>
      </w:r>
      <w:r w:rsidR="004D6FEC">
        <w:t xml:space="preserve">Class 7 </w:t>
      </w:r>
      <w:r w:rsidR="00E211FB" w:rsidRPr="00E211FB">
        <w:t xml:space="preserve">goods </w:t>
      </w:r>
      <w:r w:rsidR="0016585E">
        <w:t>and to goods for which code “(-)” has been a</w:t>
      </w:r>
      <w:r w:rsidR="004A76EB">
        <w:t xml:space="preserve">ssigned. See </w:t>
      </w:r>
      <w:r w:rsidR="004A76EB" w:rsidRPr="004A76EB">
        <w:t>ECE/TRANS/WP.15/251</w:t>
      </w:r>
      <w:r w:rsidR="004A76EB">
        <w:t>, § 31.</w:t>
      </w:r>
    </w:p>
    <w:p w14:paraId="6175E2CC" w14:textId="286567A9" w:rsidR="004741A0" w:rsidRDefault="007C43F4" w:rsidP="004741A0">
      <w:pPr>
        <w:pStyle w:val="SingleTxtG"/>
      </w:pPr>
      <w:r>
        <w:t>2.</w:t>
      </w:r>
      <w:r>
        <w:tab/>
      </w:r>
      <w:r w:rsidR="002240B6">
        <w:t>In this respect, t</w:t>
      </w:r>
      <w:r>
        <w:t xml:space="preserve">he secretariat gathered the following information from reports and secretariat </w:t>
      </w:r>
      <w:r w:rsidR="0094759A">
        <w:t xml:space="preserve">notes </w:t>
      </w:r>
      <w:r>
        <w:t>on previous sessions of the Working Party.</w:t>
      </w:r>
    </w:p>
    <w:p w14:paraId="7D2B3D67" w14:textId="319FCE04" w:rsidR="001A420B" w:rsidRDefault="001A420B" w:rsidP="001A420B">
      <w:pPr>
        <w:pStyle w:val="HChG"/>
      </w:pPr>
      <w:r>
        <w:tab/>
      </w:r>
      <w:r>
        <w:tab/>
      </w:r>
      <w:r w:rsidR="00F80510">
        <w:t>Tunnel restriction codes for Class 7 goods</w:t>
      </w:r>
    </w:p>
    <w:p w14:paraId="734DB56D" w14:textId="77777777" w:rsidR="00526522" w:rsidRDefault="00F80510" w:rsidP="001A420B">
      <w:pPr>
        <w:pStyle w:val="SingleTxtG"/>
      </w:pPr>
      <w:r>
        <w:t>3.</w:t>
      </w:r>
      <w:r>
        <w:tab/>
        <w:t xml:space="preserve">At the beginning of </w:t>
      </w:r>
      <w:r w:rsidR="008A42EA">
        <w:t>its</w:t>
      </w:r>
      <w:r>
        <w:t xml:space="preserve"> work </w:t>
      </w:r>
      <w:r w:rsidR="008A42EA">
        <w:t>on safety in road tunnels, t</w:t>
      </w:r>
      <w:r w:rsidR="004741A0">
        <w:t xml:space="preserve">he Working Party agreed to </w:t>
      </w:r>
      <w:r w:rsidR="008B7104">
        <w:t>use as a basis the w</w:t>
      </w:r>
      <w:r w:rsidR="004741A0">
        <w:t xml:space="preserve">ork of the </w:t>
      </w:r>
      <w:r w:rsidR="0049362B" w:rsidRPr="0049362B">
        <w:t xml:space="preserve">Organisation for Economic Co-operation and Development </w:t>
      </w:r>
      <w:r w:rsidR="0049362B">
        <w:t>(</w:t>
      </w:r>
      <w:r w:rsidR="004741A0">
        <w:t>OECD</w:t>
      </w:r>
      <w:r w:rsidR="0049362B">
        <w:t>)</w:t>
      </w:r>
      <w:r w:rsidR="004741A0">
        <w:t xml:space="preserve"> and the Permanent International Association of Road Congresses (PIARC) concerning the carriage of dangerous goods in tunnels</w:t>
      </w:r>
      <w:r w:rsidR="0049362B">
        <w:t xml:space="preserve">. </w:t>
      </w:r>
      <w:r w:rsidR="00442BFA">
        <w:t>This study defined g</w:t>
      </w:r>
      <w:r w:rsidR="004741A0">
        <w:t xml:space="preserve">roups of cargoes of </w:t>
      </w:r>
      <w:r w:rsidR="00442BFA">
        <w:t>dangerous goods</w:t>
      </w:r>
      <w:r w:rsidR="004741A0">
        <w:t xml:space="preserve"> for the purpose of restricting traffic in road tunnels based on three principal hazards (explosion, leaks of toxic gases and fire). In this study, it was proposed to allow in Grouping C </w:t>
      </w:r>
      <w:r w:rsidR="00526522">
        <w:t>“</w:t>
      </w:r>
      <w:r w:rsidR="004741A0">
        <w:t>All dangerous goods except those with very large explosion, large</w:t>
      </w:r>
      <w:r w:rsidR="001A420B">
        <w:t xml:space="preserve"> </w:t>
      </w:r>
      <w:r w:rsidR="004741A0">
        <w:t>release of toxic gas or liquid or risk of cold BLEVE hazard.</w:t>
      </w:r>
      <w:r w:rsidR="00526522">
        <w:t>”</w:t>
      </w:r>
      <w:r w:rsidR="004741A0">
        <w:t xml:space="preserve"> and in grouping D </w:t>
      </w:r>
      <w:r w:rsidR="00526522">
        <w:t>“</w:t>
      </w:r>
      <w:r w:rsidR="004741A0">
        <w:t>All dangerous goods except those with very large explosion, large release of toxic gas or liquid or risk of cold BLEVE and large fire hazard.</w:t>
      </w:r>
      <w:r w:rsidR="00526522">
        <w:t>”</w:t>
      </w:r>
      <w:r w:rsidR="004741A0">
        <w:t xml:space="preserve">. </w:t>
      </w:r>
    </w:p>
    <w:p w14:paraId="1B327F8F" w14:textId="2DC1069E" w:rsidR="004741A0" w:rsidRDefault="00526522" w:rsidP="001A420B">
      <w:pPr>
        <w:pStyle w:val="SingleTxtG"/>
      </w:pPr>
      <w:r>
        <w:t>4.</w:t>
      </w:r>
      <w:r>
        <w:tab/>
      </w:r>
      <w:r w:rsidR="004741A0">
        <w:t>For Class 7, the study indicated that all goods of Class 7</w:t>
      </w:r>
      <w:r>
        <w:t>,</w:t>
      </w:r>
      <w:r w:rsidR="004741A0">
        <w:t xml:space="preserve"> except UN 2977 and 2978</w:t>
      </w:r>
      <w:r>
        <w:t>,</w:t>
      </w:r>
      <w:r w:rsidR="004741A0">
        <w:t xml:space="preserve"> could be permitted</w:t>
      </w:r>
      <w:r>
        <w:t xml:space="preserve"> in road tunnels</w:t>
      </w:r>
      <w:r w:rsidR="004741A0">
        <w:t>.</w:t>
      </w:r>
    </w:p>
    <w:p w14:paraId="6C72BF85" w14:textId="12AE7CD3" w:rsidR="004741A0" w:rsidRDefault="00395244" w:rsidP="00395244">
      <w:pPr>
        <w:pStyle w:val="SingleTxtG"/>
      </w:pPr>
      <w:r>
        <w:t>5.</w:t>
      </w:r>
      <w:r>
        <w:tab/>
      </w:r>
      <w:r w:rsidR="004741A0">
        <w:t xml:space="preserve">At the </w:t>
      </w:r>
      <w:r>
        <w:t>s</w:t>
      </w:r>
      <w:r w:rsidRPr="00395244">
        <w:t>eventy-third session</w:t>
      </w:r>
      <w:r w:rsidR="004741A0">
        <w:t xml:space="preserve"> (</w:t>
      </w:r>
      <w:r>
        <w:t xml:space="preserve">see </w:t>
      </w:r>
      <w:r w:rsidR="004741A0">
        <w:t xml:space="preserve">TRANS/WP.15/172) an informal working group was initiated under the hospices of Austria. One of the mandate was to define in greater depth the substances and types of loads to be included in each group taking into account the criteria for the definition of groups of cargoes of </w:t>
      </w:r>
      <w:r>
        <w:t>dangerous goods</w:t>
      </w:r>
      <w:r w:rsidR="004741A0">
        <w:t xml:space="preserve"> for the purpose of restricting traffic in road tunnels based on three principal hazards (explosion, leaks of toxic gases and fire) presented in the OECD and PIARC study. OECD/PIARC groupings can be found in TRANS/WP.15/2002/21.</w:t>
      </w:r>
    </w:p>
    <w:p w14:paraId="32CEE362" w14:textId="6BE24EC6" w:rsidR="004741A0" w:rsidRDefault="00BA3839" w:rsidP="00BA3839">
      <w:pPr>
        <w:pStyle w:val="SingleTxtG"/>
      </w:pPr>
      <w:r>
        <w:t>6.</w:t>
      </w:r>
      <w:r>
        <w:tab/>
      </w:r>
      <w:r w:rsidR="004741A0">
        <w:t>In the report of the informal working group (</w:t>
      </w:r>
      <w:r w:rsidR="001436C7">
        <w:t>informal document</w:t>
      </w:r>
      <w:r w:rsidR="000B4F0B">
        <w:t xml:space="preserve"> </w:t>
      </w:r>
      <w:r w:rsidR="004741A0">
        <w:t xml:space="preserve">INF.15 of the </w:t>
      </w:r>
      <w:r w:rsidR="000B4F0B">
        <w:t>s</w:t>
      </w:r>
      <w:r w:rsidR="000B4F0B" w:rsidRPr="000B4F0B">
        <w:t xml:space="preserve">eventy-fourth </w:t>
      </w:r>
      <w:r w:rsidR="004741A0">
        <w:t xml:space="preserve">session), the grouping proposed for Class 7 follows the recommendations in the OECD/PIARC study </w:t>
      </w:r>
      <w:r w:rsidR="009521DB">
        <w:t>i.e.</w:t>
      </w:r>
      <w:r w:rsidR="004741A0">
        <w:t>:</w:t>
      </w:r>
    </w:p>
    <w:p w14:paraId="02034E72" w14:textId="77777777" w:rsidR="009521DB" w:rsidRDefault="004741A0" w:rsidP="0033689C">
      <w:pPr>
        <w:pStyle w:val="Bullet1G"/>
      </w:pPr>
      <w:r>
        <w:t>Restrictions in tunnel Category C for UN 2977 and 2978 only</w:t>
      </w:r>
      <w:r w:rsidR="009521DB">
        <w:t>;</w:t>
      </w:r>
    </w:p>
    <w:p w14:paraId="4E422D9C" w14:textId="77777777" w:rsidR="009521DB" w:rsidRDefault="009521DB" w:rsidP="0033689C">
      <w:pPr>
        <w:pStyle w:val="Bullet1G"/>
      </w:pPr>
      <w:r>
        <w:t>R</w:t>
      </w:r>
      <w:r w:rsidR="004741A0">
        <w:t>estriction in tunnels Category D for loadings of UN 2977 and 2978</w:t>
      </w:r>
      <w:r>
        <w:t xml:space="preserve">; </w:t>
      </w:r>
    </w:p>
    <w:p w14:paraId="05628FEE" w14:textId="269168F3" w:rsidR="004741A0" w:rsidRDefault="004741A0" w:rsidP="0033689C">
      <w:pPr>
        <w:pStyle w:val="Bullet1G"/>
      </w:pPr>
      <w:r>
        <w:t xml:space="preserve">All other Class 7 goods placed in Category E by default since group E included </w:t>
      </w:r>
      <w:r w:rsidR="0033689C">
        <w:t>dangerous</w:t>
      </w:r>
      <w:r>
        <w:t xml:space="preserve"> </w:t>
      </w:r>
      <w:r w:rsidR="0033689C">
        <w:t xml:space="preserve">goods </w:t>
      </w:r>
      <w:r>
        <w:t>other than those classified in A-D.</w:t>
      </w:r>
    </w:p>
    <w:p w14:paraId="59A82BCC" w14:textId="11D58177" w:rsidR="004741A0" w:rsidRDefault="0033689C" w:rsidP="004741A0">
      <w:pPr>
        <w:pStyle w:val="SingleTxtG"/>
      </w:pPr>
      <w:r>
        <w:t>7.</w:t>
      </w:r>
      <w:r>
        <w:tab/>
      </w:r>
      <w:r w:rsidR="004741A0">
        <w:t xml:space="preserve">In </w:t>
      </w:r>
      <w:r>
        <w:t xml:space="preserve">informal document </w:t>
      </w:r>
      <w:r w:rsidR="004741A0">
        <w:t xml:space="preserve">INF.9 of the </w:t>
      </w:r>
      <w:r>
        <w:t>seventy-sixth</w:t>
      </w:r>
      <w:r w:rsidR="004741A0">
        <w:t xml:space="preserve"> session, the secretariat proposed to extend the list of Class 7 goods in grouping C to </w:t>
      </w:r>
      <w:proofErr w:type="gramStart"/>
      <w:r w:rsidR="004741A0">
        <w:t>take into account</w:t>
      </w:r>
      <w:proofErr w:type="gramEnd"/>
      <w:r w:rsidR="004741A0">
        <w:t xml:space="preserve"> the hazards of large irradiation and contamination. This approach was not adopted.</w:t>
      </w:r>
      <w:r w:rsidR="005263C3">
        <w:t xml:space="preserve"> See </w:t>
      </w:r>
      <w:r w:rsidR="00407052" w:rsidRPr="00677EA1">
        <w:t>TRANS/WP.15/179</w:t>
      </w:r>
      <w:r w:rsidR="00407052">
        <w:t xml:space="preserve"> and </w:t>
      </w:r>
      <w:r w:rsidR="00407052" w:rsidRPr="00677EA1">
        <w:t>Add.1</w:t>
      </w:r>
      <w:r w:rsidR="00407052">
        <w:t>.</w:t>
      </w:r>
    </w:p>
    <w:p w14:paraId="0E6DF4C5" w14:textId="233DE04F" w:rsidR="004741A0" w:rsidRDefault="00407052" w:rsidP="00407052">
      <w:pPr>
        <w:pStyle w:val="HChG"/>
      </w:pPr>
      <w:r>
        <w:tab/>
      </w:r>
      <w:r>
        <w:tab/>
      </w:r>
      <w:r w:rsidR="004741A0">
        <w:t xml:space="preserve">Allocation of </w:t>
      </w:r>
      <w:r>
        <w:t>code “</w:t>
      </w:r>
      <w:r w:rsidR="004741A0">
        <w:t>(-)</w:t>
      </w:r>
      <w:r>
        <w:t>”</w:t>
      </w:r>
      <w:r w:rsidR="004741A0">
        <w:t xml:space="preserve"> </w:t>
      </w:r>
    </w:p>
    <w:p w14:paraId="7D029100" w14:textId="2F70FB2F" w:rsidR="009A6A59" w:rsidRDefault="009A6A59" w:rsidP="009A6A59">
      <w:pPr>
        <w:pStyle w:val="H1G"/>
      </w:pPr>
      <w:r>
        <w:tab/>
      </w:r>
      <w:r>
        <w:tab/>
        <w:t>Entries for which code “(-)” was ass</w:t>
      </w:r>
      <w:r w:rsidR="00987CAF">
        <w:t>igned</w:t>
      </w:r>
    </w:p>
    <w:p w14:paraId="3790AB05" w14:textId="4FB63334" w:rsidR="00920850" w:rsidRDefault="006B50D0" w:rsidP="00920850">
      <w:pPr>
        <w:pStyle w:val="SingleTxtG"/>
      </w:pPr>
      <w:r>
        <w:t>8.</w:t>
      </w:r>
      <w:r>
        <w:tab/>
        <w:t>When the tunnel provisions came into force</w:t>
      </w:r>
      <w:r w:rsidR="005C5B00">
        <w:t xml:space="preserve">, it was already decided that </w:t>
      </w:r>
      <w:r>
        <w:t xml:space="preserve">infectious waste </w:t>
      </w:r>
      <w:r w:rsidR="004024A1">
        <w:t xml:space="preserve">of </w:t>
      </w:r>
      <w:r>
        <w:t>UN No. 3291 and biological substances</w:t>
      </w:r>
      <w:r w:rsidR="004024A1">
        <w:t xml:space="preserve"> of </w:t>
      </w:r>
      <w:r>
        <w:t>UN No. 3373</w:t>
      </w:r>
      <w:r w:rsidR="004024A1">
        <w:t xml:space="preserve"> </w:t>
      </w:r>
      <w:r w:rsidR="00537C3E">
        <w:t>should not be subject to any tunnel restriction and not assigned to any grouping</w:t>
      </w:r>
      <w:r w:rsidR="00260004">
        <w:t xml:space="preserve"> and that this should </w:t>
      </w:r>
      <w:r w:rsidR="00920850">
        <w:t xml:space="preserve">be reflected by “(-)” in Table A. Code “(-)” was also affected to fumigated units (UN No. 3359) at the eightieth session (ECE/TRANS/WP.15/188) on the basis that they </w:t>
      </w:r>
      <w:r w:rsidR="00E241B3">
        <w:t>were</w:t>
      </w:r>
      <w:r w:rsidR="00920850">
        <w:t xml:space="preserve"> only subject to the provisions of 5.5.2.</w:t>
      </w:r>
      <w:r w:rsidR="00E241B3">
        <w:t xml:space="preserve"> When ADR 2009 entered into force, </w:t>
      </w:r>
      <w:r w:rsidR="009A52BB">
        <w:t xml:space="preserve">“(-)” was </w:t>
      </w:r>
      <w:r w:rsidR="00E241B3">
        <w:t xml:space="preserve">only </w:t>
      </w:r>
      <w:r w:rsidR="009A52BB">
        <w:t xml:space="preserve">assigned to </w:t>
      </w:r>
      <w:r w:rsidR="00E241B3">
        <w:t xml:space="preserve">these three </w:t>
      </w:r>
      <w:r w:rsidR="009A52BB">
        <w:t>entries.</w:t>
      </w:r>
    </w:p>
    <w:p w14:paraId="439B14F5" w14:textId="5E3E6868" w:rsidR="00F45AA5" w:rsidRDefault="00CB34B5" w:rsidP="00997540">
      <w:pPr>
        <w:pStyle w:val="SingleTxtG"/>
      </w:pPr>
      <w:r>
        <w:lastRenderedPageBreak/>
        <w:t>9.</w:t>
      </w:r>
      <w:r>
        <w:tab/>
        <w:t xml:space="preserve">In ADR 2017, </w:t>
      </w:r>
      <w:r w:rsidR="00997540">
        <w:t>“</w:t>
      </w:r>
      <w:r w:rsidR="00F45AA5">
        <w:t>(-)</w:t>
      </w:r>
      <w:r w:rsidR="00997540">
        <w:t>”</w:t>
      </w:r>
      <w:r w:rsidR="00F45AA5">
        <w:t xml:space="preserve"> was allocated to environmentally hazardous substances of UN 3077 and 3082 considering that both entries do not pose a significant risk to the environment in road tunnels.  </w:t>
      </w:r>
      <w:r w:rsidR="00FE2C7D">
        <w:t xml:space="preserve">The same approach was adopted for UN Nos. 2814 and 2900. </w:t>
      </w:r>
      <w:r w:rsidR="00997540">
        <w:t>See p</w:t>
      </w:r>
      <w:r w:rsidR="00F45AA5">
        <w:t>roposal</w:t>
      </w:r>
      <w:r w:rsidR="00FE2C7D">
        <w:t>s</w:t>
      </w:r>
      <w:r w:rsidR="00F45AA5">
        <w:t xml:space="preserve"> ECE/TRANS/WP.15/2015/2</w:t>
      </w:r>
      <w:r w:rsidR="00FE2C7D">
        <w:t xml:space="preserve"> and </w:t>
      </w:r>
      <w:r w:rsidR="000E1AC2">
        <w:t>ECE/TRANS/WP.15/2015/5</w:t>
      </w:r>
      <w:r w:rsidR="00997540">
        <w:t xml:space="preserve"> and r</w:t>
      </w:r>
      <w:r w:rsidR="00F45AA5">
        <w:t>eport ECE/TRANS/WP.15/228</w:t>
      </w:r>
      <w:r w:rsidR="00997540">
        <w:t>.</w:t>
      </w:r>
    </w:p>
    <w:p w14:paraId="5248D50F" w14:textId="34D83233" w:rsidR="00987CAF" w:rsidRDefault="00987CAF" w:rsidP="00987CAF">
      <w:pPr>
        <w:pStyle w:val="H1G"/>
      </w:pPr>
      <w:r>
        <w:tab/>
      </w:r>
      <w:r>
        <w:tab/>
        <w:t>Entries for which the allocation of code “(-)” was previously discussed and not adopted at that time</w:t>
      </w:r>
    </w:p>
    <w:p w14:paraId="4D6788BE" w14:textId="49BDDA5F" w:rsidR="004741A0" w:rsidRDefault="000E1AC2" w:rsidP="004741A0">
      <w:pPr>
        <w:pStyle w:val="SingleTxtG"/>
      </w:pPr>
      <w:r>
        <w:t>10</w:t>
      </w:r>
      <w:r w:rsidR="006035BE">
        <w:t>.</w:t>
      </w:r>
      <w:r w:rsidR="006035BE">
        <w:tab/>
      </w:r>
      <w:r w:rsidR="004741A0">
        <w:t xml:space="preserve">At the 80th session, following a proposal from the secretariat, the Working Party already discussed whether it would be appropriate to replace “E” by “(-)” for 1.4S goods, articles with UN </w:t>
      </w:r>
      <w:r w:rsidR="00C20F5C">
        <w:t>Nos.</w:t>
      </w:r>
      <w:r w:rsidR="004741A0">
        <w:t xml:space="preserve"> 1331, 1944, 1945, 2254 and 2623, radioactive material in excepted packages and airbags (UN </w:t>
      </w:r>
      <w:r w:rsidR="00C20F5C">
        <w:t>No.</w:t>
      </w:r>
      <w:r w:rsidR="004741A0">
        <w:t xml:space="preserve"> 3268)</w:t>
      </w:r>
      <w:r w:rsidR="00C20F5C">
        <w:t>. See informal document INF.7</w:t>
      </w:r>
      <w:r w:rsidR="00F45AA5">
        <w:t xml:space="preserve"> of that session.</w:t>
      </w:r>
    </w:p>
    <w:p w14:paraId="6AB405E1" w14:textId="62267C2B" w:rsidR="004741A0" w:rsidRDefault="001F1658" w:rsidP="00644F4A">
      <w:pPr>
        <w:pStyle w:val="SingleTxtG"/>
      </w:pPr>
      <w:r>
        <w:t>11.</w:t>
      </w:r>
      <w:r>
        <w:tab/>
      </w:r>
      <w:r w:rsidR="004741A0">
        <w:t>Th</w:t>
      </w:r>
      <w:r>
        <w:t>is</w:t>
      </w:r>
      <w:r w:rsidR="004741A0">
        <w:t xml:space="preserve"> proposal was rejected</w:t>
      </w:r>
      <w:r w:rsidR="00644F4A">
        <w:t>: “</w:t>
      </w:r>
      <w:r w:rsidR="004741A0">
        <w:t>The Working group noted that 1.4S goods, articles with UN numbers 1331, 1944, 1945, 2254 and 2623, radioactive material in excepted packages and airbags (UN number 3268), belong to transport category 4 and are thus covered by the exemptions in sub-section 1.1.3.6, regardless of quantity.  Accordingly, when carried in conformity with sub-section 1.1.3.6, they will not be subject to tunnel restrictions.  Nevertheless, the Working Group would still like to see these dangerous goods assigned to tunnel code E to cover the eventuality that transport operators would prefer to apply the provisions of ADR as a whole rather than making use of the exemptions.</w:t>
      </w:r>
      <w:r w:rsidR="00644F4A">
        <w:t xml:space="preserve">”. (ECE/TRANS/WP.15/188, </w:t>
      </w:r>
      <w:r w:rsidR="004741A0">
        <w:t>§ 51)</w:t>
      </w:r>
      <w:r w:rsidR="00644F4A">
        <w:t>.</w:t>
      </w:r>
    </w:p>
    <w:p w14:paraId="79766F70" w14:textId="650A9FE6" w:rsidR="00A801C7" w:rsidRPr="00987CAF" w:rsidRDefault="00987CAF" w:rsidP="00987CAF">
      <w:pPr>
        <w:spacing w:before="240"/>
        <w:jc w:val="center"/>
        <w:rPr>
          <w:u w:val="single"/>
        </w:rPr>
      </w:pPr>
      <w:r>
        <w:rPr>
          <w:u w:val="single"/>
        </w:rPr>
        <w:tab/>
      </w:r>
      <w:r>
        <w:rPr>
          <w:u w:val="single"/>
        </w:rPr>
        <w:tab/>
      </w:r>
      <w:r>
        <w:rPr>
          <w:u w:val="single"/>
        </w:rPr>
        <w:tab/>
      </w:r>
    </w:p>
    <w:p w14:paraId="17526AE6" w14:textId="77777777" w:rsidR="004741A0" w:rsidRDefault="004741A0" w:rsidP="004741A0">
      <w:pPr>
        <w:pStyle w:val="SingleTxtG"/>
      </w:pPr>
    </w:p>
    <w:p w14:paraId="393F20F1" w14:textId="77777777" w:rsidR="004741A0" w:rsidRDefault="004741A0" w:rsidP="004741A0">
      <w:pPr>
        <w:pStyle w:val="SingleTxtG"/>
      </w:pPr>
    </w:p>
    <w:p w14:paraId="67DA39D7" w14:textId="77777777" w:rsidR="004741A0" w:rsidRDefault="004741A0" w:rsidP="004741A0">
      <w:pPr>
        <w:pStyle w:val="SingleTxtG"/>
      </w:pPr>
    </w:p>
    <w:p w14:paraId="5DC3470F" w14:textId="77777777" w:rsidR="004741A0" w:rsidRDefault="004741A0" w:rsidP="004741A0">
      <w:pPr>
        <w:pStyle w:val="SingleTxtG"/>
      </w:pPr>
    </w:p>
    <w:p w14:paraId="2766F02E" w14:textId="77777777" w:rsidR="001C6663" w:rsidRPr="004741A0" w:rsidRDefault="001C6663" w:rsidP="004741A0">
      <w:pPr>
        <w:pStyle w:val="SingleTxtG"/>
      </w:pPr>
    </w:p>
    <w:sectPr w:rsidR="001C6663" w:rsidRPr="004741A0" w:rsidSect="00DF015A">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2E0A" w14:textId="77777777" w:rsidR="00CC5A6B" w:rsidRDefault="00CC5A6B"/>
  </w:endnote>
  <w:endnote w:type="continuationSeparator" w:id="0">
    <w:p w14:paraId="47ABF8E7" w14:textId="77777777" w:rsidR="00CC5A6B" w:rsidRDefault="00CC5A6B"/>
  </w:endnote>
  <w:endnote w:type="continuationNotice" w:id="1">
    <w:p w14:paraId="4DA55AD3" w14:textId="77777777" w:rsidR="00CC5A6B" w:rsidRDefault="00CC5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6683" w14:textId="77777777" w:rsidR="00DF015A" w:rsidRPr="00DF015A" w:rsidRDefault="00DF015A" w:rsidP="00DF015A">
    <w:pPr>
      <w:pStyle w:val="Footer"/>
      <w:tabs>
        <w:tab w:val="right" w:pos="9638"/>
      </w:tabs>
      <w:rPr>
        <w:sz w:val="18"/>
      </w:rPr>
    </w:pPr>
    <w:r w:rsidRPr="00DF015A">
      <w:rPr>
        <w:b/>
        <w:sz w:val="18"/>
      </w:rPr>
      <w:fldChar w:fldCharType="begin"/>
    </w:r>
    <w:r w:rsidRPr="00DF015A">
      <w:rPr>
        <w:b/>
        <w:sz w:val="18"/>
      </w:rPr>
      <w:instrText xml:space="preserve"> PAGE  \* MERGEFORMAT </w:instrText>
    </w:r>
    <w:r w:rsidRPr="00DF015A">
      <w:rPr>
        <w:b/>
        <w:sz w:val="18"/>
      </w:rPr>
      <w:fldChar w:fldCharType="separate"/>
    </w:r>
    <w:r w:rsidRPr="00DF015A">
      <w:rPr>
        <w:b/>
        <w:noProof/>
        <w:sz w:val="18"/>
      </w:rPr>
      <w:t>2</w:t>
    </w:r>
    <w:r w:rsidRPr="00DF01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19C3" w14:textId="77777777" w:rsidR="00DF015A" w:rsidRPr="00DF015A" w:rsidRDefault="00DF015A" w:rsidP="00DF015A">
    <w:pPr>
      <w:pStyle w:val="Footer"/>
      <w:tabs>
        <w:tab w:val="right" w:pos="9638"/>
      </w:tabs>
      <w:rPr>
        <w:b/>
        <w:sz w:val="18"/>
      </w:rPr>
    </w:pPr>
    <w:r>
      <w:tab/>
    </w:r>
    <w:r w:rsidRPr="00DF015A">
      <w:rPr>
        <w:b/>
        <w:sz w:val="18"/>
      </w:rPr>
      <w:fldChar w:fldCharType="begin"/>
    </w:r>
    <w:r w:rsidRPr="00DF015A">
      <w:rPr>
        <w:b/>
        <w:sz w:val="18"/>
      </w:rPr>
      <w:instrText xml:space="preserve"> PAGE  \* MERGEFORMAT </w:instrText>
    </w:r>
    <w:r w:rsidRPr="00DF015A">
      <w:rPr>
        <w:b/>
        <w:sz w:val="18"/>
      </w:rPr>
      <w:fldChar w:fldCharType="separate"/>
    </w:r>
    <w:r w:rsidRPr="00DF015A">
      <w:rPr>
        <w:b/>
        <w:noProof/>
        <w:sz w:val="18"/>
      </w:rPr>
      <w:t>3</w:t>
    </w:r>
    <w:r w:rsidRPr="00DF015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CE5D5" w14:textId="77777777" w:rsidR="00CC5A6B" w:rsidRPr="000B175B" w:rsidRDefault="00CC5A6B" w:rsidP="000B175B">
      <w:pPr>
        <w:tabs>
          <w:tab w:val="right" w:pos="2155"/>
        </w:tabs>
        <w:spacing w:after="80"/>
        <w:ind w:left="680"/>
        <w:rPr>
          <w:u w:val="single"/>
        </w:rPr>
      </w:pPr>
      <w:r>
        <w:rPr>
          <w:u w:val="single"/>
        </w:rPr>
        <w:tab/>
      </w:r>
    </w:p>
  </w:footnote>
  <w:footnote w:type="continuationSeparator" w:id="0">
    <w:p w14:paraId="7E2E7C6C" w14:textId="77777777" w:rsidR="00CC5A6B" w:rsidRPr="00FC68B7" w:rsidRDefault="00CC5A6B" w:rsidP="00FC68B7">
      <w:pPr>
        <w:tabs>
          <w:tab w:val="left" w:pos="2155"/>
        </w:tabs>
        <w:spacing w:after="80"/>
        <w:ind w:left="680"/>
        <w:rPr>
          <w:u w:val="single"/>
        </w:rPr>
      </w:pPr>
      <w:r>
        <w:rPr>
          <w:u w:val="single"/>
        </w:rPr>
        <w:tab/>
      </w:r>
    </w:p>
  </w:footnote>
  <w:footnote w:type="continuationNotice" w:id="1">
    <w:p w14:paraId="320AA605" w14:textId="77777777" w:rsidR="00CC5A6B" w:rsidRDefault="00CC5A6B"/>
  </w:footnote>
  <w:footnote w:id="2">
    <w:p w14:paraId="00C2D1EC" w14:textId="77777777" w:rsidR="004C736E" w:rsidRDefault="004C736E" w:rsidP="004C736E">
      <w:pPr>
        <w:pStyle w:val="FootnoteText"/>
        <w:tabs>
          <w:tab w:val="left" w:pos="720"/>
        </w:tabs>
        <w:ind w:left="1418" w:right="1260" w:hanging="284"/>
        <w:jc w:val="both"/>
      </w:pPr>
      <w:r>
        <w:rPr>
          <w:rStyle w:val="FootnoteReference"/>
          <w:sz w:val="20"/>
        </w:rPr>
        <w:sym w:font="Symbol" w:char="F02A"/>
      </w:r>
      <w:r>
        <w:tab/>
      </w:r>
      <w:r w:rsidRPr="00F80626">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816F" w14:textId="77777777" w:rsidR="00DF015A" w:rsidRPr="00DF015A" w:rsidRDefault="00543ADC">
    <w:pPr>
      <w:pStyle w:val="Header"/>
    </w:pPr>
    <w:r>
      <w:fldChar w:fldCharType="begin"/>
    </w:r>
    <w:r>
      <w:instrText xml:space="preserve"> TITLE  \* MERGEFORMAT </w:instrText>
    </w:r>
    <w:r>
      <w:fldChar w:fldCharType="separate"/>
    </w:r>
    <w:r w:rsidR="00DF015A">
      <w:t>ECE/TRANS/WP.15/2021/4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DC9C" w14:textId="77777777" w:rsidR="00DF015A" w:rsidRPr="00DF015A" w:rsidRDefault="00543ADC" w:rsidP="00DF015A">
    <w:pPr>
      <w:pStyle w:val="Header"/>
      <w:jc w:val="right"/>
    </w:pPr>
    <w:r>
      <w:fldChar w:fldCharType="begin"/>
    </w:r>
    <w:r>
      <w:instrText xml:space="preserve"> TITLE  \* MERGEFORMAT </w:instrText>
    </w:r>
    <w:r>
      <w:fldChar w:fldCharType="separate"/>
    </w:r>
    <w:r w:rsidR="00DF015A">
      <w:t>ECE/TRANS/WP.15/2021/4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5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B4F0B"/>
    <w:rsid w:val="000D1A6A"/>
    <w:rsid w:val="000E0415"/>
    <w:rsid w:val="000E1AC2"/>
    <w:rsid w:val="000F121C"/>
    <w:rsid w:val="000F7715"/>
    <w:rsid w:val="001436C7"/>
    <w:rsid w:val="00152334"/>
    <w:rsid w:val="00156B99"/>
    <w:rsid w:val="0016585E"/>
    <w:rsid w:val="00166124"/>
    <w:rsid w:val="00184DDA"/>
    <w:rsid w:val="001900CD"/>
    <w:rsid w:val="001A0452"/>
    <w:rsid w:val="001A420B"/>
    <w:rsid w:val="001B4B04"/>
    <w:rsid w:val="001B5875"/>
    <w:rsid w:val="001C4B9C"/>
    <w:rsid w:val="001C6663"/>
    <w:rsid w:val="001C7895"/>
    <w:rsid w:val="001D26DF"/>
    <w:rsid w:val="001E503A"/>
    <w:rsid w:val="001F1599"/>
    <w:rsid w:val="001F1658"/>
    <w:rsid w:val="001F19C4"/>
    <w:rsid w:val="0020240B"/>
    <w:rsid w:val="002024EA"/>
    <w:rsid w:val="002043F0"/>
    <w:rsid w:val="00211E0B"/>
    <w:rsid w:val="002240B6"/>
    <w:rsid w:val="00232575"/>
    <w:rsid w:val="00241AD0"/>
    <w:rsid w:val="00242F57"/>
    <w:rsid w:val="00247258"/>
    <w:rsid w:val="00257CAC"/>
    <w:rsid w:val="00257DC5"/>
    <w:rsid w:val="00260004"/>
    <w:rsid w:val="00262D4E"/>
    <w:rsid w:val="00264441"/>
    <w:rsid w:val="0027237A"/>
    <w:rsid w:val="002974E9"/>
    <w:rsid w:val="002A7F94"/>
    <w:rsid w:val="002B109A"/>
    <w:rsid w:val="002C6D45"/>
    <w:rsid w:val="002D6E53"/>
    <w:rsid w:val="002F046D"/>
    <w:rsid w:val="002F3023"/>
    <w:rsid w:val="00301764"/>
    <w:rsid w:val="003229D8"/>
    <w:rsid w:val="0033689C"/>
    <w:rsid w:val="00336C97"/>
    <w:rsid w:val="00337F88"/>
    <w:rsid w:val="00342432"/>
    <w:rsid w:val="0035223F"/>
    <w:rsid w:val="00352D4B"/>
    <w:rsid w:val="0035638C"/>
    <w:rsid w:val="00371F4F"/>
    <w:rsid w:val="0038516A"/>
    <w:rsid w:val="00395244"/>
    <w:rsid w:val="003A46BB"/>
    <w:rsid w:val="003A4EC7"/>
    <w:rsid w:val="003A7295"/>
    <w:rsid w:val="003B1F60"/>
    <w:rsid w:val="003C2CC4"/>
    <w:rsid w:val="003D4B23"/>
    <w:rsid w:val="003E278A"/>
    <w:rsid w:val="004024A1"/>
    <w:rsid w:val="00407052"/>
    <w:rsid w:val="00413520"/>
    <w:rsid w:val="00431182"/>
    <w:rsid w:val="004325CB"/>
    <w:rsid w:val="004354C6"/>
    <w:rsid w:val="00440A07"/>
    <w:rsid w:val="00442BFA"/>
    <w:rsid w:val="00462880"/>
    <w:rsid w:val="004741A0"/>
    <w:rsid w:val="00476F24"/>
    <w:rsid w:val="0049362B"/>
    <w:rsid w:val="004A76EB"/>
    <w:rsid w:val="004B4425"/>
    <w:rsid w:val="004C55B0"/>
    <w:rsid w:val="004C736E"/>
    <w:rsid w:val="004D6FEC"/>
    <w:rsid w:val="004F6BA0"/>
    <w:rsid w:val="00503BEA"/>
    <w:rsid w:val="005263C3"/>
    <w:rsid w:val="00526522"/>
    <w:rsid w:val="00533616"/>
    <w:rsid w:val="00535ABA"/>
    <w:rsid w:val="0053768B"/>
    <w:rsid w:val="00537C3E"/>
    <w:rsid w:val="005420F2"/>
    <w:rsid w:val="0054285C"/>
    <w:rsid w:val="00543ADC"/>
    <w:rsid w:val="00584173"/>
    <w:rsid w:val="00595520"/>
    <w:rsid w:val="005A0654"/>
    <w:rsid w:val="005A44B9"/>
    <w:rsid w:val="005B1BA0"/>
    <w:rsid w:val="005B3DB3"/>
    <w:rsid w:val="005C5B00"/>
    <w:rsid w:val="005D15CA"/>
    <w:rsid w:val="005D7969"/>
    <w:rsid w:val="005F08DF"/>
    <w:rsid w:val="005F3066"/>
    <w:rsid w:val="005F3E61"/>
    <w:rsid w:val="00602572"/>
    <w:rsid w:val="006035BE"/>
    <w:rsid w:val="00604DDD"/>
    <w:rsid w:val="006115CC"/>
    <w:rsid w:val="00611FC4"/>
    <w:rsid w:val="006176FB"/>
    <w:rsid w:val="00630FCB"/>
    <w:rsid w:val="00640B26"/>
    <w:rsid w:val="00644F4A"/>
    <w:rsid w:val="0065766B"/>
    <w:rsid w:val="006770B2"/>
    <w:rsid w:val="00677EA1"/>
    <w:rsid w:val="00686A48"/>
    <w:rsid w:val="006940E1"/>
    <w:rsid w:val="006A3C72"/>
    <w:rsid w:val="006A5D98"/>
    <w:rsid w:val="006A7392"/>
    <w:rsid w:val="006B03A1"/>
    <w:rsid w:val="006B50D0"/>
    <w:rsid w:val="006B67D9"/>
    <w:rsid w:val="006C5535"/>
    <w:rsid w:val="006D0589"/>
    <w:rsid w:val="006E564B"/>
    <w:rsid w:val="006E7154"/>
    <w:rsid w:val="006F3033"/>
    <w:rsid w:val="007003CD"/>
    <w:rsid w:val="0070701E"/>
    <w:rsid w:val="0072632A"/>
    <w:rsid w:val="007358E8"/>
    <w:rsid w:val="00736ECE"/>
    <w:rsid w:val="0074533B"/>
    <w:rsid w:val="007643BC"/>
    <w:rsid w:val="00780C68"/>
    <w:rsid w:val="00784204"/>
    <w:rsid w:val="007959FE"/>
    <w:rsid w:val="007A0CF1"/>
    <w:rsid w:val="007A478E"/>
    <w:rsid w:val="007B6BA5"/>
    <w:rsid w:val="007C3390"/>
    <w:rsid w:val="007C42D8"/>
    <w:rsid w:val="007C43F4"/>
    <w:rsid w:val="007C4F4B"/>
    <w:rsid w:val="007D7362"/>
    <w:rsid w:val="007F5CE2"/>
    <w:rsid w:val="007F6611"/>
    <w:rsid w:val="00800522"/>
    <w:rsid w:val="00810BAC"/>
    <w:rsid w:val="008175E9"/>
    <w:rsid w:val="008242D7"/>
    <w:rsid w:val="0082577B"/>
    <w:rsid w:val="008272DD"/>
    <w:rsid w:val="008363DC"/>
    <w:rsid w:val="00844D54"/>
    <w:rsid w:val="00866893"/>
    <w:rsid w:val="00866F02"/>
    <w:rsid w:val="00867D18"/>
    <w:rsid w:val="00871F9A"/>
    <w:rsid w:val="00871FD5"/>
    <w:rsid w:val="0088172E"/>
    <w:rsid w:val="00881EFA"/>
    <w:rsid w:val="008879CB"/>
    <w:rsid w:val="008979B1"/>
    <w:rsid w:val="008A42EA"/>
    <w:rsid w:val="008A6B25"/>
    <w:rsid w:val="008A6C4F"/>
    <w:rsid w:val="008A77AE"/>
    <w:rsid w:val="008B389E"/>
    <w:rsid w:val="008B7104"/>
    <w:rsid w:val="008D045E"/>
    <w:rsid w:val="008D3F25"/>
    <w:rsid w:val="008D4D82"/>
    <w:rsid w:val="008E0E46"/>
    <w:rsid w:val="008E7116"/>
    <w:rsid w:val="008F143B"/>
    <w:rsid w:val="008F3882"/>
    <w:rsid w:val="008F4B7C"/>
    <w:rsid w:val="00903233"/>
    <w:rsid w:val="00920850"/>
    <w:rsid w:val="00926E47"/>
    <w:rsid w:val="00947162"/>
    <w:rsid w:val="0094759A"/>
    <w:rsid w:val="009521DB"/>
    <w:rsid w:val="009610D0"/>
    <w:rsid w:val="0096375C"/>
    <w:rsid w:val="009662E6"/>
    <w:rsid w:val="0097095E"/>
    <w:rsid w:val="0098592B"/>
    <w:rsid w:val="00985FC4"/>
    <w:rsid w:val="00987CAF"/>
    <w:rsid w:val="00990766"/>
    <w:rsid w:val="00991261"/>
    <w:rsid w:val="009964C4"/>
    <w:rsid w:val="00997540"/>
    <w:rsid w:val="009A52BB"/>
    <w:rsid w:val="009A6A59"/>
    <w:rsid w:val="009A7B81"/>
    <w:rsid w:val="009D01C0"/>
    <w:rsid w:val="009D6A08"/>
    <w:rsid w:val="009E0A16"/>
    <w:rsid w:val="009E601E"/>
    <w:rsid w:val="009E6CB7"/>
    <w:rsid w:val="009E7970"/>
    <w:rsid w:val="009F2EAC"/>
    <w:rsid w:val="009F57E3"/>
    <w:rsid w:val="00A10F4F"/>
    <w:rsid w:val="00A11067"/>
    <w:rsid w:val="00A1264F"/>
    <w:rsid w:val="00A1704A"/>
    <w:rsid w:val="00A425EB"/>
    <w:rsid w:val="00A460F0"/>
    <w:rsid w:val="00A61CB6"/>
    <w:rsid w:val="00A72F22"/>
    <w:rsid w:val="00A733BC"/>
    <w:rsid w:val="00A748A6"/>
    <w:rsid w:val="00A76A69"/>
    <w:rsid w:val="00A801C7"/>
    <w:rsid w:val="00A809F7"/>
    <w:rsid w:val="00A879A4"/>
    <w:rsid w:val="00AA0FF8"/>
    <w:rsid w:val="00AC0F2C"/>
    <w:rsid w:val="00AC502A"/>
    <w:rsid w:val="00AF58C1"/>
    <w:rsid w:val="00B04A3F"/>
    <w:rsid w:val="00B06643"/>
    <w:rsid w:val="00B15055"/>
    <w:rsid w:val="00B20551"/>
    <w:rsid w:val="00B30179"/>
    <w:rsid w:val="00B33FC7"/>
    <w:rsid w:val="00B37B15"/>
    <w:rsid w:val="00B45C02"/>
    <w:rsid w:val="00B50586"/>
    <w:rsid w:val="00B70B63"/>
    <w:rsid w:val="00B72A1E"/>
    <w:rsid w:val="00B763F5"/>
    <w:rsid w:val="00B81E12"/>
    <w:rsid w:val="00BA339B"/>
    <w:rsid w:val="00BA3839"/>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20F5C"/>
    <w:rsid w:val="00C408B7"/>
    <w:rsid w:val="00C411EB"/>
    <w:rsid w:val="00C4593E"/>
    <w:rsid w:val="00C463DD"/>
    <w:rsid w:val="00C745C3"/>
    <w:rsid w:val="00C978F5"/>
    <w:rsid w:val="00CA24A4"/>
    <w:rsid w:val="00CB348D"/>
    <w:rsid w:val="00CB34B5"/>
    <w:rsid w:val="00CC5A6B"/>
    <w:rsid w:val="00CD46F5"/>
    <w:rsid w:val="00CD7C24"/>
    <w:rsid w:val="00CE4A8F"/>
    <w:rsid w:val="00CE78F6"/>
    <w:rsid w:val="00CF071D"/>
    <w:rsid w:val="00D0039D"/>
    <w:rsid w:val="00D0123D"/>
    <w:rsid w:val="00D15164"/>
    <w:rsid w:val="00D15B04"/>
    <w:rsid w:val="00D2031B"/>
    <w:rsid w:val="00D25FE2"/>
    <w:rsid w:val="00D26E43"/>
    <w:rsid w:val="00D36072"/>
    <w:rsid w:val="00D368BE"/>
    <w:rsid w:val="00D37DA9"/>
    <w:rsid w:val="00D406A7"/>
    <w:rsid w:val="00D40765"/>
    <w:rsid w:val="00D43252"/>
    <w:rsid w:val="00D44D86"/>
    <w:rsid w:val="00D46193"/>
    <w:rsid w:val="00D50B7D"/>
    <w:rsid w:val="00D52012"/>
    <w:rsid w:val="00D704E5"/>
    <w:rsid w:val="00D72727"/>
    <w:rsid w:val="00D978C6"/>
    <w:rsid w:val="00DA0956"/>
    <w:rsid w:val="00DA357F"/>
    <w:rsid w:val="00DA3E12"/>
    <w:rsid w:val="00DC18AD"/>
    <w:rsid w:val="00DE2271"/>
    <w:rsid w:val="00DF015A"/>
    <w:rsid w:val="00DF19B0"/>
    <w:rsid w:val="00DF7CAE"/>
    <w:rsid w:val="00E211FB"/>
    <w:rsid w:val="00E241B3"/>
    <w:rsid w:val="00E423C0"/>
    <w:rsid w:val="00E6414C"/>
    <w:rsid w:val="00E7260F"/>
    <w:rsid w:val="00E8702D"/>
    <w:rsid w:val="00E905F4"/>
    <w:rsid w:val="00E916A9"/>
    <w:rsid w:val="00E916DE"/>
    <w:rsid w:val="00E925AD"/>
    <w:rsid w:val="00E96630"/>
    <w:rsid w:val="00EA4560"/>
    <w:rsid w:val="00EB4210"/>
    <w:rsid w:val="00ED18DC"/>
    <w:rsid w:val="00ED6201"/>
    <w:rsid w:val="00ED7A2A"/>
    <w:rsid w:val="00EF1D7F"/>
    <w:rsid w:val="00F0137E"/>
    <w:rsid w:val="00F06065"/>
    <w:rsid w:val="00F21786"/>
    <w:rsid w:val="00F36106"/>
    <w:rsid w:val="00F3742B"/>
    <w:rsid w:val="00F41FDB"/>
    <w:rsid w:val="00F45AA5"/>
    <w:rsid w:val="00F50596"/>
    <w:rsid w:val="00F56D63"/>
    <w:rsid w:val="00F609A9"/>
    <w:rsid w:val="00F65184"/>
    <w:rsid w:val="00F80510"/>
    <w:rsid w:val="00F80626"/>
    <w:rsid w:val="00F80C99"/>
    <w:rsid w:val="00F867EC"/>
    <w:rsid w:val="00F90CC1"/>
    <w:rsid w:val="00F91B2B"/>
    <w:rsid w:val="00FC03CD"/>
    <w:rsid w:val="00FC0646"/>
    <w:rsid w:val="00FC68B7"/>
    <w:rsid w:val="00FE2C7D"/>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5BC4B"/>
  <w15:docId w15:val="{F3786F8B-838F-4595-AC80-1F740F0F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4C736E"/>
    <w:rPr>
      <w:sz w:val="18"/>
      <w:lang w:val="en-GB"/>
    </w:rPr>
  </w:style>
  <w:style w:type="paragraph" w:styleId="PlainText">
    <w:name w:val="Plain Text"/>
    <w:basedOn w:val="Normal"/>
    <w:link w:val="PlainTextChar"/>
    <w:uiPriority w:val="99"/>
    <w:semiHidden/>
    <w:unhideWhenUsed/>
    <w:rsid w:val="004741A0"/>
    <w:pPr>
      <w:suppressAutoHyphens w:val="0"/>
      <w:spacing w:line="240" w:lineRule="auto"/>
    </w:pPr>
    <w:rPr>
      <w:rFonts w:ascii="Calibri" w:eastAsia="DengXian" w:hAnsi="Calibri" w:cs="Arial"/>
      <w:sz w:val="22"/>
      <w:szCs w:val="21"/>
      <w:lang w:val="fr-FR" w:eastAsia="zh-CN"/>
    </w:rPr>
  </w:style>
  <w:style w:type="character" w:customStyle="1" w:styleId="PlainTextChar">
    <w:name w:val="Plain Text Char"/>
    <w:basedOn w:val="DefaultParagraphFont"/>
    <w:link w:val="PlainText"/>
    <w:uiPriority w:val="99"/>
    <w:semiHidden/>
    <w:rsid w:val="004741A0"/>
    <w:rPr>
      <w:rFonts w:ascii="Calibri" w:eastAsia="DengXian" w:hAnsi="Calibri" w:cs="Arial"/>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31942">
      <w:bodyDiv w:val="1"/>
      <w:marLeft w:val="0"/>
      <w:marRight w:val="0"/>
      <w:marTop w:val="0"/>
      <w:marBottom w:val="0"/>
      <w:divBdr>
        <w:top w:val="none" w:sz="0" w:space="0" w:color="auto"/>
        <w:left w:val="none" w:sz="0" w:space="0" w:color="auto"/>
        <w:bottom w:val="none" w:sz="0" w:space="0" w:color="auto"/>
        <w:right w:val="none" w:sz="0" w:space="0" w:color="auto"/>
      </w:divBdr>
    </w:div>
    <w:div w:id="9936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779E-1031-44EC-BA28-1AD9F579517F}">
  <ds:schemaRefs>
    <ds:schemaRef ds:uri="http://schemas.microsoft.com/sharepoint/v3/contenttype/forms"/>
  </ds:schemaRefs>
</ds:datastoreItem>
</file>

<file path=customXml/itemProps2.xml><?xml version="1.0" encoding="utf-8"?>
<ds:datastoreItem xmlns:ds="http://schemas.openxmlformats.org/officeDocument/2006/customXml" ds:itemID="{A64B8B80-9169-40A0-9606-7E2126DC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542DD7-D73A-4C30-A94B-2E40BBE9BF5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6F827AB4-9A3F-438C-9CF3-4209CAB8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94</TotalTime>
  <Pages>3</Pages>
  <Words>951</Words>
  <Characters>5423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ECE/TRANS/WP.15/2021/4</dc:title>
  <dc:creator>Christine Barrio-Champeau</dc:creator>
  <cp:lastModifiedBy>Christine Barrio-Champeau</cp:lastModifiedBy>
  <cp:revision>93</cp:revision>
  <cp:lastPrinted>2009-02-18T09:36:00Z</cp:lastPrinted>
  <dcterms:created xsi:type="dcterms:W3CDTF">2021-02-03T14:09:00Z</dcterms:created>
  <dcterms:modified xsi:type="dcterms:W3CDTF">2021-02-08T14:04:00Z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