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1AFBB2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63C2F1E" w14:textId="77777777" w:rsidR="00F35BAF" w:rsidRPr="00DB58B5" w:rsidRDefault="00F35BAF" w:rsidP="00550FF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DE8831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BFADAFC" w14:textId="77777777" w:rsidR="00F35BAF" w:rsidRPr="00DB58B5" w:rsidRDefault="00550FFF" w:rsidP="00550FFF">
            <w:pPr>
              <w:jc w:val="right"/>
            </w:pPr>
            <w:r w:rsidRPr="00550FFF">
              <w:rPr>
                <w:sz w:val="40"/>
              </w:rPr>
              <w:t>ECE</w:t>
            </w:r>
            <w:r>
              <w:t>/TRANS/WP.15/2021/3</w:t>
            </w:r>
          </w:p>
        </w:tc>
      </w:tr>
      <w:tr w:rsidR="00F35BAF" w:rsidRPr="00DB58B5" w14:paraId="3886EDC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ABBD8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8C2DFA" wp14:editId="33CC76E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3CA1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BE09DC" w14:textId="77777777" w:rsidR="00F35BAF" w:rsidRDefault="00550FF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458D2DD7" w14:textId="77777777" w:rsidR="00550FFF" w:rsidRDefault="00550FFF" w:rsidP="00550FFF">
            <w:pPr>
              <w:spacing w:line="240" w:lineRule="exact"/>
            </w:pPr>
            <w:r>
              <w:t>8 février 2021</w:t>
            </w:r>
          </w:p>
          <w:p w14:paraId="542460C1" w14:textId="77777777" w:rsidR="00550FFF" w:rsidRDefault="00550FFF" w:rsidP="00550FFF">
            <w:pPr>
              <w:spacing w:line="240" w:lineRule="exact"/>
            </w:pPr>
            <w:r>
              <w:t>Français</w:t>
            </w:r>
          </w:p>
          <w:p w14:paraId="12A0A92D" w14:textId="77777777" w:rsidR="00550FFF" w:rsidRPr="00DB58B5" w:rsidRDefault="00550FFF" w:rsidP="00550FFF">
            <w:pPr>
              <w:spacing w:line="240" w:lineRule="exact"/>
            </w:pPr>
            <w:r>
              <w:t>Original : anglais</w:t>
            </w:r>
          </w:p>
        </w:tc>
      </w:tr>
    </w:tbl>
    <w:p w14:paraId="2B5BC6C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AE4921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DC523C5" w14:textId="77777777" w:rsidR="00630171" w:rsidRPr="007B3696" w:rsidRDefault="00630171" w:rsidP="00630171">
      <w:pPr>
        <w:spacing w:before="120"/>
        <w:rPr>
          <w:b/>
          <w:sz w:val="24"/>
          <w:szCs w:val="24"/>
        </w:rPr>
      </w:pPr>
      <w:r w:rsidRPr="007B3696">
        <w:rPr>
          <w:b/>
          <w:sz w:val="24"/>
          <w:szCs w:val="24"/>
        </w:rPr>
        <w:t>Groupe de travail des transports de marchandises dangereuses</w:t>
      </w:r>
    </w:p>
    <w:p w14:paraId="7EFA0505" w14:textId="77777777" w:rsidR="00630171" w:rsidRPr="007B3696" w:rsidRDefault="00630171" w:rsidP="00630171">
      <w:pPr>
        <w:spacing w:before="120"/>
        <w:rPr>
          <w:rFonts w:eastAsia="SimSun"/>
          <w:b/>
        </w:rPr>
      </w:pPr>
      <w:r w:rsidRPr="007B3696">
        <w:rPr>
          <w:rFonts w:eastAsia="SimSun"/>
          <w:b/>
        </w:rPr>
        <w:t>109</w:t>
      </w:r>
      <w:r w:rsidRPr="007B3696">
        <w:rPr>
          <w:rFonts w:eastAsia="SimSun"/>
          <w:b/>
          <w:vertAlign w:val="superscript"/>
        </w:rPr>
        <w:t>e</w:t>
      </w:r>
      <w:r w:rsidRPr="007B3696">
        <w:rPr>
          <w:rFonts w:eastAsia="SimSun"/>
          <w:b/>
        </w:rPr>
        <w:t xml:space="preserve"> session </w:t>
      </w:r>
    </w:p>
    <w:p w14:paraId="589F8375" w14:textId="77777777" w:rsidR="00630171" w:rsidRPr="007B3696" w:rsidRDefault="00630171" w:rsidP="00630171">
      <w:pPr>
        <w:rPr>
          <w:rFonts w:eastAsia="SimSun"/>
        </w:rPr>
      </w:pPr>
      <w:r w:rsidRPr="007B3696">
        <w:rPr>
          <w:rFonts w:eastAsia="SimSun"/>
        </w:rPr>
        <w:t>Genève, 3</w:t>
      </w:r>
      <w:r w:rsidR="00F04F71">
        <w:rPr>
          <w:rFonts w:eastAsia="SimSun"/>
        </w:rPr>
        <w:t>-</w:t>
      </w:r>
      <w:r w:rsidRPr="007B3696">
        <w:rPr>
          <w:rFonts w:eastAsia="SimSun"/>
        </w:rPr>
        <w:t>7 mai 2021</w:t>
      </w:r>
    </w:p>
    <w:p w14:paraId="7A82F60B" w14:textId="77777777" w:rsidR="00630171" w:rsidRPr="007B3696" w:rsidRDefault="00630171" w:rsidP="00630171">
      <w:r w:rsidRPr="007B3696">
        <w:rPr>
          <w:rFonts w:eastAsia="SimSun"/>
        </w:rPr>
        <w:t xml:space="preserve">Point </w:t>
      </w:r>
      <w:r w:rsidRPr="007B3696">
        <w:t>5 b) de l</w:t>
      </w:r>
      <w:r>
        <w:t>’</w:t>
      </w:r>
      <w:r w:rsidRPr="007B3696">
        <w:t>ordre du jour provisoire</w:t>
      </w:r>
    </w:p>
    <w:p w14:paraId="0D25FC56" w14:textId="77777777" w:rsidR="00630171" w:rsidRPr="007B3696" w:rsidRDefault="00630171" w:rsidP="00630171">
      <w:pPr>
        <w:rPr>
          <w:b/>
          <w:bCs/>
        </w:rPr>
      </w:pPr>
      <w:r w:rsidRPr="007B3696">
        <w:rPr>
          <w:b/>
          <w:bCs/>
        </w:rPr>
        <w:t>Propositions d</w:t>
      </w:r>
      <w:r>
        <w:rPr>
          <w:b/>
          <w:bCs/>
        </w:rPr>
        <w:t>’</w:t>
      </w:r>
      <w:r w:rsidRPr="007B3696">
        <w:rPr>
          <w:b/>
          <w:bCs/>
        </w:rPr>
        <w:t>amendements aux annexes A et B de l</w:t>
      </w:r>
      <w:r>
        <w:rPr>
          <w:b/>
          <w:bCs/>
        </w:rPr>
        <w:t>’</w:t>
      </w:r>
      <w:r w:rsidRPr="007B3696">
        <w:rPr>
          <w:b/>
          <w:bCs/>
        </w:rPr>
        <w:t>ADR</w:t>
      </w:r>
      <w:r w:rsidR="00F04F71">
        <w:rPr>
          <w:b/>
          <w:bCs/>
        </w:rPr>
        <w:t> </w:t>
      </w:r>
      <w:r w:rsidRPr="007B3696">
        <w:rPr>
          <w:b/>
          <w:bCs/>
        </w:rPr>
        <w:t>:</w:t>
      </w:r>
    </w:p>
    <w:p w14:paraId="054E17EF" w14:textId="77777777" w:rsidR="00630171" w:rsidRPr="007B3696" w:rsidRDefault="00630171" w:rsidP="00630171">
      <w:pPr>
        <w:rPr>
          <w:b/>
          <w:bCs/>
        </w:rPr>
      </w:pPr>
      <w:r w:rsidRPr="007B3696">
        <w:rPr>
          <w:b/>
          <w:bCs/>
          <w:szCs w:val="24"/>
        </w:rPr>
        <w:t xml:space="preserve">Propositions diverses </w:t>
      </w:r>
    </w:p>
    <w:p w14:paraId="1FF8D124" w14:textId="77777777" w:rsidR="00630171" w:rsidRPr="007B3696" w:rsidRDefault="00630171" w:rsidP="00F04F71">
      <w:pPr>
        <w:pStyle w:val="HChG"/>
      </w:pPr>
      <w:r w:rsidRPr="007B3696">
        <w:tab/>
      </w:r>
      <w:r w:rsidRPr="007B3696">
        <w:tab/>
        <w:t>Prescriptions relatives à la surveillance pour les détonateurs</w:t>
      </w:r>
    </w:p>
    <w:p w14:paraId="277C1717" w14:textId="77777777" w:rsidR="00630171" w:rsidRPr="007B3696" w:rsidRDefault="00630171" w:rsidP="00680888">
      <w:pPr>
        <w:pStyle w:val="H1G"/>
      </w:pPr>
      <w:r w:rsidRPr="007B3696">
        <w:tab/>
      </w:r>
      <w:r w:rsidRPr="007B3696">
        <w:tab/>
        <w:t>Note du secrétariat</w:t>
      </w:r>
      <w:r w:rsidRPr="00680888">
        <w:rPr>
          <w:b w:val="0"/>
          <w:bCs/>
          <w:sz w:val="20"/>
        </w:rPr>
        <w:footnoteReference w:customMarkFollows="1" w:id="2"/>
        <w:sym w:font="Symbol" w:char="F02A"/>
      </w:r>
    </w:p>
    <w:p w14:paraId="5E8E8BFE" w14:textId="77777777" w:rsidR="00630171" w:rsidRPr="007B3696" w:rsidRDefault="00630171" w:rsidP="00680888">
      <w:pPr>
        <w:pStyle w:val="HChG"/>
      </w:pPr>
      <w:r w:rsidRPr="007B3696">
        <w:tab/>
      </w:r>
      <w:r w:rsidRPr="007B3696">
        <w:tab/>
        <w:t>Introduction</w:t>
      </w:r>
    </w:p>
    <w:p w14:paraId="1D9D89C9" w14:textId="77777777" w:rsidR="00630171" w:rsidRPr="007B3696" w:rsidRDefault="00630171" w:rsidP="00680888">
      <w:pPr>
        <w:pStyle w:val="SingleTxtG"/>
      </w:pPr>
      <w:r w:rsidRPr="007B3696">
        <w:t>1.</w:t>
      </w:r>
      <w:r w:rsidRPr="007B3696">
        <w:tab/>
        <w:t>Au cours de la discussion portant sur les prescriptions relatives à la surveillance dans la disposition spéciale S1 (6) lors de la 108</w:t>
      </w:r>
      <w:r w:rsidRPr="007B3696">
        <w:rPr>
          <w:vertAlign w:val="superscript"/>
        </w:rPr>
        <w:t>e</w:t>
      </w:r>
      <w:r w:rsidR="00680888">
        <w:t> </w:t>
      </w:r>
      <w:r w:rsidRPr="007B3696">
        <w:t xml:space="preserve">session du Groupe de travail, le secrétariat a indiqué au Groupe que certains </w:t>
      </w:r>
      <w:bookmarkStart w:id="1" w:name="_Hlk65736877"/>
      <w:r w:rsidRPr="007B3696">
        <w:t xml:space="preserve">amendements corollaires </w:t>
      </w:r>
      <w:bookmarkEnd w:id="1"/>
      <w:r w:rsidRPr="007B3696">
        <w:t>n</w:t>
      </w:r>
      <w:r>
        <w:t>’</w:t>
      </w:r>
      <w:r w:rsidRPr="007B3696">
        <w:t>avaient peut-être pas été pris en compte à la section</w:t>
      </w:r>
      <w:r w:rsidR="00680888">
        <w:t> </w:t>
      </w:r>
      <w:r w:rsidRPr="007B3696">
        <w:t>1.10.4 et dans la disposition spéciale S1 (6) du chapitre</w:t>
      </w:r>
      <w:r w:rsidR="00285CCE">
        <w:t> </w:t>
      </w:r>
      <w:r w:rsidRPr="007B3696">
        <w:t>8.5 lors de l</w:t>
      </w:r>
      <w:r>
        <w:t>’</w:t>
      </w:r>
      <w:r w:rsidRPr="007B3696">
        <w:t xml:space="preserve">harmonisation du RID/ADR/ADN avec la vingt et unième édition du Règlement type. </w:t>
      </w:r>
    </w:p>
    <w:p w14:paraId="3FBB96D2" w14:textId="77777777" w:rsidR="00630171" w:rsidRPr="007B3696" w:rsidRDefault="00630171" w:rsidP="00680888">
      <w:pPr>
        <w:pStyle w:val="SingleTxtG"/>
        <w:rPr>
          <w:rFonts w:eastAsia="SimSun"/>
          <w:lang w:eastAsia="zh-CN"/>
        </w:rPr>
      </w:pPr>
      <w:r w:rsidRPr="007B3696">
        <w:t>2.</w:t>
      </w:r>
      <w:r w:rsidRPr="007B3696">
        <w:tab/>
        <w:t>Étant donné que la section</w:t>
      </w:r>
      <w:r w:rsidR="00285CCE">
        <w:t> </w:t>
      </w:r>
      <w:r w:rsidRPr="007B3696">
        <w:t>1.10.4 est harmonisée entre le RID, l</w:t>
      </w:r>
      <w:r>
        <w:t>’</w:t>
      </w:r>
      <w:r w:rsidRPr="007B3696">
        <w:t>ADR et l</w:t>
      </w:r>
      <w:r>
        <w:t>’</w:t>
      </w:r>
      <w:r w:rsidRPr="007B3696">
        <w:t xml:space="preserve">ADN, le secrétariat a présenté un document sur cette question à la Réunion commune lors de sa session de mars 2021 </w:t>
      </w:r>
      <w:r w:rsidRPr="007B3696">
        <w:rPr>
          <w:rFonts w:eastAsia="SimSun"/>
          <w:lang w:eastAsia="zh-CN"/>
        </w:rPr>
        <w:t>(voir ECE/TRANS/WP.15/AC.1/2021/4).</w:t>
      </w:r>
    </w:p>
    <w:p w14:paraId="1A95D5FA" w14:textId="77777777" w:rsidR="00630171" w:rsidRPr="007B3696" w:rsidRDefault="00630171" w:rsidP="00680888">
      <w:pPr>
        <w:pStyle w:val="SingleTxtG"/>
      </w:pPr>
      <w:r w:rsidRPr="007B3696">
        <w:rPr>
          <w:lang w:eastAsia="zh-CN"/>
        </w:rPr>
        <w:t>3.</w:t>
      </w:r>
      <w:r w:rsidRPr="007B3696">
        <w:rPr>
          <w:lang w:eastAsia="zh-CN"/>
        </w:rPr>
        <w:tab/>
        <w:t>L</w:t>
      </w:r>
      <w:r>
        <w:rPr>
          <w:lang w:eastAsia="zh-CN"/>
        </w:rPr>
        <w:t>’</w:t>
      </w:r>
      <w:r w:rsidRPr="007B3696">
        <w:rPr>
          <w:lang w:eastAsia="zh-CN"/>
        </w:rPr>
        <w:t>amendement corollaire proposé pour la disposition spéciale S1 (6) du chapitre</w:t>
      </w:r>
      <w:r w:rsidR="00DF46C4">
        <w:rPr>
          <w:lang w:eastAsia="zh-CN"/>
        </w:rPr>
        <w:t> </w:t>
      </w:r>
      <w:r w:rsidRPr="007B3696">
        <w:rPr>
          <w:lang w:eastAsia="zh-CN"/>
        </w:rPr>
        <w:t>8.5 de l</w:t>
      </w:r>
      <w:r>
        <w:rPr>
          <w:lang w:eastAsia="zh-CN"/>
        </w:rPr>
        <w:t>’</w:t>
      </w:r>
      <w:r w:rsidRPr="007B3696">
        <w:rPr>
          <w:lang w:eastAsia="zh-CN"/>
        </w:rPr>
        <w:t>ADR est soumis ci-après au Groupe de travail pour examen.</w:t>
      </w:r>
    </w:p>
    <w:p w14:paraId="013E8994" w14:textId="77777777" w:rsidR="00630171" w:rsidRPr="007B3696" w:rsidRDefault="00630171" w:rsidP="00DF46C4">
      <w:pPr>
        <w:pStyle w:val="HChG"/>
      </w:pPr>
      <w:r w:rsidRPr="007B3696">
        <w:tab/>
      </w:r>
      <w:r w:rsidRPr="007B3696">
        <w:tab/>
        <w:t>Historique</w:t>
      </w:r>
    </w:p>
    <w:p w14:paraId="57309741" w14:textId="77777777" w:rsidR="00630171" w:rsidRPr="007B3696" w:rsidRDefault="00630171" w:rsidP="00DF46C4">
      <w:pPr>
        <w:pStyle w:val="SingleTxtG"/>
      </w:pPr>
      <w:r w:rsidRPr="007B3696">
        <w:t>4.</w:t>
      </w:r>
      <w:r w:rsidRPr="007B3696">
        <w:tab/>
        <w:t>Compte tenu de l</w:t>
      </w:r>
      <w:r>
        <w:t>’</w:t>
      </w:r>
      <w:r w:rsidRPr="007B3696">
        <w:t>harmonisation avec la vingt et unième édition du Règlement type, trois nouvelles rubriques ont été introduites dans le RID/ADR/ADN 2021</w:t>
      </w:r>
      <w:r w:rsidR="00DF46C4">
        <w:t> </w:t>
      </w:r>
      <w:r w:rsidRPr="007B3696">
        <w:t xml:space="preserve">: 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4001"/>
        <w:gridCol w:w="957"/>
        <w:gridCol w:w="1109"/>
      </w:tblGrid>
      <w:tr w:rsidR="00630171" w:rsidRPr="00DF46C4" w14:paraId="50E3E1EB" w14:textId="77777777" w:rsidTr="00FF5142">
        <w:trPr>
          <w:cantSplit/>
          <w:tblHeader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840F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DF46C4">
              <w:rPr>
                <w:bCs/>
                <w:sz w:val="18"/>
                <w:szCs w:val="18"/>
              </w:rPr>
              <w:t>0511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2AE2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DF46C4">
              <w:rPr>
                <w:sz w:val="18"/>
                <w:szCs w:val="18"/>
              </w:rPr>
              <w:t>DÉTONATEURS de mine (de sautage) ÉLECTRONIQUES programmables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0E9E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DF46C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087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DF46C4">
              <w:rPr>
                <w:sz w:val="18"/>
                <w:szCs w:val="18"/>
              </w:rPr>
              <w:t>1.1B</w:t>
            </w:r>
          </w:p>
        </w:tc>
      </w:tr>
      <w:tr w:rsidR="00630171" w:rsidRPr="00DF46C4" w14:paraId="59BB7BF3" w14:textId="77777777" w:rsidTr="00FF5142">
        <w:trPr>
          <w:cantSplit/>
          <w:tblHeader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DD45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DF46C4">
              <w:rPr>
                <w:bCs/>
                <w:sz w:val="18"/>
                <w:szCs w:val="18"/>
              </w:rPr>
              <w:t>0512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54B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DF46C4">
              <w:rPr>
                <w:sz w:val="18"/>
                <w:szCs w:val="18"/>
              </w:rPr>
              <w:t>DÉTONATEURS de mine (de sautage) ÉLECTRONIQUES programmables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774C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DF46C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B6A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DF46C4">
              <w:rPr>
                <w:sz w:val="18"/>
                <w:szCs w:val="18"/>
              </w:rPr>
              <w:t>1.4B</w:t>
            </w:r>
          </w:p>
        </w:tc>
      </w:tr>
      <w:tr w:rsidR="00630171" w:rsidRPr="00DF46C4" w14:paraId="6641808B" w14:textId="77777777" w:rsidTr="00FF5142">
        <w:trPr>
          <w:cantSplit/>
          <w:tblHeader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0D32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DF46C4">
              <w:rPr>
                <w:bCs/>
                <w:sz w:val="18"/>
                <w:szCs w:val="18"/>
              </w:rPr>
              <w:t>0513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EA90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DF46C4">
              <w:rPr>
                <w:sz w:val="18"/>
                <w:szCs w:val="18"/>
              </w:rPr>
              <w:t>DÉTONATEURS de mine (de sautage) ÉLECTRONIQUES programmables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8760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DF46C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1D2" w14:textId="77777777" w:rsidR="00630171" w:rsidRPr="00DF46C4" w:rsidRDefault="00630171" w:rsidP="00DF46C4">
            <w:pPr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DF46C4">
              <w:rPr>
                <w:sz w:val="18"/>
                <w:szCs w:val="18"/>
              </w:rPr>
              <w:t>1.4S</w:t>
            </w:r>
          </w:p>
        </w:tc>
      </w:tr>
    </w:tbl>
    <w:p w14:paraId="79ED4D0D" w14:textId="77777777" w:rsidR="00630171" w:rsidRPr="007B3696" w:rsidRDefault="00630171" w:rsidP="00837C6D">
      <w:pPr>
        <w:pStyle w:val="SingleTxtG"/>
      </w:pPr>
      <w:r w:rsidRPr="007B3696">
        <w:lastRenderedPageBreak/>
        <w:t>5.</w:t>
      </w:r>
      <w:r w:rsidRPr="007B3696">
        <w:tab/>
        <w:t>Conformément à la disposition spéciale S1 (6) du chapitre</w:t>
      </w:r>
      <w:r w:rsidR="00837C6D">
        <w:t> </w:t>
      </w:r>
      <w:r w:rsidRPr="007B3696">
        <w:t>8.5, les prescriptions du chapitre</w:t>
      </w:r>
      <w:r w:rsidR="00837C6D">
        <w:t> </w:t>
      </w:r>
      <w:r w:rsidRPr="007B3696">
        <w:t>8.4 relatives à la surveillance s</w:t>
      </w:r>
      <w:r>
        <w:t>’</w:t>
      </w:r>
      <w:r w:rsidRPr="007B3696">
        <w:t>appliquent aux matières et objets explosibles de la division</w:t>
      </w:r>
      <w:r w:rsidR="00837C6D">
        <w:t> </w:t>
      </w:r>
      <w:r w:rsidRPr="007B3696">
        <w:t>1.4 de plus de 50</w:t>
      </w:r>
      <w:r w:rsidR="00837C6D">
        <w:t> </w:t>
      </w:r>
      <w:r w:rsidRPr="007B3696">
        <w:t>kg transportés dans un véhicule. Toutefois, pour les détonateurs de la division</w:t>
      </w:r>
      <w:r w:rsidR="00935AC1">
        <w:t> </w:t>
      </w:r>
      <w:r w:rsidRPr="007B3696">
        <w:t>1.4B et de la division 1.4S, à l</w:t>
      </w:r>
      <w:r>
        <w:t>’</w:t>
      </w:r>
      <w:r w:rsidRPr="007B3696">
        <w:t>exception de ceux qui ont été récemment introduits, les prescriptions relatives à la surveillance s</w:t>
      </w:r>
      <w:r>
        <w:t>’</w:t>
      </w:r>
      <w:r w:rsidRPr="007B3696">
        <w:t xml:space="preserve">appliquent quelle que soit la quantité transportée. </w:t>
      </w:r>
    </w:p>
    <w:p w14:paraId="1FB1F5E5" w14:textId="77777777" w:rsidR="00630171" w:rsidRPr="007B3696" w:rsidRDefault="00630171" w:rsidP="00837C6D">
      <w:pPr>
        <w:pStyle w:val="SingleTxtG"/>
      </w:pPr>
      <w:r w:rsidRPr="007B3696">
        <w:t>6.</w:t>
      </w:r>
      <w:r w:rsidRPr="007B3696">
        <w:tab/>
        <w:t>Le Groupe de travail souhaitera peut-être se demander s</w:t>
      </w:r>
      <w:r>
        <w:t>’</w:t>
      </w:r>
      <w:r w:rsidRPr="007B3696">
        <w:t>il convient d</w:t>
      </w:r>
      <w:r>
        <w:t>’</w:t>
      </w:r>
      <w:r w:rsidRPr="007B3696">
        <w:t xml:space="preserve">adopter la même démarche en ce qui concerne les détonateurs </w:t>
      </w:r>
      <w:proofErr w:type="spellStart"/>
      <w:r w:rsidRPr="007B3696">
        <w:t>des</w:t>
      </w:r>
      <w:proofErr w:type="spellEnd"/>
      <w:r w:rsidRPr="007B3696">
        <w:t xml:space="preserve"> </w:t>
      </w:r>
      <w:r w:rsidR="00935AC1">
        <w:rPr>
          <w:rFonts w:eastAsia="MS Mincho"/>
        </w:rPr>
        <w:t>n</w:t>
      </w:r>
      <w:r w:rsidR="00935AC1">
        <w:rPr>
          <w:rFonts w:eastAsia="MS Mincho"/>
          <w:vertAlign w:val="superscript"/>
        </w:rPr>
        <w:t>os</w:t>
      </w:r>
      <w:r w:rsidR="00935AC1">
        <w:t> </w:t>
      </w:r>
      <w:r w:rsidRPr="007B3696">
        <w:t>ONU 0512 et 0513 et, s</w:t>
      </w:r>
      <w:r>
        <w:t>’</w:t>
      </w:r>
      <w:r w:rsidRPr="007B3696">
        <w:t>il le juge nécessaire, adopter la proposition d</w:t>
      </w:r>
      <w:r>
        <w:t>’</w:t>
      </w:r>
      <w:r w:rsidRPr="007B3696">
        <w:t>amendement suivante.</w:t>
      </w:r>
    </w:p>
    <w:p w14:paraId="09330393" w14:textId="77777777" w:rsidR="00630171" w:rsidRPr="007B3696" w:rsidRDefault="00630171" w:rsidP="006D206D">
      <w:pPr>
        <w:pStyle w:val="HChG"/>
      </w:pPr>
      <w:r w:rsidRPr="007B3696">
        <w:tab/>
      </w:r>
      <w:r w:rsidRPr="007B3696">
        <w:tab/>
        <w:t>Proposition</w:t>
      </w:r>
    </w:p>
    <w:p w14:paraId="051CC66B" w14:textId="77777777" w:rsidR="00630171" w:rsidRPr="007B3696" w:rsidRDefault="00630171" w:rsidP="00837C6D">
      <w:pPr>
        <w:pStyle w:val="SingleTxtG"/>
        <w:keepNext/>
      </w:pPr>
      <w:r w:rsidRPr="007B3696">
        <w:t>7.</w:t>
      </w:r>
      <w:r w:rsidRPr="007B3696">
        <w:tab/>
        <w:t>Chapitre 8.5, disposition spéciale S1 (6)</w:t>
      </w:r>
      <w:r w:rsidR="00837C6D">
        <w:t> :</w:t>
      </w:r>
    </w:p>
    <w:p w14:paraId="3BF4AA33" w14:textId="77777777" w:rsidR="00F9573C" w:rsidRDefault="00630171" w:rsidP="00837C6D">
      <w:pPr>
        <w:pStyle w:val="SingleTxtG"/>
        <w:ind w:left="1701"/>
      </w:pPr>
      <w:r w:rsidRPr="007B3696">
        <w:tab/>
      </w:r>
      <w:r w:rsidR="00F04F71">
        <w:t>D</w:t>
      </w:r>
      <w:r w:rsidRPr="007B3696">
        <w:t xml:space="preserve">ans la liste du premier paragraphe remplacer </w:t>
      </w:r>
      <w:r w:rsidR="006D206D">
        <w:t>« </w:t>
      </w:r>
      <w:r w:rsidRPr="007B3696">
        <w:t>et 0500</w:t>
      </w:r>
      <w:r w:rsidR="006D206D">
        <w:t> »</w:t>
      </w:r>
      <w:r w:rsidRPr="007B3696">
        <w:t xml:space="preserve"> par </w:t>
      </w:r>
      <w:proofErr w:type="gramStart"/>
      <w:r w:rsidR="006D206D">
        <w:t>« </w:t>
      </w:r>
      <w:r w:rsidRPr="007B3696">
        <w:t>,</w:t>
      </w:r>
      <w:proofErr w:type="gramEnd"/>
      <w:r w:rsidRPr="007B3696">
        <w:t xml:space="preserve"> 0500, 0512 et 0513</w:t>
      </w:r>
      <w:r w:rsidR="000761C4">
        <w:t> »</w:t>
      </w:r>
      <w:r w:rsidRPr="007B3696">
        <w:t>.</w:t>
      </w:r>
    </w:p>
    <w:p w14:paraId="34322A43" w14:textId="77777777" w:rsidR="00F04F71" w:rsidRPr="00C2749E" w:rsidRDefault="00F04F71" w:rsidP="00C2749E">
      <w:pPr>
        <w:pStyle w:val="SingleTxtG"/>
        <w:spacing w:before="240" w:after="0"/>
        <w:jc w:val="center"/>
        <w:rPr>
          <w:u w:val="single"/>
        </w:rPr>
      </w:pPr>
      <w:r>
        <w:tab/>
      </w:r>
      <w:r w:rsidR="00C2749E">
        <w:rPr>
          <w:u w:val="single"/>
        </w:rPr>
        <w:tab/>
      </w:r>
      <w:r w:rsidR="00C2749E">
        <w:rPr>
          <w:u w:val="single"/>
        </w:rPr>
        <w:tab/>
      </w:r>
      <w:r w:rsidR="00C2749E">
        <w:rPr>
          <w:u w:val="single"/>
        </w:rPr>
        <w:tab/>
      </w:r>
    </w:p>
    <w:sectPr w:rsidR="00F04F71" w:rsidRPr="00C2749E" w:rsidSect="00550FF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5C387" w14:textId="77777777" w:rsidR="00044E55" w:rsidRDefault="00044E55" w:rsidP="00F95C08">
      <w:pPr>
        <w:spacing w:line="240" w:lineRule="auto"/>
      </w:pPr>
    </w:p>
  </w:endnote>
  <w:endnote w:type="continuationSeparator" w:id="0">
    <w:p w14:paraId="6231757B" w14:textId="77777777" w:rsidR="00044E55" w:rsidRPr="00AC3823" w:rsidRDefault="00044E55" w:rsidP="00AC3823">
      <w:pPr>
        <w:pStyle w:val="Footer"/>
      </w:pPr>
    </w:p>
  </w:endnote>
  <w:endnote w:type="continuationNotice" w:id="1">
    <w:p w14:paraId="03B130D8" w14:textId="77777777" w:rsidR="00044E55" w:rsidRDefault="00044E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88A3" w14:textId="77777777" w:rsidR="00550FFF" w:rsidRPr="00550FFF" w:rsidRDefault="00550FFF" w:rsidP="00550FFF">
    <w:pPr>
      <w:pStyle w:val="Footer"/>
      <w:tabs>
        <w:tab w:val="right" w:pos="9638"/>
      </w:tabs>
    </w:pPr>
    <w:r w:rsidRPr="00550FFF">
      <w:rPr>
        <w:b/>
        <w:sz w:val="18"/>
      </w:rPr>
      <w:fldChar w:fldCharType="begin"/>
    </w:r>
    <w:r w:rsidRPr="00550FFF">
      <w:rPr>
        <w:b/>
        <w:sz w:val="18"/>
      </w:rPr>
      <w:instrText xml:space="preserve"> PAGE  \* MERGEFORMAT </w:instrText>
    </w:r>
    <w:r w:rsidRPr="00550FFF">
      <w:rPr>
        <w:b/>
        <w:sz w:val="18"/>
      </w:rPr>
      <w:fldChar w:fldCharType="separate"/>
    </w:r>
    <w:r w:rsidRPr="00550FFF">
      <w:rPr>
        <w:b/>
        <w:noProof/>
        <w:sz w:val="18"/>
      </w:rPr>
      <w:t>2</w:t>
    </w:r>
    <w:r w:rsidRPr="00550FFF">
      <w:rPr>
        <w:b/>
        <w:sz w:val="18"/>
      </w:rPr>
      <w:fldChar w:fldCharType="end"/>
    </w:r>
    <w:r>
      <w:rPr>
        <w:b/>
        <w:sz w:val="18"/>
      </w:rPr>
      <w:tab/>
    </w:r>
    <w:r>
      <w:t>GE.21-01611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0891" w14:textId="77777777" w:rsidR="00550FFF" w:rsidRPr="00550FFF" w:rsidRDefault="00550FFF" w:rsidP="00550FFF">
    <w:pPr>
      <w:pStyle w:val="Footer"/>
      <w:tabs>
        <w:tab w:val="right" w:pos="9638"/>
      </w:tabs>
      <w:rPr>
        <w:b/>
        <w:sz w:val="18"/>
      </w:rPr>
    </w:pPr>
    <w:r>
      <w:t>GE.21-01611</w:t>
    </w:r>
    <w:r>
      <w:tab/>
    </w:r>
    <w:r w:rsidRPr="00550FFF">
      <w:rPr>
        <w:b/>
        <w:sz w:val="18"/>
      </w:rPr>
      <w:fldChar w:fldCharType="begin"/>
    </w:r>
    <w:r w:rsidRPr="00550FFF">
      <w:rPr>
        <w:b/>
        <w:sz w:val="18"/>
      </w:rPr>
      <w:instrText xml:space="preserve"> PAGE  \* MERGEFORMAT </w:instrText>
    </w:r>
    <w:r w:rsidRPr="00550FFF">
      <w:rPr>
        <w:b/>
        <w:sz w:val="18"/>
      </w:rPr>
      <w:fldChar w:fldCharType="separate"/>
    </w:r>
    <w:r w:rsidRPr="00550FFF">
      <w:rPr>
        <w:b/>
        <w:noProof/>
        <w:sz w:val="18"/>
      </w:rPr>
      <w:t>3</w:t>
    </w:r>
    <w:r w:rsidRPr="00550F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C3A1" w14:textId="5A691434" w:rsidR="007F20FA" w:rsidRPr="00550FFF" w:rsidRDefault="00550FFF" w:rsidP="00550FF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401E17F" wp14:editId="6734A2C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01611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6824D4E" wp14:editId="6FDC6A1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040321    0</w:t>
    </w:r>
    <w:r w:rsidR="003A226E">
      <w:rPr>
        <w:sz w:val="20"/>
      </w:rPr>
      <w:t>5</w:t>
    </w:r>
    <w:r>
      <w:rPr>
        <w:sz w:val="20"/>
      </w:rPr>
      <w:t>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4F3D" w14:textId="77777777" w:rsidR="00044E55" w:rsidRPr="00AC3823" w:rsidRDefault="00044E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B8822A" w14:textId="77777777" w:rsidR="00044E55" w:rsidRPr="00AC3823" w:rsidRDefault="00044E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B73B21" w14:textId="77777777" w:rsidR="00044E55" w:rsidRPr="00AC3823" w:rsidRDefault="00044E55">
      <w:pPr>
        <w:spacing w:line="240" w:lineRule="auto"/>
        <w:rPr>
          <w:sz w:val="2"/>
          <w:szCs w:val="2"/>
        </w:rPr>
      </w:pPr>
    </w:p>
  </w:footnote>
  <w:footnote w:id="2">
    <w:p w14:paraId="75DE3257" w14:textId="77777777" w:rsidR="00630171" w:rsidRDefault="00DF46C4" w:rsidP="00630171">
      <w:pPr>
        <w:pStyle w:val="FootnoteText"/>
      </w:pPr>
      <w:r>
        <w:rPr>
          <w:sz w:val="20"/>
        </w:rPr>
        <w:tab/>
      </w:r>
      <w:r w:rsidR="00630171">
        <w:rPr>
          <w:sz w:val="20"/>
        </w:rPr>
        <w:sym w:font="Symbol" w:char="F02A"/>
      </w:r>
      <w:r w:rsidR="00630171">
        <w:tab/>
      </w:r>
      <w:r w:rsidR="00630171" w:rsidRPr="008418C1">
        <w:t>A/75/6 (</w:t>
      </w:r>
      <w:r>
        <w:t>s</w:t>
      </w:r>
      <w:r w:rsidR="00630171" w:rsidRPr="008418C1">
        <w:t>ect.20), par</w:t>
      </w:r>
      <w:r w:rsidR="00630171">
        <w:t>.</w:t>
      </w:r>
      <w:r>
        <w:t> </w:t>
      </w:r>
      <w:r w:rsidR="00630171" w:rsidRPr="008418C1">
        <w:t>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14C9" w14:textId="1CE7DE98" w:rsidR="00550FFF" w:rsidRPr="00550FFF" w:rsidRDefault="00914A3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A226E">
      <w:t>ECE/TRANS/WP.15/2021/3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81E1" w14:textId="40368606" w:rsidR="00550FFF" w:rsidRPr="00550FFF" w:rsidRDefault="00914A3D" w:rsidP="00550FF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A226E">
      <w:t>ECE/TRANS/WP.15/2021/3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55"/>
    <w:rsid w:val="00017F94"/>
    <w:rsid w:val="00023842"/>
    <w:rsid w:val="000334F9"/>
    <w:rsid w:val="00044E55"/>
    <w:rsid w:val="00045FEB"/>
    <w:rsid w:val="000761C4"/>
    <w:rsid w:val="0007796D"/>
    <w:rsid w:val="000B7790"/>
    <w:rsid w:val="00111F2F"/>
    <w:rsid w:val="0014365E"/>
    <w:rsid w:val="00143C66"/>
    <w:rsid w:val="00176178"/>
    <w:rsid w:val="001F3805"/>
    <w:rsid w:val="001F525A"/>
    <w:rsid w:val="00201148"/>
    <w:rsid w:val="00223272"/>
    <w:rsid w:val="0024779E"/>
    <w:rsid w:val="00257168"/>
    <w:rsid w:val="002744B8"/>
    <w:rsid w:val="002832AC"/>
    <w:rsid w:val="00285CCE"/>
    <w:rsid w:val="002D7C93"/>
    <w:rsid w:val="00305801"/>
    <w:rsid w:val="003916DE"/>
    <w:rsid w:val="003A226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50FFF"/>
    <w:rsid w:val="00573BE5"/>
    <w:rsid w:val="00586ED3"/>
    <w:rsid w:val="00596AA9"/>
    <w:rsid w:val="00630171"/>
    <w:rsid w:val="00680888"/>
    <w:rsid w:val="006D206D"/>
    <w:rsid w:val="0071601D"/>
    <w:rsid w:val="007A62E6"/>
    <w:rsid w:val="007F20FA"/>
    <w:rsid w:val="0080684C"/>
    <w:rsid w:val="00837C6D"/>
    <w:rsid w:val="00871C75"/>
    <w:rsid w:val="008776DC"/>
    <w:rsid w:val="008D5EF9"/>
    <w:rsid w:val="00914A3D"/>
    <w:rsid w:val="00935AC1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749E"/>
    <w:rsid w:val="00C97039"/>
    <w:rsid w:val="00D3439C"/>
    <w:rsid w:val="00D7622E"/>
    <w:rsid w:val="00DB1831"/>
    <w:rsid w:val="00DD3BFD"/>
    <w:rsid w:val="00DF46C4"/>
    <w:rsid w:val="00DF6678"/>
    <w:rsid w:val="00E0299A"/>
    <w:rsid w:val="00E85C74"/>
    <w:rsid w:val="00EA6547"/>
    <w:rsid w:val="00ED7237"/>
    <w:rsid w:val="00EF2E22"/>
    <w:rsid w:val="00F04F71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E994A"/>
  <w15:docId w15:val="{F8B91F18-8874-4F59-83FA-E3D55B9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3F1EF-EA39-444C-8E89-50E75A6FE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C2241-AE98-45E9-AC77-C66EEF4B5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A0D96-CD31-42B5-A32C-090E3DDA07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ECE/TRANS/WP.15/2021/3</vt:lpstr>
    </vt:vector>
  </TitlesOfParts>
  <Company>DCM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ECE/TRANS/WP.15/2021/3</dc:title>
  <dc:subject/>
  <dc:creator>Nathalie VITTOZ</dc:creator>
  <cp:keywords/>
  <cp:lastModifiedBy>Christine Barrio-Champeau</cp:lastModifiedBy>
  <cp:revision>2</cp:revision>
  <cp:lastPrinted>2021-03-05T10:55:00Z</cp:lastPrinted>
  <dcterms:created xsi:type="dcterms:W3CDTF">2021-03-05T16:17:00Z</dcterms:created>
  <dcterms:modified xsi:type="dcterms:W3CDTF">2021-03-05T16:17:00Z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