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15F18"/>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15F18" w:rsidP="00315F18">
            <w:pPr>
              <w:jc w:val="right"/>
            </w:pPr>
            <w:r w:rsidRPr="00315F18">
              <w:rPr>
                <w:sz w:val="40"/>
              </w:rPr>
              <w:t>ECE</w:t>
            </w:r>
            <w:r>
              <w:t>/TRANS/WP.29/GRSP/2021/14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15F18" w:rsidP="00C97039">
            <w:pPr>
              <w:spacing w:before="240"/>
            </w:pPr>
            <w:proofErr w:type="spellStart"/>
            <w:r>
              <w:t>Distr</w:t>
            </w:r>
            <w:proofErr w:type="spellEnd"/>
            <w:r>
              <w:t>. générale</w:t>
            </w:r>
          </w:p>
          <w:p w:rsidR="00315F18" w:rsidRDefault="00315F18" w:rsidP="00315F18">
            <w:pPr>
              <w:spacing w:line="240" w:lineRule="exact"/>
            </w:pPr>
            <w:r>
              <w:t>5 mars 2021</w:t>
            </w:r>
          </w:p>
          <w:p w:rsidR="00315F18" w:rsidRDefault="00315F18" w:rsidP="00315F18">
            <w:pPr>
              <w:spacing w:line="240" w:lineRule="exact"/>
            </w:pPr>
            <w:r>
              <w:t>Français</w:t>
            </w:r>
          </w:p>
          <w:p w:rsidR="00315F18" w:rsidRPr="00DB58B5" w:rsidRDefault="00315F18" w:rsidP="00315F1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BC0EFA">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BC0EFA" w:rsidRDefault="00BC0EFA"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C0EFA" w:rsidRDefault="00BC0EFA" w:rsidP="00257168">
      <w:pPr>
        <w:spacing w:before="120" w:after="120" w:line="240" w:lineRule="exact"/>
        <w:rPr>
          <w:b/>
        </w:rPr>
      </w:pPr>
      <w:r>
        <w:rPr>
          <w:b/>
        </w:rPr>
        <w:t>Groupe de travail de la sécurité passive</w:t>
      </w:r>
    </w:p>
    <w:p w:rsidR="00BC0EFA" w:rsidRDefault="00BC0EFA" w:rsidP="00257168">
      <w:pPr>
        <w:spacing w:before="120" w:line="240" w:lineRule="exact"/>
        <w:rPr>
          <w:b/>
        </w:rPr>
      </w:pPr>
      <w:r>
        <w:rPr>
          <w:b/>
          <w:bCs/>
          <w:lang w:val="fr-FR"/>
        </w:rPr>
        <w:t xml:space="preserve">Soixante-neuvième </w:t>
      </w:r>
      <w:r>
        <w:rPr>
          <w:b/>
        </w:rPr>
        <w:t>session</w:t>
      </w:r>
    </w:p>
    <w:p w:rsidR="00BC0EFA" w:rsidRPr="00F4641E" w:rsidRDefault="00BC0EFA" w:rsidP="00BC0EFA">
      <w:pPr>
        <w:rPr>
          <w:lang w:val="fr-FR"/>
        </w:rPr>
      </w:pPr>
      <w:r>
        <w:rPr>
          <w:lang w:val="fr-FR"/>
        </w:rPr>
        <w:t>Genève, 17-21 mai 2021</w:t>
      </w:r>
    </w:p>
    <w:p w:rsidR="00BC0EFA" w:rsidRPr="00F4641E" w:rsidRDefault="00BC0EFA" w:rsidP="00BC0EFA">
      <w:pPr>
        <w:rPr>
          <w:lang w:val="fr-FR"/>
        </w:rPr>
      </w:pPr>
      <w:r>
        <w:rPr>
          <w:lang w:val="fr-FR"/>
        </w:rPr>
        <w:t>Point 14 de l’ordre du jour provisoire</w:t>
      </w:r>
    </w:p>
    <w:p w:rsidR="00F9573C" w:rsidRDefault="00BC0EFA" w:rsidP="00BC0EFA">
      <w:pPr>
        <w:spacing w:line="240" w:lineRule="exact"/>
        <w:rPr>
          <w:b/>
          <w:bCs/>
          <w:lang w:val="fr-FR"/>
        </w:rPr>
      </w:pPr>
      <w:r>
        <w:rPr>
          <w:b/>
          <w:bCs/>
          <w:lang w:val="fr-FR"/>
        </w:rPr>
        <w:t>Règlement ONU n</w:t>
      </w:r>
      <w:r>
        <w:rPr>
          <w:b/>
          <w:bCs/>
          <w:vertAlign w:val="superscript"/>
          <w:lang w:val="fr-FR"/>
        </w:rPr>
        <w:t>o</w:t>
      </w:r>
      <w:r>
        <w:rPr>
          <w:b/>
          <w:bCs/>
          <w:lang w:val="fr-FR"/>
        </w:rPr>
        <w:t> 135 (Choc latéral contre un poteau)</w:t>
      </w:r>
    </w:p>
    <w:p w:rsidR="00BC0EFA" w:rsidRPr="00F4641E" w:rsidRDefault="00BC0EFA" w:rsidP="00BC0EFA">
      <w:pPr>
        <w:pStyle w:val="HChG"/>
        <w:rPr>
          <w:lang w:val="fr-FR"/>
        </w:rPr>
      </w:pPr>
      <w:r>
        <w:rPr>
          <w:lang w:val="fr-FR"/>
        </w:rPr>
        <w:tab/>
      </w:r>
      <w:r>
        <w:rPr>
          <w:lang w:val="fr-FR"/>
        </w:rPr>
        <w:tab/>
      </w:r>
      <w:r w:rsidRPr="00BC0EFA">
        <w:t>Proposition</w:t>
      </w:r>
      <w:r>
        <w:rPr>
          <w:lang w:val="fr-FR"/>
        </w:rPr>
        <w:t xml:space="preserve"> de complément 3 à la série 01 d’amendements </w:t>
      </w:r>
      <w:r>
        <w:rPr>
          <w:lang w:val="fr-FR"/>
        </w:rPr>
        <w:br/>
        <w:t>au Règlement ONU n</w:t>
      </w:r>
      <w:r>
        <w:rPr>
          <w:vertAlign w:val="superscript"/>
          <w:lang w:val="fr-FR"/>
        </w:rPr>
        <w:t>o</w:t>
      </w:r>
      <w:r>
        <w:rPr>
          <w:lang w:val="fr-FR"/>
        </w:rPr>
        <w:t xml:space="preserve"> 135 (Essai de choc latéral contre </w:t>
      </w:r>
      <w:r>
        <w:rPr>
          <w:lang w:val="fr-FR"/>
        </w:rPr>
        <w:br/>
        <w:t>un poteau)</w:t>
      </w:r>
    </w:p>
    <w:p w:rsidR="00BC0EFA" w:rsidRPr="00F4641E" w:rsidRDefault="00BC0EFA" w:rsidP="00BC0EFA">
      <w:pPr>
        <w:pStyle w:val="H1G"/>
        <w:rPr>
          <w:lang w:val="fr-FR"/>
        </w:rPr>
      </w:pPr>
      <w:r>
        <w:rPr>
          <w:lang w:val="fr-FR"/>
        </w:rPr>
        <w:tab/>
      </w:r>
      <w:r>
        <w:rPr>
          <w:lang w:val="fr-FR"/>
        </w:rPr>
        <w:tab/>
      </w:r>
      <w:r>
        <w:rPr>
          <w:bCs/>
          <w:lang w:val="fr-FR"/>
        </w:rPr>
        <w:t>Communication des experts de l’Allemagne</w:t>
      </w:r>
      <w:r w:rsidRPr="00BC0EFA">
        <w:rPr>
          <w:rStyle w:val="Appelnotedebasdep"/>
          <w:b w:val="0"/>
          <w:bCs/>
          <w:sz w:val="20"/>
          <w:vertAlign w:val="baseline"/>
          <w:lang w:val="fr-FR"/>
        </w:rPr>
        <w:footnoteReference w:customMarkFollows="1" w:id="2"/>
        <w:t>*</w:t>
      </w:r>
    </w:p>
    <w:p w:rsidR="00BC0EFA" w:rsidRPr="00F4641E" w:rsidRDefault="00BC0EFA" w:rsidP="00BC0EFA">
      <w:pPr>
        <w:pStyle w:val="SingleTxtG"/>
        <w:ind w:firstLine="567"/>
        <w:rPr>
          <w:snapToGrid w:val="0"/>
          <w:lang w:val="fr-FR"/>
        </w:rPr>
      </w:pPr>
      <w:r>
        <w:rPr>
          <w:lang w:val="fr-FR"/>
        </w:rPr>
        <w:t>Le texte ci-après, établi par les experts de l’Allemagne, vise à définir des paramètres permettant une mesure reproductible de l’angle aigu alpha (α) en vue de déterminer si le véhicule relève ou non du champ d’application du Règlement ONU n</w:t>
      </w:r>
      <w:r>
        <w:rPr>
          <w:vertAlign w:val="superscript"/>
          <w:lang w:val="fr-FR"/>
        </w:rPr>
        <w:t>o</w:t>
      </w:r>
      <w:r>
        <w:rPr>
          <w:lang w:val="fr-FR"/>
        </w:rPr>
        <w:t> 135. Les modifications qu’il est proposé d’apporter au texte actuel du Règlement ONU figurent en caractères gras pour les ajouts.</w:t>
      </w:r>
    </w:p>
    <w:p w:rsidR="00BC0EFA" w:rsidRDefault="00BC0EFA">
      <w:pPr>
        <w:suppressAutoHyphens w:val="0"/>
        <w:kinsoku/>
        <w:overflowPunct/>
        <w:autoSpaceDE/>
        <w:autoSpaceDN/>
        <w:adjustRightInd/>
        <w:snapToGrid/>
        <w:spacing w:after="200" w:line="276" w:lineRule="auto"/>
        <w:rPr>
          <w:lang w:val="fr-FR"/>
        </w:rPr>
      </w:pPr>
      <w:r>
        <w:rPr>
          <w:lang w:val="fr-FR"/>
        </w:rPr>
        <w:br w:type="page"/>
      </w:r>
    </w:p>
    <w:p w:rsidR="00BC0EFA" w:rsidRPr="00F4641E" w:rsidRDefault="00BC0EFA" w:rsidP="00BC0EFA">
      <w:pPr>
        <w:pStyle w:val="HChG"/>
        <w:rPr>
          <w:lang w:val="fr-FR"/>
        </w:rPr>
      </w:pPr>
      <w:r>
        <w:rPr>
          <w:lang w:val="fr-FR"/>
        </w:rPr>
        <w:lastRenderedPageBreak/>
        <w:tab/>
        <w:t>I.</w:t>
      </w:r>
      <w:r>
        <w:rPr>
          <w:lang w:val="fr-FR"/>
        </w:rPr>
        <w:tab/>
      </w:r>
      <w:r>
        <w:rPr>
          <w:bCs/>
          <w:lang w:val="fr-FR"/>
        </w:rPr>
        <w:t>Proposition</w:t>
      </w:r>
    </w:p>
    <w:p w:rsidR="00BC0EFA" w:rsidRPr="00F4641E" w:rsidRDefault="00BC0EFA" w:rsidP="00BC0EFA">
      <w:pPr>
        <w:pStyle w:val="SingleTxtG"/>
        <w:rPr>
          <w:lang w:val="fr-FR"/>
        </w:rPr>
      </w:pPr>
      <w:r>
        <w:rPr>
          <w:i/>
          <w:iCs/>
          <w:lang w:val="fr-FR"/>
        </w:rPr>
        <w:t>Paragraphe 1</w:t>
      </w:r>
      <w:r>
        <w:rPr>
          <w:lang w:val="fr-FR"/>
        </w:rPr>
        <w:t>, lire :</w:t>
      </w:r>
    </w:p>
    <w:p w:rsidR="00BC0EFA" w:rsidRPr="00F4641E" w:rsidRDefault="00BC0EFA" w:rsidP="00BC0EFA">
      <w:pPr>
        <w:pStyle w:val="HChG"/>
        <w:ind w:firstLine="0"/>
        <w:rPr>
          <w:lang w:val="fr-FR"/>
        </w:rPr>
      </w:pPr>
      <w:bookmarkStart w:id="0" w:name="_Toc408307409"/>
      <w:r>
        <w:rPr>
          <w:bCs/>
          <w:lang w:val="fr-FR"/>
        </w:rPr>
        <w:t>« 1.</w:t>
      </w:r>
      <w:r>
        <w:rPr>
          <w:lang w:val="fr-FR"/>
        </w:rPr>
        <w:tab/>
      </w:r>
      <w:r>
        <w:rPr>
          <w:lang w:val="fr-FR"/>
        </w:rPr>
        <w:tab/>
      </w:r>
      <w:r>
        <w:rPr>
          <w:bCs/>
          <w:lang w:val="fr-FR"/>
        </w:rPr>
        <w:t>Champ d’application</w:t>
      </w:r>
      <w:r w:rsidRPr="00BC0EFA">
        <w:rPr>
          <w:rStyle w:val="Appelnotedebasdep"/>
          <w:b w:val="0"/>
          <w:bCs/>
          <w:szCs w:val="28"/>
          <w:lang w:val="fr-FR"/>
        </w:rPr>
        <w:footnoteReference w:id="3"/>
      </w:r>
      <w:bookmarkEnd w:id="0"/>
    </w:p>
    <w:p w:rsidR="00BC0EFA" w:rsidRPr="00F4641E" w:rsidRDefault="00BC0EFA" w:rsidP="00BC0EFA">
      <w:pPr>
        <w:spacing w:after="120" w:line="200" w:lineRule="atLeast"/>
        <w:ind w:left="2268" w:right="1134" w:hanging="1134"/>
        <w:jc w:val="both"/>
        <w:rPr>
          <w:lang w:val="fr-FR"/>
        </w:rPr>
      </w:pPr>
      <w:r>
        <w:rPr>
          <w:lang w:val="fr-FR"/>
        </w:rPr>
        <w:t>1.1</w:t>
      </w:r>
      <w:r>
        <w:rPr>
          <w:lang w:val="fr-FR"/>
        </w:rPr>
        <w:tab/>
        <w:t>Le présent Règlement s’applique :</w:t>
      </w:r>
    </w:p>
    <w:p w:rsidR="00BC0EFA" w:rsidRPr="00F4641E" w:rsidRDefault="00BC0EFA" w:rsidP="00BC0EFA">
      <w:pPr>
        <w:numPr>
          <w:ilvl w:val="0"/>
          <w:numId w:val="17"/>
        </w:numPr>
        <w:suppressAutoHyphens w:val="0"/>
        <w:kinsoku/>
        <w:overflowPunct/>
        <w:autoSpaceDE/>
        <w:autoSpaceDN/>
        <w:adjustRightInd/>
        <w:snapToGrid/>
        <w:spacing w:after="120" w:line="200" w:lineRule="atLeast"/>
        <w:ind w:left="2694" w:right="1134" w:hanging="426"/>
        <w:jc w:val="both"/>
        <w:rPr>
          <w:rFonts w:eastAsia="Calibri"/>
          <w:lang w:val="fr-FR"/>
        </w:rPr>
      </w:pPr>
      <w:r>
        <w:rPr>
          <w:lang w:val="fr-FR"/>
        </w:rPr>
        <w:t>Aux véhicules de la catégorie M</w:t>
      </w:r>
      <w:r>
        <w:rPr>
          <w:vertAlign w:val="subscript"/>
          <w:lang w:val="fr-FR"/>
        </w:rPr>
        <w:t>1</w:t>
      </w:r>
      <w:r>
        <w:rPr>
          <w:lang w:val="fr-FR"/>
        </w:rPr>
        <w:t xml:space="preserve"> dont le poids total en charge ne dépasse pas 3 500 kg ; et</w:t>
      </w:r>
    </w:p>
    <w:p w:rsidR="00BC0EFA" w:rsidRPr="00F4641E" w:rsidRDefault="00BC0EFA" w:rsidP="00BC0EFA">
      <w:pPr>
        <w:numPr>
          <w:ilvl w:val="0"/>
          <w:numId w:val="17"/>
        </w:numPr>
        <w:suppressAutoHyphens w:val="0"/>
        <w:kinsoku/>
        <w:overflowPunct/>
        <w:autoSpaceDE/>
        <w:autoSpaceDN/>
        <w:adjustRightInd/>
        <w:snapToGrid/>
        <w:spacing w:after="120" w:line="200" w:lineRule="atLeast"/>
        <w:ind w:left="2694" w:right="1134" w:hanging="426"/>
        <w:jc w:val="both"/>
        <w:rPr>
          <w:rFonts w:eastAsia="Calibri"/>
          <w:lang w:val="fr-FR"/>
        </w:rPr>
      </w:pPr>
      <w:r>
        <w:rPr>
          <w:lang w:val="fr-FR"/>
        </w:rPr>
        <w:t>Aux véhicules de la catégorie N</w:t>
      </w:r>
      <w:r>
        <w:rPr>
          <w:vertAlign w:val="subscript"/>
          <w:lang w:val="fr-FR"/>
        </w:rPr>
        <w:t>1</w:t>
      </w:r>
      <w:r>
        <w:rPr>
          <w:lang w:val="fr-FR"/>
        </w:rPr>
        <w:t xml:space="preserve"> sur lesquels</w:t>
      </w:r>
      <w:r>
        <w:rPr>
          <w:b/>
          <w:bCs/>
          <w:lang w:val="fr-FR"/>
        </w:rPr>
        <w:t xml:space="preserve">, lorsque le véhicule est placé sur une surface horizontale plane, avec tous les pneumatiques gonflés à la pression recommandée par le constructeur, et chargé de manière à atteindre sa masse à vide telle qu’elle est définie au paragraphe 2.24, </w:t>
      </w:r>
      <w:r>
        <w:rPr>
          <w:lang w:val="fr-FR"/>
        </w:rPr>
        <w:t>l’angle aigu alpha (α), mesuré entre un plan horizontal passant par le centre de l’essieu avant et un plan transversal angulaire passant par le centre de l’essieu avant et le point R du siège du conducteur, comme indiqué ci-dessous, est inférieur à</w:t>
      </w:r>
      <w:r w:rsidR="00C951A6">
        <w:rPr>
          <w:lang w:val="fr-FR"/>
        </w:rPr>
        <w:t xml:space="preserve"> </w:t>
      </w:r>
      <w:r>
        <w:rPr>
          <w:lang w:val="fr-FR"/>
        </w:rPr>
        <w:t>22°, ou sur lesquels le rapport entre la distance séparant le point R du siège du conducteur du centre de l’essieu arrière (L101-L114) et la distance séparant le centre de l’essieu avant du point R du siège du conducteur (L114) est inférieur à</w:t>
      </w:r>
      <w:r w:rsidR="00C951A6">
        <w:rPr>
          <w:lang w:val="fr-FR"/>
        </w:rPr>
        <w:t> </w:t>
      </w:r>
      <w:r>
        <w:rPr>
          <w:lang w:val="fr-FR"/>
        </w:rPr>
        <w:t>1,30</w:t>
      </w:r>
      <w:r>
        <w:rPr>
          <w:rStyle w:val="Appelnotedebasdep"/>
          <w:rFonts w:eastAsia="Calibri"/>
          <w:lang w:val="fr-FR"/>
        </w:rPr>
        <w:footnoteReference w:id="4"/>
      </w:r>
      <w:r>
        <w:rPr>
          <w:lang w:val="fr-FR"/>
        </w:rPr>
        <w:t>.</w:t>
      </w:r>
    </w:p>
    <w:p w:rsidR="00BC0EFA" w:rsidRDefault="00BC0EFA" w:rsidP="00C951A6">
      <w:pPr>
        <w:pStyle w:val="SingleTxtG1"/>
        <w:spacing w:after="240" w:line="240" w:lineRule="auto"/>
        <w:ind w:firstLine="0"/>
        <w:rPr>
          <w:b/>
          <w:lang w:val="en-AU"/>
        </w:rPr>
      </w:pPr>
      <w:r>
        <w:rPr>
          <w:b/>
          <w:noProof/>
          <w:lang w:val="de-DE" w:eastAsia="de-DE"/>
        </w:rPr>
        <w:drawing>
          <wp:inline distT="0" distB="0" distL="0" distR="0" wp14:anchorId="0A8AD1B0" wp14:editId="0A9AFCD2">
            <wp:extent cx="3420000" cy="1900800"/>
            <wp:effectExtent l="0" t="0" r="9525" b="4445"/>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0000" cy="1900800"/>
                    </a:xfrm>
                    <a:prstGeom prst="rect">
                      <a:avLst/>
                    </a:prstGeom>
                    <a:noFill/>
                    <a:ln>
                      <a:noFill/>
                    </a:ln>
                  </pic:spPr>
                </pic:pic>
              </a:graphicData>
            </a:graphic>
          </wp:inline>
        </w:drawing>
      </w:r>
    </w:p>
    <w:p w:rsidR="00BC0EFA" w:rsidRPr="00F4641E" w:rsidRDefault="00BC0EFA" w:rsidP="00BC0EFA">
      <w:pPr>
        <w:pStyle w:val="SingleTxtG1"/>
        <w:rPr>
          <w:b/>
          <w:lang w:val="fr-FR"/>
        </w:rPr>
      </w:pPr>
      <w:r>
        <w:rPr>
          <w:lang w:val="fr-FR"/>
        </w:rPr>
        <w:t>1.2</w:t>
      </w:r>
      <w:r>
        <w:rPr>
          <w:lang w:val="fr-FR"/>
        </w:rPr>
        <w:tab/>
        <w:t>D’autres types de véhicules des catégories M et N dont la masse totale en charge peut atteindre 4 500 kg peuvent aussi être homologués si le constructeur en fait la demande. ».</w:t>
      </w:r>
    </w:p>
    <w:p w:rsidR="00BC0EFA" w:rsidRPr="00F4641E" w:rsidRDefault="00BC0EFA" w:rsidP="00BC0EFA">
      <w:pPr>
        <w:pStyle w:val="HChG"/>
        <w:rPr>
          <w:lang w:val="fr-FR"/>
        </w:rPr>
      </w:pPr>
      <w:r>
        <w:rPr>
          <w:lang w:val="fr-FR"/>
        </w:rPr>
        <w:tab/>
        <w:t>II.</w:t>
      </w:r>
      <w:r>
        <w:rPr>
          <w:lang w:val="fr-FR"/>
        </w:rPr>
        <w:tab/>
      </w:r>
      <w:r>
        <w:rPr>
          <w:lang w:val="fr-FR"/>
        </w:rPr>
        <w:tab/>
      </w:r>
      <w:r>
        <w:rPr>
          <w:bCs/>
          <w:lang w:val="fr-FR"/>
        </w:rPr>
        <w:t>Justification</w:t>
      </w:r>
    </w:p>
    <w:p w:rsidR="00BC0EFA" w:rsidRPr="00F4641E" w:rsidRDefault="00BC0EFA" w:rsidP="00BC0EFA">
      <w:pPr>
        <w:pStyle w:val="SingleTxtG1"/>
        <w:ind w:left="1134" w:firstLine="0"/>
        <w:rPr>
          <w:rFonts w:eastAsia="Yu Mincho"/>
          <w:snapToGrid w:val="0"/>
          <w:lang w:val="fr-FR"/>
        </w:rPr>
      </w:pPr>
      <w:r>
        <w:rPr>
          <w:lang w:val="fr-FR"/>
        </w:rPr>
        <w:t>1.</w:t>
      </w:r>
      <w:r>
        <w:rPr>
          <w:lang w:val="fr-FR"/>
        </w:rPr>
        <w:tab/>
        <w:t>En vertu du paragraphe 1.1 du Règlement ONU n</w:t>
      </w:r>
      <w:r>
        <w:rPr>
          <w:vertAlign w:val="superscript"/>
          <w:lang w:val="fr-FR"/>
        </w:rPr>
        <w:t>o</w:t>
      </w:r>
      <w:r>
        <w:rPr>
          <w:lang w:val="fr-FR"/>
        </w:rPr>
        <w:t> 135, série 01 d’amendements, l’angle aigu alpha (α) détermine si un véhicule de la catégorie N</w:t>
      </w:r>
      <w:r>
        <w:rPr>
          <w:vertAlign w:val="subscript"/>
          <w:lang w:val="fr-FR"/>
        </w:rPr>
        <w:t>1</w:t>
      </w:r>
      <w:r>
        <w:rPr>
          <w:lang w:val="fr-FR"/>
        </w:rPr>
        <w:t xml:space="preserve"> relève du champ d’application du </w:t>
      </w:r>
      <w:r w:rsidRPr="00DD1E2D">
        <w:rPr>
          <w:lang w:val="fr-FR"/>
        </w:rPr>
        <w:t>Règlement.</w:t>
      </w:r>
    </w:p>
    <w:p w:rsidR="00BC0EFA" w:rsidRDefault="00BC0EFA" w:rsidP="00BC0EFA">
      <w:pPr>
        <w:pStyle w:val="SingleTxtG"/>
        <w:rPr>
          <w:lang w:val="fr-FR"/>
        </w:rPr>
      </w:pPr>
      <w:r>
        <w:rPr>
          <w:lang w:val="fr-FR"/>
        </w:rPr>
        <w:t>2.</w:t>
      </w:r>
      <w:r>
        <w:rPr>
          <w:lang w:val="fr-FR"/>
        </w:rPr>
        <w:tab/>
        <w:t>La mesure de cet angle, tel qu’il est défini au paragraphe 1.1 du Règlement ONU</w:t>
      </w:r>
      <w:r w:rsidR="007D75BF">
        <w:rPr>
          <w:lang w:val="fr-FR"/>
        </w:rPr>
        <w:t> </w:t>
      </w:r>
      <w:r>
        <w:rPr>
          <w:lang w:val="fr-FR"/>
        </w:rPr>
        <w:t>n</w:t>
      </w:r>
      <w:r>
        <w:rPr>
          <w:vertAlign w:val="superscript"/>
          <w:lang w:val="fr-FR"/>
        </w:rPr>
        <w:t>o</w:t>
      </w:r>
      <w:r>
        <w:rPr>
          <w:lang w:val="fr-FR"/>
        </w:rPr>
        <w:t> 135, série 01 d’amendements, peut varier en fonction de la surface sur laquelle le véhicule est placé, de la pression des pneumatiques et de l’état de chargement du véhicule. La modification qu’il est proposé d’apporter définit ces paramètres de façon à obtenir une mesure reproductible de l’angle aigu alpha (α) afin de déterminer si un véhicule relève du champ d’application du Règlement ONU n</w:t>
      </w:r>
      <w:r>
        <w:rPr>
          <w:vertAlign w:val="superscript"/>
          <w:lang w:val="fr-FR"/>
        </w:rPr>
        <w:t>o</w:t>
      </w:r>
      <w:r>
        <w:rPr>
          <w:lang w:val="fr-FR"/>
        </w:rPr>
        <w:t> 135.</w:t>
      </w:r>
    </w:p>
    <w:p w:rsidR="00BC0EFA" w:rsidRPr="00BC0EFA" w:rsidRDefault="00BC0EFA" w:rsidP="00BC0EFA">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BC0EFA" w:rsidRPr="00BC0EFA" w:rsidSect="00315F1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491" w:rsidRDefault="00EB4491" w:rsidP="00F95C08">
      <w:pPr>
        <w:spacing w:line="240" w:lineRule="auto"/>
      </w:pPr>
    </w:p>
  </w:endnote>
  <w:endnote w:type="continuationSeparator" w:id="0">
    <w:p w:rsidR="00EB4491" w:rsidRPr="00AC3823" w:rsidRDefault="00EB4491" w:rsidP="00AC3823">
      <w:pPr>
        <w:pStyle w:val="Pieddepage"/>
      </w:pPr>
    </w:p>
  </w:endnote>
  <w:endnote w:type="continuationNotice" w:id="1">
    <w:p w:rsidR="00EB4491" w:rsidRDefault="00EB44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F18" w:rsidRPr="00315F18" w:rsidRDefault="00315F18" w:rsidP="00315F18">
    <w:pPr>
      <w:pStyle w:val="Pieddepage"/>
      <w:tabs>
        <w:tab w:val="right" w:pos="9638"/>
      </w:tabs>
    </w:pPr>
    <w:r w:rsidRPr="00315F18">
      <w:rPr>
        <w:b/>
        <w:sz w:val="18"/>
      </w:rPr>
      <w:fldChar w:fldCharType="begin"/>
    </w:r>
    <w:r w:rsidRPr="00315F18">
      <w:rPr>
        <w:b/>
        <w:sz w:val="18"/>
      </w:rPr>
      <w:instrText xml:space="preserve"> PAGE  \* MERGEFORMAT </w:instrText>
    </w:r>
    <w:r w:rsidRPr="00315F18">
      <w:rPr>
        <w:b/>
        <w:sz w:val="18"/>
      </w:rPr>
      <w:fldChar w:fldCharType="separate"/>
    </w:r>
    <w:r w:rsidRPr="00315F18">
      <w:rPr>
        <w:b/>
        <w:noProof/>
        <w:sz w:val="18"/>
      </w:rPr>
      <w:t>2</w:t>
    </w:r>
    <w:r w:rsidRPr="00315F18">
      <w:rPr>
        <w:b/>
        <w:sz w:val="18"/>
      </w:rPr>
      <w:fldChar w:fldCharType="end"/>
    </w:r>
    <w:r>
      <w:rPr>
        <w:b/>
        <w:sz w:val="18"/>
      </w:rPr>
      <w:tab/>
    </w:r>
    <w:r>
      <w:t>GE.21-03057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F18" w:rsidRPr="00315F18" w:rsidRDefault="00315F18" w:rsidP="00315F18">
    <w:pPr>
      <w:pStyle w:val="Pieddepage"/>
      <w:tabs>
        <w:tab w:val="right" w:pos="9638"/>
      </w:tabs>
      <w:rPr>
        <w:b/>
        <w:sz w:val="18"/>
      </w:rPr>
    </w:pPr>
    <w:r>
      <w:t>GE.21-03057</w:t>
    </w:r>
    <w:r>
      <w:tab/>
    </w:r>
    <w:r w:rsidRPr="00315F18">
      <w:rPr>
        <w:b/>
        <w:sz w:val="18"/>
      </w:rPr>
      <w:fldChar w:fldCharType="begin"/>
    </w:r>
    <w:r w:rsidRPr="00315F18">
      <w:rPr>
        <w:b/>
        <w:sz w:val="18"/>
      </w:rPr>
      <w:instrText xml:space="preserve"> PAGE  \* MERGEFORMAT </w:instrText>
    </w:r>
    <w:r w:rsidRPr="00315F18">
      <w:rPr>
        <w:b/>
        <w:sz w:val="18"/>
      </w:rPr>
      <w:fldChar w:fldCharType="separate"/>
    </w:r>
    <w:r w:rsidRPr="00315F18">
      <w:rPr>
        <w:b/>
        <w:noProof/>
        <w:sz w:val="18"/>
      </w:rPr>
      <w:t>3</w:t>
    </w:r>
    <w:r w:rsidRPr="00315F1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15F18" w:rsidRDefault="00315F18" w:rsidP="00315F1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21-03057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EFA">
      <w:rPr>
        <w:sz w:val="20"/>
      </w:rPr>
      <w:t xml:space="preserve">    </w:t>
    </w:r>
    <w:r w:rsidR="00C951A6">
      <w:rPr>
        <w:sz w:val="20"/>
      </w:rPr>
      <w:t xml:space="preserve">110321    </w:t>
    </w:r>
    <w:r w:rsidR="00C951A6">
      <w:rPr>
        <w:sz w:val="20"/>
      </w:rPr>
      <w:t>1</w:t>
    </w:r>
    <w:r w:rsidR="00CE4790">
      <w:rPr>
        <w:sz w:val="20"/>
      </w:rPr>
      <w:t>5</w:t>
    </w:r>
    <w:bookmarkStart w:id="1" w:name="_GoBack"/>
    <w:bookmarkEnd w:id="1"/>
    <w:r w:rsidR="00C951A6">
      <w:rPr>
        <w:sz w:val="20"/>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491" w:rsidRPr="00AC3823" w:rsidRDefault="00EB4491" w:rsidP="00AC3823">
      <w:pPr>
        <w:pStyle w:val="Pieddepage"/>
        <w:tabs>
          <w:tab w:val="right" w:pos="2155"/>
        </w:tabs>
        <w:spacing w:after="80" w:line="240" w:lineRule="atLeast"/>
        <w:ind w:left="680"/>
        <w:rPr>
          <w:u w:val="single"/>
        </w:rPr>
      </w:pPr>
      <w:r>
        <w:rPr>
          <w:u w:val="single"/>
        </w:rPr>
        <w:tab/>
      </w:r>
    </w:p>
  </w:footnote>
  <w:footnote w:type="continuationSeparator" w:id="0">
    <w:p w:rsidR="00EB4491" w:rsidRPr="00AC3823" w:rsidRDefault="00EB4491" w:rsidP="00AC3823">
      <w:pPr>
        <w:pStyle w:val="Pieddepage"/>
        <w:tabs>
          <w:tab w:val="right" w:pos="2155"/>
        </w:tabs>
        <w:spacing w:after="80" w:line="240" w:lineRule="atLeast"/>
        <w:ind w:left="680"/>
        <w:rPr>
          <w:u w:val="single"/>
        </w:rPr>
      </w:pPr>
      <w:r>
        <w:rPr>
          <w:u w:val="single"/>
        </w:rPr>
        <w:tab/>
      </w:r>
    </w:p>
  </w:footnote>
  <w:footnote w:type="continuationNotice" w:id="1">
    <w:p w:rsidR="00EB4491" w:rsidRPr="00AC3823" w:rsidRDefault="00EB4491">
      <w:pPr>
        <w:spacing w:line="240" w:lineRule="auto"/>
        <w:rPr>
          <w:sz w:val="2"/>
          <w:szCs w:val="2"/>
        </w:rPr>
      </w:pPr>
    </w:p>
  </w:footnote>
  <w:footnote w:id="2">
    <w:p w:rsidR="00BC0EFA" w:rsidRPr="00F4641E" w:rsidRDefault="00BC0EFA" w:rsidP="00BC0EFA">
      <w:pPr>
        <w:pStyle w:val="Notedebasdepage"/>
        <w:jc w:val="both"/>
        <w:rPr>
          <w:lang w:val="fr-FR"/>
        </w:rPr>
      </w:pPr>
      <w:r>
        <w:rPr>
          <w:lang w:val="fr-FR"/>
        </w:rPr>
        <w:tab/>
      </w:r>
      <w:r w:rsidRPr="00BC0EFA">
        <w:rPr>
          <w:sz w:val="20"/>
          <w:lang w:val="fr-FR"/>
        </w:rPr>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 w:id="3">
    <w:p w:rsidR="00BC0EFA" w:rsidRPr="00F4641E" w:rsidRDefault="00BC0EFA" w:rsidP="00BC0EFA">
      <w:pPr>
        <w:pStyle w:val="Notedebasdepage"/>
        <w:rPr>
          <w:lang w:val="fr-FR"/>
        </w:rPr>
      </w:pPr>
      <w:r w:rsidRPr="00F66A4E">
        <w:rPr>
          <w:lang w:val="fr-FR"/>
        </w:rPr>
        <w:tab/>
      </w:r>
      <w:r w:rsidRPr="00F66A4E">
        <w:rPr>
          <w:rStyle w:val="Appelnotedebasdep"/>
          <w:szCs w:val="18"/>
          <w:lang w:val="fr-FR"/>
        </w:rPr>
        <w:footnoteRef/>
      </w:r>
      <w:r>
        <w:rPr>
          <w:lang w:val="fr-FR"/>
        </w:rPr>
        <w:t xml:space="preserve"> </w:t>
      </w:r>
      <w:r>
        <w:rPr>
          <w:lang w:val="fr-FR"/>
        </w:rPr>
        <w:tab/>
        <w:t xml:space="preserve">Conformément aux directives générales sur le champ d’application des Règlements ONU (voir le document ECE/TRANS/WP.29/1044/Rev.1), les homologations de type en vertu du Règlement </w:t>
      </w:r>
      <w:r w:rsidRPr="00DD1E2D">
        <w:rPr>
          <w:lang w:val="fr-FR"/>
        </w:rPr>
        <w:t>n</w:t>
      </w:r>
      <w:r w:rsidRPr="00DD1E2D">
        <w:rPr>
          <w:vertAlign w:val="superscript"/>
          <w:lang w:val="fr-FR"/>
        </w:rPr>
        <w:t>o</w:t>
      </w:r>
      <w:r w:rsidRPr="00DD1E2D">
        <w:rPr>
          <w:lang w:val="fr-FR"/>
        </w:rPr>
        <w:t> 135 doivent</w:t>
      </w:r>
      <w:r>
        <w:rPr>
          <w:lang w:val="fr-FR"/>
        </w:rPr>
        <w:t xml:space="preserve"> être accordées aux véhicules conformément au champ d’application dudit Règlement et doivent être acceptées par toutes les Parties contractantes appliquant ledit Règlement. Cependant, les décisions relatives aux catégories de véhicules tenues, sur un plan régional et/ou national, de satisfaire aux prescriptions dudit Règlement doivent être prises au niveau régional et/ou national. Une Partie contractante est par conséquent habilitée à restreindre l’application des prescriptions dans sa législation nationale si elle le juge nécessaire.</w:t>
      </w:r>
    </w:p>
  </w:footnote>
  <w:footnote w:id="4">
    <w:p w:rsidR="00BC0EFA" w:rsidRPr="00F4641E" w:rsidRDefault="00BC0EFA" w:rsidP="00BC0EFA">
      <w:pPr>
        <w:pStyle w:val="Notedebasdepage"/>
        <w:widowControl w:val="0"/>
        <w:tabs>
          <w:tab w:val="clear" w:pos="1021"/>
          <w:tab w:val="right" w:pos="1020"/>
        </w:tabs>
        <w:rPr>
          <w:lang w:val="fr-FR"/>
        </w:rPr>
      </w:pPr>
      <w:r>
        <w:rPr>
          <w:lang w:val="fr-FR"/>
        </w:rPr>
        <w:tab/>
      </w:r>
      <w:r>
        <w:rPr>
          <w:rStyle w:val="Appelnotedebasdep"/>
          <w:lang w:val="fr-FR"/>
        </w:rPr>
        <w:footnoteRef/>
      </w:r>
      <w:r>
        <w:rPr>
          <w:lang w:val="fr-FR"/>
        </w:rPr>
        <w:tab/>
        <w:t xml:space="preserve">Selon la définition de la Résolution d’ensemble sur la construction des véhicules (R.E.3), document ECE/TRANS/WP.29/78/Rev.3, par. 2 − </w:t>
      </w:r>
      <w:hyperlink r:id="rId1" w:history="1">
        <w:r w:rsidRPr="007D75BF">
          <w:rPr>
            <w:rStyle w:val="Lienhypertexte"/>
            <w:lang w:val="fr-FR"/>
          </w:rPr>
          <w:t>www.unece.org/trans/main/wp29/wp29wgs/wp29gen/</w:t>
        </w:r>
        <w:r w:rsidRPr="007D75BF">
          <w:rPr>
            <w:rStyle w:val="Lienhypertexte"/>
            <w:lang w:val="fr-FR"/>
          </w:rPr>
          <w:br/>
          <w:t>wp29resolutions.html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F18" w:rsidRPr="00315F18" w:rsidRDefault="00C027E3">
    <w:pPr>
      <w:pStyle w:val="En-tte"/>
    </w:pPr>
    <w:r>
      <w:fldChar w:fldCharType="begin"/>
    </w:r>
    <w:r>
      <w:instrText xml:space="preserve"> TITLE  \* MERGEFORMAT </w:instrText>
    </w:r>
    <w:r>
      <w:fldChar w:fldCharType="separate"/>
    </w:r>
    <w:r w:rsidR="00315F18">
      <w:t>ECE/TRANS/WP.29/GRSP/2021/14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F18" w:rsidRPr="00315F18" w:rsidRDefault="00C027E3" w:rsidP="00315F18">
    <w:pPr>
      <w:pStyle w:val="En-tte"/>
      <w:jc w:val="right"/>
    </w:pPr>
    <w:r>
      <w:fldChar w:fldCharType="begin"/>
    </w:r>
    <w:r>
      <w:instrText xml:space="preserve"> TITLE  \* MERGEFORMAT </w:instrText>
    </w:r>
    <w:r>
      <w:fldChar w:fldCharType="separate"/>
    </w:r>
    <w:r w:rsidR="00315F18">
      <w:t>ECE/TRANS/WP.29/GRSP/2021/14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790" w:rsidRDefault="00CE47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FBB193B"/>
    <w:multiLevelType w:val="hybridMultilevel"/>
    <w:tmpl w:val="6F4C2E1C"/>
    <w:lvl w:ilvl="0" w:tplc="040C0017">
      <w:start w:val="1"/>
      <w:numFmt w:val="low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91"/>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15F18"/>
    <w:rsid w:val="003916DE"/>
    <w:rsid w:val="00421996"/>
    <w:rsid w:val="00441C3B"/>
    <w:rsid w:val="00446FE5"/>
    <w:rsid w:val="00452396"/>
    <w:rsid w:val="00477EB2"/>
    <w:rsid w:val="004837D8"/>
    <w:rsid w:val="004E2EED"/>
    <w:rsid w:val="004E468C"/>
    <w:rsid w:val="005505B7"/>
    <w:rsid w:val="00573BE5"/>
    <w:rsid w:val="00586ED3"/>
    <w:rsid w:val="00596AA9"/>
    <w:rsid w:val="006333D9"/>
    <w:rsid w:val="0071601D"/>
    <w:rsid w:val="007A62E6"/>
    <w:rsid w:val="007D75BF"/>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C0EFA"/>
    <w:rsid w:val="00C02897"/>
    <w:rsid w:val="00C951A6"/>
    <w:rsid w:val="00C97039"/>
    <w:rsid w:val="00CE4790"/>
    <w:rsid w:val="00D3439C"/>
    <w:rsid w:val="00D7622E"/>
    <w:rsid w:val="00DB1831"/>
    <w:rsid w:val="00DD1E2D"/>
    <w:rsid w:val="00DD3BFD"/>
    <w:rsid w:val="00DF6678"/>
    <w:rsid w:val="00E0299A"/>
    <w:rsid w:val="00E85C74"/>
    <w:rsid w:val="00EA6547"/>
    <w:rsid w:val="00EB4491"/>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E7CB1"/>
  <w15:docId w15:val="{98C4276C-443B-458D-BD7A-DC882404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BC0EFA"/>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BC0EFA"/>
    <w:rPr>
      <w:rFonts w:ascii="Times New Roman" w:eastAsiaTheme="minorHAnsi" w:hAnsi="Times New Roman" w:cs="Times New Roman"/>
      <w:sz w:val="20"/>
      <w:szCs w:val="20"/>
      <w:lang w:eastAsia="en-US"/>
    </w:rPr>
  </w:style>
  <w:style w:type="paragraph" w:customStyle="1" w:styleId="SingleTxtG1">
    <w:name w:val="_Single Txt_G_1"/>
    <w:basedOn w:val="SingleTxtG"/>
    <w:qFormat/>
    <w:rsid w:val="00BC0EFA"/>
    <w:pPr>
      <w:kinsoku/>
      <w:overflowPunct/>
      <w:autoSpaceDE/>
      <w:autoSpaceDN/>
      <w:adjustRightInd/>
      <w:snapToGrid/>
      <w:spacing w:line="200" w:lineRule="atLeast"/>
      <w:ind w:left="2268" w:hanging="1134"/>
    </w:pPr>
    <w:rPr>
      <w:rFonts w:eastAsia="Times New Roman"/>
      <w:lang w:val="en-GB"/>
    </w:rPr>
  </w:style>
  <w:style w:type="character" w:styleId="Mentionnonrsolue">
    <w:name w:val="Unresolved Mention"/>
    <w:basedOn w:val="Policepardfaut"/>
    <w:uiPriority w:val="99"/>
    <w:semiHidden/>
    <w:unhideWhenUsed/>
    <w:rsid w:val="007D7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375</Words>
  <Characters>2495</Characters>
  <Application>Microsoft Office Word</Application>
  <DocSecurity>0</DocSecurity>
  <Lines>146</Lines>
  <Paragraphs>73</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ECE/TRANS/WP.29/GRSP/2021/14</vt:lpstr>
      <vt:lpstr>    Proposition de complément 3 à la série 01 d’amendements  au Règlement ONU no 1</vt:lpstr>
      <vt:lpstr>        Communication des experts de l’Allemagne*</vt:lpstr>
      <vt:lpstr>    I.	Proposition</vt:lpstr>
      <vt:lpstr>    « 1.		Champ d’application </vt:lpstr>
      <vt:lpstr>    II.		Justification</vt:lpstr>
    </vt:vector>
  </TitlesOfParts>
  <Company>DCM</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ECE/TRANS/WP.29/GRSP/2021/14</dc:title>
  <dc:subject/>
  <dc:creator>Corinne ROBERT</dc:creator>
  <cp:keywords/>
  <cp:lastModifiedBy>Corinne ROBERT</cp:lastModifiedBy>
  <cp:revision>2</cp:revision>
  <cp:lastPrinted>2014-05-14T10:59:00Z</cp:lastPrinted>
  <dcterms:created xsi:type="dcterms:W3CDTF">2021-03-15T14:16:00Z</dcterms:created>
  <dcterms:modified xsi:type="dcterms:W3CDTF">2021-03-15T14:16:00Z</dcterms:modified>
</cp:coreProperties>
</file>