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46DF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46DFC" w:rsidP="00246DFC">
            <w:pPr>
              <w:jc w:val="right"/>
            </w:pPr>
            <w:r w:rsidRPr="00246DFC">
              <w:rPr>
                <w:sz w:val="40"/>
              </w:rPr>
              <w:t>ECE</w:t>
            </w:r>
            <w:r>
              <w:t>/TRANS/WP.29/GRSP/2021/11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46DFC" w:rsidP="00C97039">
            <w:pPr>
              <w:spacing w:before="240"/>
            </w:pPr>
            <w:proofErr w:type="spellStart"/>
            <w:r>
              <w:t>Distr</w:t>
            </w:r>
            <w:proofErr w:type="spellEnd"/>
            <w:r>
              <w:t>. générale</w:t>
            </w:r>
          </w:p>
          <w:p w:rsidR="00246DFC" w:rsidRDefault="00246DFC" w:rsidP="00246DFC">
            <w:pPr>
              <w:spacing w:line="240" w:lineRule="exact"/>
            </w:pPr>
            <w:r>
              <w:t>5 mars 2021</w:t>
            </w:r>
          </w:p>
          <w:p w:rsidR="00246DFC" w:rsidRDefault="00246DFC" w:rsidP="00246DFC">
            <w:pPr>
              <w:spacing w:line="240" w:lineRule="exact"/>
            </w:pPr>
            <w:r>
              <w:t>Français</w:t>
            </w:r>
          </w:p>
          <w:p w:rsidR="00246DFC" w:rsidRPr="00DB58B5" w:rsidRDefault="00246DFC" w:rsidP="00246DF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46DF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46DFC" w:rsidRDefault="00246DFC"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46DFC" w:rsidRDefault="00246DFC" w:rsidP="00257168">
      <w:pPr>
        <w:spacing w:before="120" w:after="120" w:line="240" w:lineRule="exact"/>
        <w:rPr>
          <w:b/>
        </w:rPr>
      </w:pPr>
      <w:r>
        <w:rPr>
          <w:b/>
        </w:rPr>
        <w:t>Groupe de travail de la sécurité passive</w:t>
      </w:r>
    </w:p>
    <w:p w:rsidR="00246DFC" w:rsidRDefault="00246DFC" w:rsidP="00257168">
      <w:pPr>
        <w:spacing w:before="120" w:line="240" w:lineRule="exact"/>
        <w:rPr>
          <w:b/>
        </w:rPr>
      </w:pPr>
      <w:r>
        <w:rPr>
          <w:b/>
          <w:bCs/>
          <w:lang w:val="fr-FR"/>
        </w:rPr>
        <w:t>Soixante-neuvième</w:t>
      </w:r>
      <w:r>
        <w:rPr>
          <w:b/>
        </w:rPr>
        <w:t xml:space="preserve"> session</w:t>
      </w:r>
    </w:p>
    <w:p w:rsidR="00246DFC" w:rsidRPr="00341F52" w:rsidRDefault="00246DFC" w:rsidP="00246DFC">
      <w:pPr>
        <w:rPr>
          <w:bCs/>
          <w:lang w:val="fr-FR"/>
        </w:rPr>
      </w:pPr>
      <w:r>
        <w:rPr>
          <w:lang w:val="fr-FR"/>
        </w:rPr>
        <w:t>Genève, 17-21 mai 2021</w:t>
      </w:r>
    </w:p>
    <w:p w:rsidR="00246DFC" w:rsidRPr="00341F52" w:rsidRDefault="00246DFC" w:rsidP="00246DFC">
      <w:pPr>
        <w:rPr>
          <w:bCs/>
          <w:lang w:val="fr-FR"/>
        </w:rPr>
      </w:pPr>
      <w:r>
        <w:rPr>
          <w:lang w:val="fr-FR"/>
        </w:rPr>
        <w:t>Point 17 de l’ordre du jour provisoire</w:t>
      </w:r>
    </w:p>
    <w:p w:rsidR="00246DFC" w:rsidRPr="00341F52" w:rsidRDefault="00246DFC" w:rsidP="00246DFC">
      <w:pPr>
        <w:rPr>
          <w:b/>
          <w:lang w:val="fr-FR"/>
        </w:rPr>
      </w:pPr>
      <w:r>
        <w:rPr>
          <w:b/>
          <w:bCs/>
          <w:lang w:val="fr-FR"/>
        </w:rPr>
        <w:t xml:space="preserve">Règlement ONU </w:t>
      </w:r>
      <w:r w:rsidRPr="00246DFC">
        <w:rPr>
          <w:rFonts w:eastAsia="MS Mincho"/>
          <w:b/>
          <w:bCs/>
          <w:szCs w:val="22"/>
          <w:lang w:val="fr-FR"/>
        </w:rPr>
        <w:t>n</w:t>
      </w:r>
      <w:r w:rsidRPr="00246DFC">
        <w:rPr>
          <w:rFonts w:eastAsia="MS Mincho"/>
          <w:b/>
          <w:bCs/>
          <w:szCs w:val="22"/>
          <w:vertAlign w:val="superscript"/>
          <w:lang w:val="fr-FR"/>
        </w:rPr>
        <w:t>o</w:t>
      </w:r>
      <w:r>
        <w:rPr>
          <w:b/>
          <w:bCs/>
          <w:lang w:val="fr-FR"/>
        </w:rPr>
        <w:t xml:space="preserve"> 145 (Systèmes d’ancrages ISOFIX, </w:t>
      </w:r>
      <w:r>
        <w:rPr>
          <w:b/>
          <w:bCs/>
          <w:lang w:val="fr-FR"/>
        </w:rPr>
        <w:br/>
        <w:t>ancrages pour fixation supérieure ISOFIX et positions i-Size)</w:t>
      </w:r>
    </w:p>
    <w:p w:rsidR="00246DFC" w:rsidRPr="00341F52" w:rsidRDefault="00246DFC" w:rsidP="00246DFC">
      <w:pPr>
        <w:pStyle w:val="HChG"/>
        <w:rPr>
          <w:lang w:val="fr-FR"/>
        </w:rPr>
      </w:pPr>
      <w:r>
        <w:rPr>
          <w:lang w:val="fr-FR"/>
        </w:rPr>
        <w:tab/>
      </w:r>
      <w:r>
        <w:rPr>
          <w:lang w:val="fr-FR"/>
        </w:rPr>
        <w:tab/>
        <w:t>Proposition de complément 1 à la série initiale d’amendements au Règlement ONU n</w:t>
      </w:r>
      <w:r>
        <w:rPr>
          <w:vertAlign w:val="superscript"/>
          <w:lang w:val="fr-FR"/>
        </w:rPr>
        <w:t>o</w:t>
      </w:r>
      <w:r>
        <w:rPr>
          <w:lang w:val="fr-FR"/>
        </w:rPr>
        <w:t xml:space="preserve"> 145 </w:t>
      </w:r>
      <w:r>
        <w:rPr>
          <w:lang w:val="fr-FR"/>
        </w:rPr>
        <w:br/>
        <w:t xml:space="preserve">(Systèmes </w:t>
      </w:r>
      <w:r w:rsidRPr="00246DFC">
        <w:t>d</w:t>
      </w:r>
      <w:r>
        <w:t>’</w:t>
      </w:r>
      <w:r w:rsidRPr="00246DFC">
        <w:t>ancrages</w:t>
      </w:r>
      <w:r>
        <w:rPr>
          <w:lang w:val="fr-FR"/>
        </w:rPr>
        <w:t xml:space="preserve"> ISOFIX, ancrages pour </w:t>
      </w:r>
      <w:r>
        <w:rPr>
          <w:lang w:val="fr-FR"/>
        </w:rPr>
        <w:br/>
        <w:t>fixation supérieure ISOFIX et positions i-Size)</w:t>
      </w:r>
    </w:p>
    <w:p w:rsidR="00246DFC" w:rsidRPr="00341F52" w:rsidRDefault="00246DFC" w:rsidP="00246DFC">
      <w:pPr>
        <w:pStyle w:val="H1G"/>
        <w:rPr>
          <w:lang w:val="fr-FR"/>
        </w:rPr>
      </w:pPr>
      <w:r>
        <w:tab/>
      </w:r>
      <w:r>
        <w:tab/>
      </w:r>
      <w:r w:rsidRPr="00246DFC">
        <w:t>Communication</w:t>
      </w:r>
      <w:r>
        <w:rPr>
          <w:lang w:val="fr-FR"/>
        </w:rPr>
        <w:t xml:space="preserve"> de l’expert des Pays-Bas</w:t>
      </w:r>
      <w:r w:rsidRPr="00246DFC">
        <w:rPr>
          <w:b w:val="0"/>
          <w:bCs/>
          <w:sz w:val="20"/>
          <w:lang w:val="fr-FR"/>
        </w:rPr>
        <w:footnoteReference w:customMarkFollows="1" w:id="2"/>
        <w:t>*</w:t>
      </w:r>
    </w:p>
    <w:p w:rsidR="00246DFC" w:rsidRDefault="00246DFC" w:rsidP="00246DFC">
      <w:pPr>
        <w:pStyle w:val="SingleTxtG"/>
        <w:ind w:firstLine="567"/>
        <w:rPr>
          <w:lang w:val="fr-FR"/>
        </w:rPr>
      </w:pPr>
      <w:r>
        <w:rPr>
          <w:lang w:val="fr-FR"/>
        </w:rPr>
        <w:t>Le texte ci-après, établi par l’expert des Pays-Bas, vise à préciser les prescriptions relatives à l’emplacement des systèmes ISOFIX si le type de véhicule est équipé de sièges dos à la route. Il est fondé sur le document informel GRSP-68-16, distribué à la soixante</w:t>
      </w:r>
      <w:r>
        <w:rPr>
          <w:lang w:val="fr-FR"/>
        </w:rPr>
        <w:noBreakHyphen/>
        <w:t>huitième session du Groupe de travail de la sécurité passive (GRSP) (voir ECE/TRANS/WP.29/GRSP/68, par. 47). Les modifications qu’il est proposé d’apporter au texte actuel du Règlement ONU figurent en caractères gras pour les ajouts et biffés pour les suppressions.</w:t>
      </w:r>
    </w:p>
    <w:p w:rsidR="00246DFC" w:rsidRDefault="00246DFC">
      <w:pPr>
        <w:suppressAutoHyphens w:val="0"/>
        <w:kinsoku/>
        <w:overflowPunct/>
        <w:autoSpaceDE/>
        <w:autoSpaceDN/>
        <w:adjustRightInd/>
        <w:snapToGrid/>
        <w:spacing w:after="200" w:line="276" w:lineRule="auto"/>
        <w:rPr>
          <w:lang w:val="fr-FR"/>
        </w:rPr>
      </w:pPr>
      <w:r>
        <w:rPr>
          <w:lang w:val="fr-FR"/>
        </w:rPr>
        <w:br w:type="page"/>
      </w:r>
    </w:p>
    <w:p w:rsidR="00246DFC" w:rsidRPr="00341F52" w:rsidRDefault="00246DFC" w:rsidP="00246DFC">
      <w:pPr>
        <w:pStyle w:val="HChG"/>
        <w:rPr>
          <w:bCs/>
          <w:snapToGrid w:val="0"/>
          <w:lang w:val="fr-FR"/>
        </w:rPr>
      </w:pPr>
      <w:r>
        <w:rPr>
          <w:lang w:val="fr-FR"/>
        </w:rPr>
        <w:lastRenderedPageBreak/>
        <w:tab/>
        <w:t>I.</w:t>
      </w:r>
      <w:r>
        <w:rPr>
          <w:lang w:val="fr-FR"/>
        </w:rPr>
        <w:tab/>
      </w:r>
      <w:r>
        <w:rPr>
          <w:bCs/>
          <w:lang w:val="fr-FR"/>
        </w:rPr>
        <w:t>Proposition</w:t>
      </w:r>
    </w:p>
    <w:p w:rsidR="00246DFC" w:rsidRPr="00341F52" w:rsidRDefault="00246DFC" w:rsidP="00246DFC">
      <w:pPr>
        <w:pStyle w:val="SingleTxtG"/>
        <w:ind w:left="2268" w:hanging="1134"/>
        <w:rPr>
          <w:i/>
          <w:lang w:val="fr-FR"/>
        </w:rPr>
      </w:pPr>
      <w:r>
        <w:rPr>
          <w:i/>
          <w:iCs/>
          <w:lang w:val="fr-FR"/>
        </w:rPr>
        <w:t>Paragraphe 5.3.3</w:t>
      </w:r>
      <w:r>
        <w:rPr>
          <w:lang w:val="fr-FR"/>
        </w:rPr>
        <w:t>, lire :</w:t>
      </w:r>
    </w:p>
    <w:p w:rsidR="00246DFC" w:rsidRPr="00246DFC" w:rsidRDefault="00246DFC" w:rsidP="00246DFC">
      <w:pPr>
        <w:spacing w:after="120"/>
        <w:ind w:left="2268" w:right="1134" w:hanging="1134"/>
        <w:jc w:val="both"/>
        <w:rPr>
          <w:bCs/>
          <w:lang w:val="fr-FR"/>
        </w:rPr>
      </w:pPr>
      <w:r w:rsidRPr="00470090">
        <w:rPr>
          <w:lang w:val="fr-FR"/>
        </w:rPr>
        <w:t>« </w:t>
      </w:r>
      <w:r>
        <w:rPr>
          <w:lang w:val="fr-FR"/>
        </w:rPr>
        <w:t>5.3.3</w:t>
      </w:r>
      <w:r>
        <w:rPr>
          <w:lang w:val="fr-FR"/>
        </w:rPr>
        <w:tab/>
        <w:t xml:space="preserve">Nonobstant les dispositions du paragraphe 5.3.1, au moins une des deux positions ISOFIX doit se situer à la deuxième rangée de sièges. </w:t>
      </w:r>
      <w:r>
        <w:rPr>
          <w:b/>
          <w:bCs/>
          <w:lang w:val="fr-FR"/>
        </w:rPr>
        <w:t>Si la deuxième rangée se compose d’un ou de plusieurs sièges orientés dos à la route</w:t>
      </w:r>
      <w:r w:rsidRPr="00470090">
        <w:rPr>
          <w:b/>
          <w:bCs/>
          <w:lang w:val="fr-FR"/>
        </w:rPr>
        <w:t xml:space="preserve"> </w:t>
      </w:r>
      <w:r>
        <w:rPr>
          <w:b/>
          <w:bCs/>
          <w:lang w:val="fr-FR"/>
        </w:rPr>
        <w:t>de façon permanente, elle n’est pas prise en compte et la présente prescription s’applique alors à la première rangée consécutive orientée face à la route, le cas échéant.</w:t>
      </w:r>
      <w:r>
        <w:rPr>
          <w:lang w:val="fr-FR"/>
        </w:rPr>
        <w:t> ».</w:t>
      </w:r>
    </w:p>
    <w:p w:rsidR="00246DFC" w:rsidRPr="00341F52" w:rsidRDefault="00246DFC" w:rsidP="00246DFC">
      <w:pPr>
        <w:pStyle w:val="HChG"/>
        <w:rPr>
          <w:snapToGrid w:val="0"/>
          <w:lang w:val="fr-FR"/>
        </w:rPr>
      </w:pPr>
      <w:r>
        <w:rPr>
          <w:lang w:val="fr-FR"/>
        </w:rPr>
        <w:tab/>
        <w:t>II.</w:t>
      </w:r>
      <w:r>
        <w:rPr>
          <w:lang w:val="fr-FR"/>
        </w:rPr>
        <w:tab/>
      </w:r>
      <w:r>
        <w:rPr>
          <w:bCs/>
          <w:lang w:val="fr-FR"/>
        </w:rPr>
        <w:t>Justification</w:t>
      </w:r>
    </w:p>
    <w:p w:rsidR="00246DFC" w:rsidRPr="00341F52" w:rsidRDefault="00246DFC" w:rsidP="00246DFC">
      <w:pPr>
        <w:pStyle w:val="SingleTxtG"/>
        <w:rPr>
          <w:lang w:val="fr-FR"/>
        </w:rPr>
      </w:pPr>
      <w:r>
        <w:rPr>
          <w:lang w:val="fr-FR"/>
        </w:rPr>
        <w:t>1.</w:t>
      </w:r>
      <w:r>
        <w:rPr>
          <w:lang w:val="fr-FR"/>
        </w:rPr>
        <w:tab/>
        <w:t>Il peut arriver que la deuxième rangée se compose de sièges dos à la route, pouvant ou non être tournés ou montés face à la route. La présente proposition vise à préciser le nombre minimum de positions ISOFIX requises dans une telle situation.</w:t>
      </w:r>
    </w:p>
    <w:p w:rsidR="00246DFC" w:rsidRPr="00341F52" w:rsidRDefault="00246DFC" w:rsidP="00246DFC">
      <w:pPr>
        <w:pStyle w:val="SingleTxtG"/>
        <w:rPr>
          <w:lang w:val="fr-FR"/>
        </w:rPr>
      </w:pPr>
      <w:r>
        <w:rPr>
          <w:lang w:val="fr-FR"/>
        </w:rPr>
        <w:t>2.</w:t>
      </w:r>
      <w:r>
        <w:rPr>
          <w:lang w:val="fr-FR"/>
        </w:rPr>
        <w:tab/>
        <w:t>Lorsque les sièges de la deuxième rangée peuvent être tournés ou montés face à la route, il est normal qu’ils soient équipés de systèmes ISOFIX. Le manuel d’utilisation doit indiquer clairement dans quelle position les sièges doivent être tournés ou montés pour pouvoir être utilisés avec différents types de dispositifs de retenue pour enfants.</w:t>
      </w:r>
    </w:p>
    <w:p w:rsidR="00246DFC" w:rsidRPr="00341F52" w:rsidRDefault="00246DFC" w:rsidP="00246DFC">
      <w:pPr>
        <w:pStyle w:val="SingleTxtG"/>
        <w:rPr>
          <w:lang w:val="fr-FR"/>
        </w:rPr>
      </w:pPr>
      <w:r>
        <w:rPr>
          <w:lang w:val="fr-FR"/>
        </w:rPr>
        <w:t>3.</w:t>
      </w:r>
      <w:r>
        <w:rPr>
          <w:lang w:val="fr-FR"/>
        </w:rPr>
        <w:tab/>
        <w:t>Si les sièges de la deuxième rangée ne peuvent pas être tournés ou montés face à la route, au moins un système ISOFIX doit être installé à la troisième rangée, le cas échéant. Dans le cas peu probable où il n’y aurait pas de troisième rangée, cela signifie que seuls le ou les sièges passager avant devront être équipés de systèmes ISOFIX.</w:t>
      </w:r>
    </w:p>
    <w:p w:rsidR="00F9573C" w:rsidRDefault="00246DFC" w:rsidP="00246DFC">
      <w:pPr>
        <w:pStyle w:val="SingleTxtG"/>
        <w:rPr>
          <w:lang w:val="fr-FR"/>
        </w:rPr>
      </w:pPr>
      <w:r w:rsidRPr="00026B02">
        <w:rPr>
          <w:lang w:val="fr-FR"/>
        </w:rPr>
        <w:t>4.</w:t>
      </w:r>
      <w:r w:rsidRPr="00026B02">
        <w:rPr>
          <w:lang w:val="fr-FR"/>
        </w:rPr>
        <w:tab/>
        <w:t>Dans le Règlement ONU n</w:t>
      </w:r>
      <w:r w:rsidRPr="00026B02">
        <w:rPr>
          <w:vertAlign w:val="superscript"/>
          <w:lang w:val="fr-FR"/>
        </w:rPr>
        <w:t>o</w:t>
      </w:r>
      <w:r w:rsidRPr="00026B02">
        <w:rPr>
          <w:lang w:val="fr-FR"/>
        </w:rPr>
        <w:t> 129, les sièges arrière de véhicule sont définis comme suit : « </w:t>
      </w:r>
      <w:r w:rsidRPr="00026B02">
        <w:rPr>
          <w:i/>
          <w:iCs/>
          <w:lang w:val="fr-FR"/>
        </w:rPr>
        <w:t xml:space="preserve">les sièges fixes </w:t>
      </w:r>
      <w:r w:rsidRPr="00026B02">
        <w:rPr>
          <w:b/>
          <w:bCs/>
          <w:i/>
          <w:iCs/>
          <w:lang w:val="fr-FR"/>
        </w:rPr>
        <w:t>faisant face vers l’avant</w:t>
      </w:r>
      <w:r w:rsidRPr="00026B02">
        <w:rPr>
          <w:i/>
          <w:iCs/>
          <w:lang w:val="fr-FR"/>
        </w:rPr>
        <w:t>, situés derrière un autre groupe de sièges de véhicule</w:t>
      </w:r>
      <w:r w:rsidRPr="00026B02">
        <w:rPr>
          <w:lang w:val="fr-FR"/>
        </w:rPr>
        <w:t> ». Le Règlement ONU n</w:t>
      </w:r>
      <w:r w:rsidRPr="00026B02">
        <w:rPr>
          <w:vertAlign w:val="superscript"/>
          <w:lang w:val="fr-FR"/>
        </w:rPr>
        <w:t>o</w:t>
      </w:r>
      <w:r w:rsidRPr="00026B02">
        <w:rPr>
          <w:lang w:val="fr-FR"/>
        </w:rPr>
        <w:t> 145 semble ne prendre en considération que les sièges face à la route, mais cela n’est indiqué nulle part.</w:t>
      </w:r>
    </w:p>
    <w:p w:rsidR="00246DFC" w:rsidRPr="00246DFC" w:rsidRDefault="00246DFC" w:rsidP="00246DFC">
      <w:pPr>
        <w:pStyle w:val="SingleTxtG"/>
        <w:spacing w:before="240" w:after="0"/>
        <w:jc w:val="center"/>
        <w:rPr>
          <w:u w:val="single"/>
        </w:rPr>
      </w:pPr>
      <w:bookmarkStart w:id="0" w:name="_GoBack"/>
      <w:bookmarkEnd w:id="0"/>
      <w:r>
        <w:rPr>
          <w:u w:val="single"/>
        </w:rPr>
        <w:tab/>
      </w:r>
      <w:r>
        <w:rPr>
          <w:u w:val="single"/>
        </w:rPr>
        <w:tab/>
      </w:r>
      <w:r>
        <w:rPr>
          <w:u w:val="single"/>
        </w:rPr>
        <w:tab/>
      </w:r>
      <w:r>
        <w:rPr>
          <w:u w:val="single"/>
        </w:rPr>
        <w:tab/>
      </w:r>
    </w:p>
    <w:sectPr w:rsidR="00246DFC" w:rsidRPr="00246DFC" w:rsidSect="00246D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C7" w:rsidRDefault="009616C7" w:rsidP="00F95C08">
      <w:pPr>
        <w:spacing w:line="240" w:lineRule="auto"/>
      </w:pPr>
    </w:p>
  </w:endnote>
  <w:endnote w:type="continuationSeparator" w:id="0">
    <w:p w:rsidR="009616C7" w:rsidRPr="00AC3823" w:rsidRDefault="009616C7" w:rsidP="00AC3823">
      <w:pPr>
        <w:pStyle w:val="Pieddepage"/>
      </w:pPr>
    </w:p>
  </w:endnote>
  <w:endnote w:type="continuationNotice" w:id="1">
    <w:p w:rsidR="009616C7" w:rsidRDefault="009616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FC" w:rsidRPr="00246DFC" w:rsidRDefault="00246DFC" w:rsidP="00246DFC">
    <w:pPr>
      <w:pStyle w:val="Pieddepage"/>
      <w:tabs>
        <w:tab w:val="right" w:pos="9638"/>
      </w:tabs>
    </w:pPr>
    <w:r w:rsidRPr="00246DFC">
      <w:rPr>
        <w:b/>
        <w:sz w:val="18"/>
      </w:rPr>
      <w:fldChar w:fldCharType="begin"/>
    </w:r>
    <w:r w:rsidRPr="00246DFC">
      <w:rPr>
        <w:b/>
        <w:sz w:val="18"/>
      </w:rPr>
      <w:instrText xml:space="preserve"> PAGE  \* MERGEFORMAT </w:instrText>
    </w:r>
    <w:r w:rsidRPr="00246DFC">
      <w:rPr>
        <w:b/>
        <w:sz w:val="18"/>
      </w:rPr>
      <w:fldChar w:fldCharType="separate"/>
    </w:r>
    <w:r w:rsidRPr="00246DFC">
      <w:rPr>
        <w:b/>
        <w:noProof/>
        <w:sz w:val="18"/>
      </w:rPr>
      <w:t>2</w:t>
    </w:r>
    <w:r w:rsidRPr="00246DFC">
      <w:rPr>
        <w:b/>
        <w:sz w:val="18"/>
      </w:rPr>
      <w:fldChar w:fldCharType="end"/>
    </w:r>
    <w:r>
      <w:rPr>
        <w:b/>
        <w:sz w:val="18"/>
      </w:rPr>
      <w:tab/>
    </w:r>
    <w:r>
      <w:t>GE.21-03094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FC" w:rsidRPr="00246DFC" w:rsidRDefault="00246DFC" w:rsidP="00246DFC">
    <w:pPr>
      <w:pStyle w:val="Pieddepage"/>
      <w:tabs>
        <w:tab w:val="right" w:pos="9638"/>
      </w:tabs>
      <w:rPr>
        <w:b/>
        <w:sz w:val="18"/>
      </w:rPr>
    </w:pPr>
    <w:r>
      <w:t>GE.21-03094</w:t>
    </w:r>
    <w:r>
      <w:tab/>
    </w:r>
    <w:r w:rsidRPr="00246DFC">
      <w:rPr>
        <w:b/>
        <w:sz w:val="18"/>
      </w:rPr>
      <w:fldChar w:fldCharType="begin"/>
    </w:r>
    <w:r w:rsidRPr="00246DFC">
      <w:rPr>
        <w:b/>
        <w:sz w:val="18"/>
      </w:rPr>
      <w:instrText xml:space="preserve"> PAGE  \* MERGEFORMAT </w:instrText>
    </w:r>
    <w:r w:rsidRPr="00246DFC">
      <w:rPr>
        <w:b/>
        <w:sz w:val="18"/>
      </w:rPr>
      <w:fldChar w:fldCharType="separate"/>
    </w:r>
    <w:r w:rsidRPr="00246DFC">
      <w:rPr>
        <w:b/>
        <w:noProof/>
        <w:sz w:val="18"/>
      </w:rPr>
      <w:t>3</w:t>
    </w:r>
    <w:r w:rsidRPr="00246D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46DFC" w:rsidRDefault="00246DFC" w:rsidP="00246DF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21-03094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120321    120321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C7" w:rsidRPr="00AC3823" w:rsidRDefault="009616C7" w:rsidP="00AC3823">
      <w:pPr>
        <w:pStyle w:val="Pieddepage"/>
        <w:tabs>
          <w:tab w:val="right" w:pos="2155"/>
        </w:tabs>
        <w:spacing w:after="80" w:line="240" w:lineRule="atLeast"/>
        <w:ind w:left="680"/>
        <w:rPr>
          <w:u w:val="single"/>
        </w:rPr>
      </w:pPr>
      <w:r>
        <w:rPr>
          <w:u w:val="single"/>
        </w:rPr>
        <w:tab/>
      </w:r>
    </w:p>
  </w:footnote>
  <w:footnote w:type="continuationSeparator" w:id="0">
    <w:p w:rsidR="009616C7" w:rsidRPr="00AC3823" w:rsidRDefault="009616C7" w:rsidP="00AC3823">
      <w:pPr>
        <w:pStyle w:val="Pieddepage"/>
        <w:tabs>
          <w:tab w:val="right" w:pos="2155"/>
        </w:tabs>
        <w:spacing w:after="80" w:line="240" w:lineRule="atLeast"/>
        <w:ind w:left="680"/>
        <w:rPr>
          <w:u w:val="single"/>
        </w:rPr>
      </w:pPr>
      <w:r>
        <w:rPr>
          <w:u w:val="single"/>
        </w:rPr>
        <w:tab/>
      </w:r>
    </w:p>
  </w:footnote>
  <w:footnote w:type="continuationNotice" w:id="1">
    <w:p w:rsidR="009616C7" w:rsidRPr="00AC3823" w:rsidRDefault="009616C7">
      <w:pPr>
        <w:spacing w:line="240" w:lineRule="auto"/>
        <w:rPr>
          <w:sz w:val="2"/>
          <w:szCs w:val="2"/>
        </w:rPr>
      </w:pPr>
    </w:p>
  </w:footnote>
  <w:footnote w:id="2">
    <w:p w:rsidR="00246DFC" w:rsidRPr="00341F52" w:rsidRDefault="00246DFC" w:rsidP="00246DFC">
      <w:pPr>
        <w:pStyle w:val="Notedebasdepage"/>
        <w:rPr>
          <w:lang w:val="fr-FR"/>
        </w:rPr>
      </w:pPr>
      <w:r>
        <w:rPr>
          <w:lang w:val="fr-FR"/>
        </w:rPr>
        <w:tab/>
      </w:r>
      <w:r w:rsidRPr="00246DFC">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FC" w:rsidRPr="00246DFC" w:rsidRDefault="00F87221">
    <w:pPr>
      <w:pStyle w:val="En-tte"/>
    </w:pPr>
    <w:r>
      <w:fldChar w:fldCharType="begin"/>
    </w:r>
    <w:r>
      <w:instrText xml:space="preserve"> TITLE  \* MERGEFORMAT </w:instrText>
    </w:r>
    <w:r>
      <w:fldChar w:fldCharType="separate"/>
    </w:r>
    <w:r w:rsidR="00246DFC">
      <w:t>ECE/TRANS/WP.29/GRSP/2021/11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FC" w:rsidRPr="00246DFC" w:rsidRDefault="00F87221" w:rsidP="00246DFC">
    <w:pPr>
      <w:pStyle w:val="En-tte"/>
      <w:jc w:val="right"/>
    </w:pPr>
    <w:r>
      <w:fldChar w:fldCharType="begin"/>
    </w:r>
    <w:r>
      <w:instrText xml:space="preserve"> TITLE  \* MERGEFORMAT </w:instrText>
    </w:r>
    <w:r>
      <w:fldChar w:fldCharType="separate"/>
    </w:r>
    <w:r w:rsidR="00246DFC">
      <w:t>ECE/TRANS/WP.29/GRSP/2021/11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C7"/>
    <w:rsid w:val="00017F94"/>
    <w:rsid w:val="00023842"/>
    <w:rsid w:val="00026B02"/>
    <w:rsid w:val="000334F9"/>
    <w:rsid w:val="00045FEB"/>
    <w:rsid w:val="0007796D"/>
    <w:rsid w:val="000B7790"/>
    <w:rsid w:val="00111F2F"/>
    <w:rsid w:val="0014365E"/>
    <w:rsid w:val="00143C66"/>
    <w:rsid w:val="00176178"/>
    <w:rsid w:val="001F525A"/>
    <w:rsid w:val="00201148"/>
    <w:rsid w:val="00223272"/>
    <w:rsid w:val="00246DFC"/>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616C7"/>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EF5D0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49EA9-AF2F-45B5-A195-B23D252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46DF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246DF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450</Words>
  <Characters>2552</Characters>
  <Application>Microsoft Office Word</Application>
  <DocSecurity>0</DocSecurity>
  <Lines>94</Lines>
  <Paragraphs>32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ECE/TRANS/WP.29/GRSP/2021/11</vt:lpstr>
      <vt:lpstr>    Proposition de complément 1 à la série initiale d’amendements au Règlement ONU</vt:lpstr>
      <vt:lpstr>        Communication de l’expert des Pays-Bas*</vt:lpstr>
      <vt:lpstr>    I.	Proposition</vt:lpstr>
      <vt:lpstr>    II.	Justification</vt:lpstr>
    </vt:vector>
  </TitlesOfParts>
  <Company>DCM</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ECE/TRANS/WP.29/GRSP/2021/11</dc:title>
  <dc:subject/>
  <dc:creator>Corinne ROBERT</dc:creator>
  <cp:keywords/>
  <cp:lastModifiedBy>Corinne ROBERT</cp:lastModifiedBy>
  <cp:revision>2</cp:revision>
  <cp:lastPrinted>2014-05-14T10:59:00Z</cp:lastPrinted>
  <dcterms:created xsi:type="dcterms:W3CDTF">2021-03-12T15:08:00Z</dcterms:created>
  <dcterms:modified xsi:type="dcterms:W3CDTF">2021-03-12T15:08:00Z</dcterms:modified>
</cp:coreProperties>
</file>