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5F12C41" w14:textId="77777777" w:rsidTr="00B20551">
        <w:trPr>
          <w:cantSplit/>
          <w:trHeight w:hRule="exact" w:val="851"/>
        </w:trPr>
        <w:tc>
          <w:tcPr>
            <w:tcW w:w="1276" w:type="dxa"/>
            <w:tcBorders>
              <w:bottom w:val="single" w:sz="4" w:space="0" w:color="auto"/>
            </w:tcBorders>
            <w:vAlign w:val="bottom"/>
          </w:tcPr>
          <w:p w14:paraId="1E6AD380" w14:textId="77777777" w:rsidR="009E6CB7" w:rsidRDefault="009E6CB7" w:rsidP="00B20551">
            <w:pPr>
              <w:spacing w:after="80"/>
            </w:pPr>
          </w:p>
        </w:tc>
        <w:tc>
          <w:tcPr>
            <w:tcW w:w="2268" w:type="dxa"/>
            <w:tcBorders>
              <w:bottom w:val="single" w:sz="4" w:space="0" w:color="auto"/>
            </w:tcBorders>
            <w:vAlign w:val="bottom"/>
          </w:tcPr>
          <w:p w14:paraId="03409F8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134E990" w14:textId="442186B2" w:rsidR="009E6CB7" w:rsidRPr="00D47EEA" w:rsidRDefault="009B0F49" w:rsidP="009B0F49">
            <w:pPr>
              <w:jc w:val="right"/>
            </w:pPr>
            <w:r w:rsidRPr="009B0F49">
              <w:rPr>
                <w:sz w:val="40"/>
              </w:rPr>
              <w:t>ECE</w:t>
            </w:r>
            <w:r>
              <w:t>/TRANS/WP.29/GRSP/2021/</w:t>
            </w:r>
            <w:r w:rsidR="00D34A02">
              <w:t>9</w:t>
            </w:r>
          </w:p>
        </w:tc>
      </w:tr>
      <w:tr w:rsidR="009E6CB7" w14:paraId="7A37A566" w14:textId="77777777" w:rsidTr="00B20551">
        <w:trPr>
          <w:cantSplit/>
          <w:trHeight w:hRule="exact" w:val="2835"/>
        </w:trPr>
        <w:tc>
          <w:tcPr>
            <w:tcW w:w="1276" w:type="dxa"/>
            <w:tcBorders>
              <w:top w:val="single" w:sz="4" w:space="0" w:color="auto"/>
              <w:bottom w:val="single" w:sz="12" w:space="0" w:color="auto"/>
            </w:tcBorders>
          </w:tcPr>
          <w:p w14:paraId="503B9C85" w14:textId="77777777" w:rsidR="009E6CB7" w:rsidRDefault="00686A48" w:rsidP="00B20551">
            <w:pPr>
              <w:spacing w:before="120"/>
            </w:pPr>
            <w:r>
              <w:rPr>
                <w:noProof/>
                <w:lang w:val="fr-CH" w:eastAsia="fr-CH"/>
              </w:rPr>
              <w:drawing>
                <wp:inline distT="0" distB="0" distL="0" distR="0" wp14:anchorId="49FA4713" wp14:editId="2185814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9F06B2B"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2EFF19D" w14:textId="77777777" w:rsidR="009E6CB7" w:rsidRDefault="009B0F49" w:rsidP="009B0F49">
            <w:pPr>
              <w:spacing w:before="240" w:line="240" w:lineRule="exact"/>
            </w:pPr>
            <w:r>
              <w:t>Distr.: General</w:t>
            </w:r>
          </w:p>
          <w:p w14:paraId="4C867A63" w14:textId="624B8FB0" w:rsidR="009B0F49" w:rsidRDefault="00D62DD0" w:rsidP="009B0F49">
            <w:pPr>
              <w:spacing w:line="240" w:lineRule="exact"/>
            </w:pPr>
            <w:r>
              <w:t>2 March</w:t>
            </w:r>
            <w:r w:rsidR="009B0F49">
              <w:t xml:space="preserve"> 2021</w:t>
            </w:r>
          </w:p>
          <w:p w14:paraId="74A82453" w14:textId="77777777" w:rsidR="009B0F49" w:rsidRDefault="009B0F49" w:rsidP="009B0F49">
            <w:pPr>
              <w:spacing w:line="240" w:lineRule="exact"/>
            </w:pPr>
          </w:p>
          <w:p w14:paraId="374C03B9" w14:textId="71866BDA" w:rsidR="009B0F49" w:rsidRDefault="009B0F49" w:rsidP="009B0F49">
            <w:pPr>
              <w:spacing w:line="240" w:lineRule="exact"/>
            </w:pPr>
            <w:r>
              <w:t>Original: English</w:t>
            </w:r>
          </w:p>
        </w:tc>
      </w:tr>
    </w:tbl>
    <w:p w14:paraId="3DE54C9A" w14:textId="77777777" w:rsidR="00D43F18" w:rsidRDefault="00D43F18" w:rsidP="00D43F18">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14:paraId="20B87841" w14:textId="77777777" w:rsidR="00D43F18" w:rsidRPr="008F31D2" w:rsidRDefault="00D43F18" w:rsidP="00D43F18">
      <w:pPr>
        <w:spacing w:before="120"/>
        <w:rPr>
          <w:sz w:val="28"/>
          <w:szCs w:val="28"/>
        </w:rPr>
      </w:pPr>
      <w:r>
        <w:rPr>
          <w:sz w:val="28"/>
          <w:szCs w:val="28"/>
        </w:rPr>
        <w:t>Inland Transport Committee</w:t>
      </w:r>
    </w:p>
    <w:p w14:paraId="5FEA13F4" w14:textId="77777777" w:rsidR="00D43F18" w:rsidRPr="00EA2A77" w:rsidRDefault="00D43F18" w:rsidP="00D43F18">
      <w:pPr>
        <w:spacing w:before="120"/>
        <w:rPr>
          <w:b/>
          <w:sz w:val="24"/>
          <w:szCs w:val="24"/>
        </w:rPr>
      </w:pPr>
      <w:r w:rsidRPr="00EA2A77">
        <w:rPr>
          <w:b/>
          <w:sz w:val="24"/>
          <w:szCs w:val="24"/>
        </w:rPr>
        <w:t xml:space="preserve">World Forum for Harmonization of Vehicle </w:t>
      </w:r>
      <w:r>
        <w:rPr>
          <w:b/>
          <w:sz w:val="24"/>
          <w:szCs w:val="24"/>
        </w:rPr>
        <w:t>Regulation</w:t>
      </w:r>
      <w:r w:rsidRPr="00EA2A77">
        <w:rPr>
          <w:b/>
          <w:sz w:val="24"/>
          <w:szCs w:val="24"/>
        </w:rPr>
        <w:t>s</w:t>
      </w:r>
    </w:p>
    <w:p w14:paraId="320C5647" w14:textId="77777777" w:rsidR="00D43F18" w:rsidRPr="00ED68BF" w:rsidRDefault="00D43F18" w:rsidP="00D43F18">
      <w:pPr>
        <w:spacing w:before="120"/>
        <w:rPr>
          <w:b/>
        </w:rPr>
      </w:pPr>
      <w:r w:rsidRPr="00ED68BF">
        <w:rPr>
          <w:b/>
        </w:rPr>
        <w:t>Working Party on Passive Safety</w:t>
      </w:r>
    </w:p>
    <w:p w14:paraId="5A28E1C9" w14:textId="77777777" w:rsidR="00CE7909" w:rsidRPr="00341F66" w:rsidRDefault="00CE7909" w:rsidP="00CE7909">
      <w:pPr>
        <w:spacing w:before="120"/>
        <w:rPr>
          <w:b/>
        </w:rPr>
      </w:pPr>
      <w:bookmarkStart w:id="0" w:name="_GoBack"/>
      <w:r w:rsidRPr="00341F66">
        <w:rPr>
          <w:b/>
        </w:rPr>
        <w:t>S</w:t>
      </w:r>
      <w:bookmarkEnd w:id="0"/>
      <w:r w:rsidRPr="00341F66">
        <w:rPr>
          <w:b/>
        </w:rPr>
        <w:t>ixty-</w:t>
      </w:r>
      <w:r>
        <w:rPr>
          <w:b/>
        </w:rPr>
        <w:t>nint</w:t>
      </w:r>
      <w:r w:rsidRPr="00341F66">
        <w:rPr>
          <w:b/>
        </w:rPr>
        <w:t xml:space="preserve">h session </w:t>
      </w:r>
    </w:p>
    <w:p w14:paraId="6D6AB76E" w14:textId="77777777" w:rsidR="00CE7909" w:rsidRPr="00341F66" w:rsidRDefault="00CE7909" w:rsidP="00CE7909">
      <w:pPr>
        <w:rPr>
          <w:bCs/>
        </w:rPr>
      </w:pPr>
      <w:r w:rsidRPr="00341F66">
        <w:rPr>
          <w:bCs/>
        </w:rPr>
        <w:t xml:space="preserve">Geneva, </w:t>
      </w:r>
      <w:r>
        <w:rPr>
          <w:bCs/>
        </w:rPr>
        <w:t>17-21</w:t>
      </w:r>
      <w:r w:rsidRPr="00341F66">
        <w:rPr>
          <w:bCs/>
        </w:rPr>
        <w:t xml:space="preserve"> </w:t>
      </w:r>
      <w:r>
        <w:rPr>
          <w:bCs/>
        </w:rPr>
        <w:t>May</w:t>
      </w:r>
      <w:r w:rsidRPr="00341F66">
        <w:rPr>
          <w:bCs/>
        </w:rPr>
        <w:t xml:space="preserve"> 202</w:t>
      </w:r>
      <w:r>
        <w:rPr>
          <w:bCs/>
        </w:rPr>
        <w:t>1</w:t>
      </w:r>
    </w:p>
    <w:p w14:paraId="320BE7E1" w14:textId="77777777" w:rsidR="00CE7909" w:rsidRPr="00341F66" w:rsidRDefault="00CE7909" w:rsidP="00CE7909">
      <w:pPr>
        <w:rPr>
          <w:bCs/>
        </w:rPr>
      </w:pPr>
      <w:r w:rsidRPr="00341F66">
        <w:rPr>
          <w:bCs/>
        </w:rPr>
        <w:t>Item</w:t>
      </w:r>
      <w:r>
        <w:rPr>
          <w:bCs/>
        </w:rPr>
        <w:t xml:space="preserve"> 6</w:t>
      </w:r>
      <w:r w:rsidRPr="00341F66">
        <w:rPr>
          <w:bCs/>
        </w:rPr>
        <w:t xml:space="preserve"> of the provisional agenda</w:t>
      </w:r>
    </w:p>
    <w:p w14:paraId="0DCB7264" w14:textId="77777777" w:rsidR="00CE7909" w:rsidRPr="00341F66" w:rsidRDefault="00CE7909" w:rsidP="00CE7909">
      <w:pPr>
        <w:rPr>
          <w:b/>
        </w:rPr>
      </w:pPr>
      <w:r w:rsidRPr="00341F66">
        <w:rPr>
          <w:b/>
        </w:rPr>
        <w:t>Regulation No. 1</w:t>
      </w:r>
      <w:r>
        <w:rPr>
          <w:b/>
        </w:rPr>
        <w:t>4</w:t>
      </w:r>
      <w:r w:rsidRPr="00341F66">
        <w:rPr>
          <w:b/>
        </w:rPr>
        <w:t xml:space="preserve"> (</w:t>
      </w:r>
      <w:r>
        <w:rPr>
          <w:b/>
        </w:rPr>
        <w:t>Safety-belt anchorages</w:t>
      </w:r>
      <w:r w:rsidRPr="00341F66">
        <w:rPr>
          <w:b/>
        </w:rPr>
        <w:t>)</w:t>
      </w:r>
    </w:p>
    <w:p w14:paraId="50F01D06" w14:textId="77777777" w:rsidR="00CE7909" w:rsidRPr="00341F66" w:rsidRDefault="00CE7909" w:rsidP="00CE7909">
      <w:pPr>
        <w:pStyle w:val="HChG"/>
        <w:rPr>
          <w:bCs/>
        </w:rPr>
      </w:pPr>
      <w:r w:rsidRPr="00341F66">
        <w:tab/>
      </w:r>
      <w:r w:rsidRPr="00341F66">
        <w:tab/>
      </w:r>
      <w:r>
        <w:rPr>
          <w:bCs/>
        </w:rPr>
        <w:t xml:space="preserve">Proposal for Supplement 9 to the 07 series of amendments, Supplement 1 to the 08 series of amendments and Supplement 2 to the 09 series of amendments to UN </w:t>
      </w:r>
      <w:r w:rsidRPr="00341F66">
        <w:rPr>
          <w:bCs/>
        </w:rPr>
        <w:t xml:space="preserve">Regulation No. 14 </w:t>
      </w:r>
      <w:r w:rsidRPr="007428D4">
        <w:rPr>
          <w:bCs/>
        </w:rPr>
        <w:t>(</w:t>
      </w:r>
      <w:r>
        <w:rPr>
          <w:bCs/>
        </w:rPr>
        <w:t>Safety-belt anchorages</w:t>
      </w:r>
      <w:r w:rsidRPr="007428D4">
        <w:rPr>
          <w:bCs/>
        </w:rPr>
        <w:t>)</w:t>
      </w:r>
    </w:p>
    <w:p w14:paraId="26965FF3" w14:textId="77777777" w:rsidR="00CE7909" w:rsidRPr="00341F66" w:rsidRDefault="00CE7909" w:rsidP="00CE7909">
      <w:pPr>
        <w:pStyle w:val="H1G"/>
        <w:ind w:left="0" w:firstLine="1134"/>
      </w:pPr>
      <w:r w:rsidRPr="00341F66">
        <w:t>Submitted by the expert</w:t>
      </w:r>
      <w:r>
        <w:t>s</w:t>
      </w:r>
      <w:r w:rsidRPr="00341F66">
        <w:t xml:space="preserve"> from the Netherlands</w:t>
      </w:r>
      <w:r>
        <w:t xml:space="preserve"> and Germany</w:t>
      </w:r>
      <w:r w:rsidRPr="00341F66">
        <w:t xml:space="preserve"> </w:t>
      </w:r>
      <w:r w:rsidRPr="00341F66">
        <w:rPr>
          <w:bCs/>
        </w:rPr>
        <w:footnoteReference w:customMarkFollows="1" w:id="2"/>
        <w:t>*</w:t>
      </w:r>
    </w:p>
    <w:p w14:paraId="71EBAEE9" w14:textId="77777777" w:rsidR="00CE7909" w:rsidRPr="00341F66" w:rsidRDefault="00CE7909" w:rsidP="00CE7909">
      <w:pPr>
        <w:pStyle w:val="SingleTxtG"/>
        <w:ind w:firstLine="567"/>
      </w:pPr>
      <w:r w:rsidRPr="00341F66">
        <w:rPr>
          <w:snapToGrid w:val="0"/>
        </w:rPr>
        <w:t>The text reproduced below was prepared by the expert</w:t>
      </w:r>
      <w:r>
        <w:rPr>
          <w:snapToGrid w:val="0"/>
        </w:rPr>
        <w:t>s</w:t>
      </w:r>
      <w:r w:rsidRPr="00341F66">
        <w:rPr>
          <w:snapToGrid w:val="0"/>
        </w:rPr>
        <w:t xml:space="preserve"> from the</w:t>
      </w:r>
      <w:r w:rsidRPr="00341F66">
        <w:t xml:space="preserve"> Netherlands</w:t>
      </w:r>
      <w:r>
        <w:t xml:space="preserve"> and Germany</w:t>
      </w:r>
      <w:r w:rsidRPr="00341F66">
        <w:t>, aiming</w:t>
      </w:r>
      <w:r>
        <w:t xml:space="preserve"> to correct an inconsistency in Annex 6 – Appendix 1, with regard to the minimum number of lower anchorages for folding seats</w:t>
      </w:r>
      <w:r w:rsidRPr="00341F66">
        <w:t>. The modifications to the current text of the UN Regulation are marked in bold for new or strikethrough for deleted characters</w:t>
      </w:r>
      <w:r w:rsidRPr="00341F66">
        <w:rPr>
          <w:szCs w:val="23"/>
        </w:rPr>
        <w:t>.</w:t>
      </w:r>
    </w:p>
    <w:p w14:paraId="79A22557" w14:textId="77777777" w:rsidR="00CE7909" w:rsidRPr="0008751E" w:rsidRDefault="00CE7909" w:rsidP="00CE7909">
      <w:pPr>
        <w:pStyle w:val="HChG"/>
      </w:pPr>
      <w:r w:rsidRPr="00341F66">
        <w:br w:type="page"/>
      </w:r>
      <w:r w:rsidRPr="00341F66">
        <w:lastRenderedPageBreak/>
        <w:tab/>
      </w:r>
      <w:r w:rsidRPr="0008751E">
        <w:t>I.</w:t>
      </w:r>
      <w:r w:rsidRPr="0008751E">
        <w:tab/>
        <w:t>Proposal</w:t>
      </w:r>
    </w:p>
    <w:p w14:paraId="5C7F6ED1" w14:textId="77777777" w:rsidR="00CE7909" w:rsidRDefault="00CE7909" w:rsidP="00CE7909">
      <w:pPr>
        <w:pStyle w:val="SingleTxtG"/>
      </w:pPr>
      <w:r>
        <w:rPr>
          <w:i/>
          <w:iCs/>
          <w:lang w:eastAsia="ja-JP"/>
        </w:rPr>
        <w:t>Annex 6 - Appendix 1</w:t>
      </w:r>
      <w:r w:rsidRPr="00EC589B">
        <w:rPr>
          <w:i/>
        </w:rPr>
        <w:t xml:space="preserve">, </w:t>
      </w:r>
      <w:r w:rsidRPr="009B75DC">
        <w:t>amend to read:</w:t>
      </w:r>
    </w:p>
    <w:p w14:paraId="1FCB3DA4" w14:textId="77777777" w:rsidR="00CE7909" w:rsidRPr="0059255D" w:rsidRDefault="00CE7909" w:rsidP="00CE7909">
      <w:pPr>
        <w:pStyle w:val="HChG"/>
      </w:pPr>
      <w:r>
        <w:t>"</w:t>
      </w:r>
      <w:r w:rsidRPr="0059255D">
        <w:t>Annex 6 - Appendix 1</w:t>
      </w:r>
    </w:p>
    <w:p w14:paraId="53087DC4" w14:textId="77777777" w:rsidR="00CE7909" w:rsidRPr="0059255D" w:rsidRDefault="00CE7909" w:rsidP="00CE7909">
      <w:pPr>
        <w:pStyle w:val="HChG"/>
      </w:pPr>
      <w:r w:rsidRPr="0059255D">
        <w:tab/>
      </w:r>
      <w:r w:rsidRPr="0059255D">
        <w:tab/>
        <w:t xml:space="preserve">Location of lower anchorages - </w:t>
      </w:r>
      <w:r>
        <w:t>A</w:t>
      </w:r>
      <w:r w:rsidRPr="0059255D">
        <w:t>ngle requirements only</w:t>
      </w:r>
    </w:p>
    <w:tbl>
      <w:tblPr>
        <w:tblW w:w="7372" w:type="dxa"/>
        <w:tblInd w:w="1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1081"/>
        <w:gridCol w:w="2686"/>
        <w:gridCol w:w="1843"/>
        <w:gridCol w:w="1762"/>
      </w:tblGrid>
      <w:tr w:rsidR="00CE7909" w:rsidRPr="0059255D" w14:paraId="650760BA" w14:textId="77777777" w:rsidTr="006513A9">
        <w:trPr>
          <w:tblHeader/>
        </w:trPr>
        <w:tc>
          <w:tcPr>
            <w:tcW w:w="3767" w:type="dxa"/>
            <w:gridSpan w:val="2"/>
            <w:tcBorders>
              <w:bottom w:val="single" w:sz="12" w:space="0" w:color="auto"/>
            </w:tcBorders>
            <w:shd w:val="clear" w:color="auto" w:fill="auto"/>
            <w:vAlign w:val="bottom"/>
          </w:tcPr>
          <w:p w14:paraId="07CDA318" w14:textId="77777777" w:rsidR="00CE7909" w:rsidRPr="0059255D" w:rsidRDefault="00CE7909" w:rsidP="006513A9">
            <w:pPr>
              <w:suppressAutoHyphens w:val="0"/>
              <w:spacing w:before="80" w:after="80" w:line="200" w:lineRule="exact"/>
              <w:ind w:left="113" w:right="113"/>
              <w:rPr>
                <w:i/>
                <w:sz w:val="16"/>
              </w:rPr>
            </w:pPr>
            <w:r w:rsidRPr="0059255D">
              <w:rPr>
                <w:i/>
                <w:sz w:val="16"/>
              </w:rPr>
              <w:t>Seat</w:t>
            </w:r>
          </w:p>
        </w:tc>
        <w:tc>
          <w:tcPr>
            <w:tcW w:w="1843" w:type="dxa"/>
            <w:tcBorders>
              <w:bottom w:val="single" w:sz="12" w:space="0" w:color="auto"/>
            </w:tcBorders>
            <w:shd w:val="clear" w:color="auto" w:fill="auto"/>
            <w:vAlign w:val="bottom"/>
          </w:tcPr>
          <w:p w14:paraId="76F68FDB" w14:textId="77777777" w:rsidR="00CE7909" w:rsidRPr="0059255D" w:rsidRDefault="00CE7909" w:rsidP="006513A9">
            <w:pPr>
              <w:suppressAutoHyphens w:val="0"/>
              <w:spacing w:before="80" w:after="80" w:line="200" w:lineRule="exact"/>
              <w:ind w:left="113" w:right="113"/>
              <w:jc w:val="right"/>
              <w:rPr>
                <w:i/>
                <w:sz w:val="16"/>
              </w:rPr>
            </w:pPr>
            <w:r w:rsidRPr="0059255D">
              <w:rPr>
                <w:i/>
                <w:sz w:val="16"/>
              </w:rPr>
              <w:t>M</w:t>
            </w:r>
            <w:r w:rsidRPr="0059255D">
              <w:rPr>
                <w:i/>
                <w:sz w:val="16"/>
                <w:vertAlign w:val="subscript"/>
              </w:rPr>
              <w:t>1</w:t>
            </w:r>
          </w:p>
        </w:tc>
        <w:tc>
          <w:tcPr>
            <w:tcW w:w="1762" w:type="dxa"/>
            <w:tcBorders>
              <w:bottom w:val="single" w:sz="12" w:space="0" w:color="auto"/>
            </w:tcBorders>
            <w:shd w:val="clear" w:color="auto" w:fill="auto"/>
            <w:vAlign w:val="bottom"/>
          </w:tcPr>
          <w:p w14:paraId="6BF9B0FA" w14:textId="77777777" w:rsidR="00CE7909" w:rsidRPr="0059255D" w:rsidRDefault="00CE7909" w:rsidP="006513A9">
            <w:pPr>
              <w:suppressAutoHyphens w:val="0"/>
              <w:spacing w:before="80" w:after="80" w:line="200" w:lineRule="exact"/>
              <w:ind w:left="113" w:right="113"/>
              <w:jc w:val="right"/>
              <w:rPr>
                <w:i/>
                <w:sz w:val="16"/>
              </w:rPr>
            </w:pPr>
            <w:r w:rsidRPr="0059255D">
              <w:rPr>
                <w:i/>
                <w:sz w:val="16"/>
              </w:rPr>
              <w:t>Other than M</w:t>
            </w:r>
            <w:r w:rsidRPr="0059255D">
              <w:rPr>
                <w:i/>
                <w:sz w:val="16"/>
                <w:vertAlign w:val="subscript"/>
              </w:rPr>
              <w:t>1</w:t>
            </w:r>
          </w:p>
        </w:tc>
      </w:tr>
      <w:tr w:rsidR="00CE7909" w:rsidRPr="0059255D" w14:paraId="260880A9" w14:textId="77777777" w:rsidTr="006513A9">
        <w:tblPrEx>
          <w:tblCellMar>
            <w:left w:w="81" w:type="dxa"/>
            <w:right w:w="81" w:type="dxa"/>
          </w:tblCellMar>
        </w:tblPrEx>
        <w:trPr>
          <w:cantSplit/>
        </w:trPr>
        <w:tc>
          <w:tcPr>
            <w:tcW w:w="1081" w:type="dxa"/>
            <w:vMerge w:val="restart"/>
            <w:tcBorders>
              <w:top w:val="single" w:sz="12" w:space="0" w:color="auto"/>
            </w:tcBorders>
            <w:shd w:val="clear" w:color="auto" w:fill="auto"/>
          </w:tcPr>
          <w:p w14:paraId="6716ADCA" w14:textId="77777777" w:rsidR="00CE7909" w:rsidRPr="0059255D" w:rsidRDefault="00CE7909" w:rsidP="006513A9">
            <w:pPr>
              <w:suppressAutoHyphens w:val="0"/>
              <w:spacing w:before="40" w:after="40" w:line="220" w:lineRule="exact"/>
              <w:ind w:left="113" w:right="113"/>
              <w:rPr>
                <w:sz w:val="18"/>
              </w:rPr>
            </w:pPr>
            <w:r w:rsidRPr="0059255D">
              <w:rPr>
                <w:sz w:val="18"/>
              </w:rPr>
              <w:t>Front*</w:t>
            </w:r>
          </w:p>
        </w:tc>
        <w:tc>
          <w:tcPr>
            <w:tcW w:w="2686" w:type="dxa"/>
            <w:tcBorders>
              <w:top w:val="single" w:sz="12" w:space="0" w:color="auto"/>
            </w:tcBorders>
            <w:shd w:val="clear" w:color="auto" w:fill="auto"/>
          </w:tcPr>
          <w:p w14:paraId="6C15FFA3" w14:textId="77777777" w:rsidR="00CE7909" w:rsidRPr="0059255D" w:rsidRDefault="00CE7909" w:rsidP="006513A9">
            <w:pPr>
              <w:suppressAutoHyphens w:val="0"/>
              <w:spacing w:before="40" w:after="40" w:line="220" w:lineRule="exact"/>
              <w:ind w:left="113" w:right="113"/>
              <w:rPr>
                <w:sz w:val="18"/>
              </w:rPr>
            </w:pPr>
            <w:r w:rsidRPr="0059255D">
              <w:rPr>
                <w:sz w:val="18"/>
              </w:rPr>
              <w:t>buckle side (α</w:t>
            </w:r>
            <w:r w:rsidRPr="0059255D">
              <w:rPr>
                <w:sz w:val="18"/>
                <w:vertAlign w:val="subscript"/>
              </w:rPr>
              <w:t>2</w:t>
            </w:r>
            <w:r w:rsidRPr="0059255D">
              <w:rPr>
                <w:sz w:val="18"/>
              </w:rPr>
              <w:t>)</w:t>
            </w:r>
          </w:p>
        </w:tc>
        <w:tc>
          <w:tcPr>
            <w:tcW w:w="1843" w:type="dxa"/>
            <w:tcBorders>
              <w:top w:val="single" w:sz="12" w:space="0" w:color="auto"/>
            </w:tcBorders>
            <w:shd w:val="clear" w:color="auto" w:fill="auto"/>
          </w:tcPr>
          <w:p w14:paraId="22FD0794" w14:textId="77777777" w:rsidR="00CE7909" w:rsidRPr="0059255D" w:rsidRDefault="00CE7909" w:rsidP="006513A9">
            <w:pPr>
              <w:suppressAutoHyphens w:val="0"/>
              <w:spacing w:before="40" w:after="40" w:line="220" w:lineRule="exact"/>
              <w:ind w:left="113" w:right="113"/>
              <w:jc w:val="right"/>
              <w:rPr>
                <w:sz w:val="18"/>
              </w:rPr>
            </w:pPr>
            <w:r w:rsidRPr="0059255D">
              <w:rPr>
                <w:sz w:val="18"/>
              </w:rPr>
              <w:t>45° - 80°</w:t>
            </w:r>
          </w:p>
        </w:tc>
        <w:tc>
          <w:tcPr>
            <w:tcW w:w="1762" w:type="dxa"/>
            <w:tcBorders>
              <w:top w:val="single" w:sz="12" w:space="0" w:color="auto"/>
            </w:tcBorders>
            <w:shd w:val="clear" w:color="auto" w:fill="auto"/>
            <w:vAlign w:val="bottom"/>
          </w:tcPr>
          <w:p w14:paraId="601879E0" w14:textId="77777777" w:rsidR="00CE7909" w:rsidRPr="0059255D" w:rsidRDefault="00CE7909" w:rsidP="006513A9">
            <w:pPr>
              <w:suppressAutoHyphens w:val="0"/>
              <w:spacing w:before="40" w:after="40" w:line="220" w:lineRule="exact"/>
              <w:ind w:left="113" w:right="113"/>
              <w:jc w:val="right"/>
              <w:rPr>
                <w:sz w:val="18"/>
              </w:rPr>
            </w:pPr>
            <w:r w:rsidRPr="0059255D">
              <w:rPr>
                <w:sz w:val="18"/>
              </w:rPr>
              <w:t>30° - 80°</w:t>
            </w:r>
          </w:p>
        </w:tc>
      </w:tr>
      <w:tr w:rsidR="00CE7909" w:rsidRPr="0059255D" w14:paraId="0B1E966A" w14:textId="77777777" w:rsidTr="006513A9">
        <w:tblPrEx>
          <w:tblCellMar>
            <w:left w:w="81" w:type="dxa"/>
            <w:right w:w="81" w:type="dxa"/>
          </w:tblCellMar>
        </w:tblPrEx>
        <w:trPr>
          <w:cantSplit/>
        </w:trPr>
        <w:tc>
          <w:tcPr>
            <w:tcW w:w="1081" w:type="dxa"/>
            <w:vMerge/>
            <w:shd w:val="clear" w:color="auto" w:fill="auto"/>
          </w:tcPr>
          <w:p w14:paraId="2F3C97A8" w14:textId="77777777" w:rsidR="00CE7909" w:rsidRPr="0059255D" w:rsidRDefault="00CE7909" w:rsidP="006513A9">
            <w:pPr>
              <w:suppressAutoHyphens w:val="0"/>
              <w:spacing w:before="40" w:after="40" w:line="220" w:lineRule="exact"/>
              <w:ind w:left="113" w:right="113"/>
              <w:rPr>
                <w:sz w:val="18"/>
              </w:rPr>
            </w:pPr>
          </w:p>
        </w:tc>
        <w:tc>
          <w:tcPr>
            <w:tcW w:w="2686" w:type="dxa"/>
            <w:shd w:val="clear" w:color="auto" w:fill="auto"/>
          </w:tcPr>
          <w:p w14:paraId="4292CDB7" w14:textId="77777777" w:rsidR="00CE7909" w:rsidRPr="0059255D" w:rsidRDefault="00CE7909" w:rsidP="006513A9">
            <w:pPr>
              <w:suppressAutoHyphens w:val="0"/>
              <w:spacing w:before="40" w:after="40" w:line="220" w:lineRule="exact"/>
              <w:ind w:left="113" w:right="113"/>
              <w:rPr>
                <w:sz w:val="18"/>
              </w:rPr>
            </w:pPr>
            <w:r w:rsidRPr="0059255D">
              <w:rPr>
                <w:sz w:val="18"/>
              </w:rPr>
              <w:t>other than buckle side  (α</w:t>
            </w:r>
            <w:r w:rsidRPr="0059255D">
              <w:rPr>
                <w:sz w:val="18"/>
                <w:vertAlign w:val="subscript"/>
              </w:rPr>
              <w:t>1</w:t>
            </w:r>
            <w:r w:rsidRPr="0059255D">
              <w:rPr>
                <w:sz w:val="18"/>
              </w:rPr>
              <w:t>)</w:t>
            </w:r>
          </w:p>
        </w:tc>
        <w:tc>
          <w:tcPr>
            <w:tcW w:w="1843" w:type="dxa"/>
            <w:shd w:val="clear" w:color="auto" w:fill="auto"/>
          </w:tcPr>
          <w:p w14:paraId="14EABC7A" w14:textId="77777777" w:rsidR="00CE7909" w:rsidRPr="0059255D" w:rsidRDefault="00CE7909" w:rsidP="006513A9">
            <w:pPr>
              <w:suppressAutoHyphens w:val="0"/>
              <w:spacing w:before="40" w:after="40" w:line="220" w:lineRule="exact"/>
              <w:ind w:left="113" w:right="113"/>
              <w:jc w:val="right"/>
              <w:rPr>
                <w:sz w:val="18"/>
              </w:rPr>
            </w:pPr>
            <w:r w:rsidRPr="0059255D">
              <w:rPr>
                <w:sz w:val="18"/>
              </w:rPr>
              <w:t>30° - 80°</w:t>
            </w:r>
          </w:p>
        </w:tc>
        <w:tc>
          <w:tcPr>
            <w:tcW w:w="1762" w:type="dxa"/>
            <w:shd w:val="clear" w:color="auto" w:fill="auto"/>
            <w:vAlign w:val="bottom"/>
          </w:tcPr>
          <w:p w14:paraId="0C4D4361" w14:textId="77777777" w:rsidR="00CE7909" w:rsidRPr="0059255D" w:rsidRDefault="00CE7909" w:rsidP="006513A9">
            <w:pPr>
              <w:suppressAutoHyphens w:val="0"/>
              <w:spacing w:before="40" w:after="40" w:line="220" w:lineRule="exact"/>
              <w:ind w:left="113" w:right="113"/>
              <w:jc w:val="right"/>
              <w:rPr>
                <w:sz w:val="18"/>
              </w:rPr>
            </w:pPr>
            <w:r w:rsidRPr="0059255D">
              <w:rPr>
                <w:sz w:val="18"/>
              </w:rPr>
              <w:t>30° - 80°</w:t>
            </w:r>
          </w:p>
        </w:tc>
      </w:tr>
      <w:tr w:rsidR="00CE7909" w:rsidRPr="0059255D" w14:paraId="28E8820E" w14:textId="77777777" w:rsidTr="006513A9">
        <w:tblPrEx>
          <w:tblCellMar>
            <w:left w:w="81" w:type="dxa"/>
            <w:right w:w="81" w:type="dxa"/>
          </w:tblCellMar>
        </w:tblPrEx>
        <w:trPr>
          <w:cantSplit/>
        </w:trPr>
        <w:tc>
          <w:tcPr>
            <w:tcW w:w="1081" w:type="dxa"/>
            <w:vMerge/>
            <w:shd w:val="clear" w:color="auto" w:fill="auto"/>
          </w:tcPr>
          <w:p w14:paraId="2F7D207F" w14:textId="77777777" w:rsidR="00CE7909" w:rsidRPr="0059255D" w:rsidRDefault="00CE7909" w:rsidP="006513A9">
            <w:pPr>
              <w:suppressAutoHyphens w:val="0"/>
              <w:spacing w:before="40" w:after="40" w:line="220" w:lineRule="exact"/>
              <w:ind w:left="113" w:right="113"/>
              <w:rPr>
                <w:sz w:val="18"/>
              </w:rPr>
            </w:pPr>
          </w:p>
        </w:tc>
        <w:tc>
          <w:tcPr>
            <w:tcW w:w="2686" w:type="dxa"/>
            <w:shd w:val="clear" w:color="auto" w:fill="auto"/>
          </w:tcPr>
          <w:p w14:paraId="6E54869E" w14:textId="77777777" w:rsidR="00CE7909" w:rsidRPr="0059255D" w:rsidRDefault="00CE7909" w:rsidP="006513A9">
            <w:pPr>
              <w:suppressAutoHyphens w:val="0"/>
              <w:spacing w:before="40" w:after="40" w:line="220" w:lineRule="exact"/>
              <w:ind w:left="113" w:right="113"/>
              <w:rPr>
                <w:sz w:val="18"/>
              </w:rPr>
            </w:pPr>
            <w:r w:rsidRPr="0059255D">
              <w:rPr>
                <w:sz w:val="18"/>
              </w:rPr>
              <w:t>angle constant</w:t>
            </w:r>
          </w:p>
        </w:tc>
        <w:tc>
          <w:tcPr>
            <w:tcW w:w="1843" w:type="dxa"/>
            <w:shd w:val="clear" w:color="auto" w:fill="auto"/>
          </w:tcPr>
          <w:p w14:paraId="3BBD5D79" w14:textId="77777777" w:rsidR="00CE7909" w:rsidRPr="0059255D" w:rsidRDefault="00CE7909" w:rsidP="006513A9">
            <w:pPr>
              <w:suppressAutoHyphens w:val="0"/>
              <w:spacing w:before="40" w:after="40" w:line="220" w:lineRule="exact"/>
              <w:ind w:left="113" w:right="113"/>
              <w:jc w:val="right"/>
              <w:rPr>
                <w:sz w:val="18"/>
              </w:rPr>
            </w:pPr>
            <w:r w:rsidRPr="0059255D">
              <w:rPr>
                <w:sz w:val="18"/>
              </w:rPr>
              <w:t>50° - 70°</w:t>
            </w:r>
          </w:p>
        </w:tc>
        <w:tc>
          <w:tcPr>
            <w:tcW w:w="1762" w:type="dxa"/>
            <w:shd w:val="clear" w:color="auto" w:fill="auto"/>
            <w:vAlign w:val="bottom"/>
          </w:tcPr>
          <w:p w14:paraId="6AB7D162" w14:textId="77777777" w:rsidR="00CE7909" w:rsidRPr="0059255D" w:rsidRDefault="00CE7909" w:rsidP="006513A9">
            <w:pPr>
              <w:suppressAutoHyphens w:val="0"/>
              <w:spacing w:before="40" w:after="40" w:line="220" w:lineRule="exact"/>
              <w:ind w:left="113" w:right="113"/>
              <w:jc w:val="right"/>
              <w:rPr>
                <w:sz w:val="18"/>
              </w:rPr>
            </w:pPr>
            <w:r w:rsidRPr="0059255D">
              <w:rPr>
                <w:sz w:val="18"/>
              </w:rPr>
              <w:t>50° - 70°</w:t>
            </w:r>
          </w:p>
        </w:tc>
      </w:tr>
      <w:tr w:rsidR="00CE7909" w:rsidRPr="0059255D" w14:paraId="7B47F9FC" w14:textId="77777777" w:rsidTr="006513A9">
        <w:tblPrEx>
          <w:tblCellMar>
            <w:left w:w="81" w:type="dxa"/>
            <w:right w:w="81" w:type="dxa"/>
          </w:tblCellMar>
        </w:tblPrEx>
        <w:trPr>
          <w:cantSplit/>
        </w:trPr>
        <w:tc>
          <w:tcPr>
            <w:tcW w:w="1081" w:type="dxa"/>
            <w:vMerge/>
            <w:shd w:val="clear" w:color="auto" w:fill="auto"/>
          </w:tcPr>
          <w:p w14:paraId="7AD22AAD" w14:textId="77777777" w:rsidR="00CE7909" w:rsidRPr="0059255D" w:rsidRDefault="00CE7909" w:rsidP="006513A9">
            <w:pPr>
              <w:suppressAutoHyphens w:val="0"/>
              <w:spacing w:before="40" w:after="40" w:line="220" w:lineRule="exact"/>
              <w:ind w:left="113" w:right="113"/>
              <w:rPr>
                <w:sz w:val="18"/>
              </w:rPr>
            </w:pPr>
          </w:p>
        </w:tc>
        <w:tc>
          <w:tcPr>
            <w:tcW w:w="2686" w:type="dxa"/>
            <w:shd w:val="clear" w:color="auto" w:fill="auto"/>
          </w:tcPr>
          <w:p w14:paraId="6BBC15A6" w14:textId="77777777" w:rsidR="00CE7909" w:rsidRPr="0059255D" w:rsidRDefault="00CE7909" w:rsidP="006513A9">
            <w:pPr>
              <w:suppressAutoHyphens w:val="0"/>
              <w:spacing w:before="40" w:after="40" w:line="220" w:lineRule="exact"/>
              <w:ind w:left="113" w:right="113"/>
              <w:rPr>
                <w:sz w:val="18"/>
              </w:rPr>
            </w:pPr>
            <w:r w:rsidRPr="0059255D">
              <w:rPr>
                <w:sz w:val="18"/>
              </w:rPr>
              <w:t>bench - buckle side (α</w:t>
            </w:r>
            <w:r w:rsidRPr="0059255D">
              <w:rPr>
                <w:sz w:val="18"/>
                <w:vertAlign w:val="subscript"/>
              </w:rPr>
              <w:t>2</w:t>
            </w:r>
            <w:r w:rsidRPr="0059255D">
              <w:rPr>
                <w:sz w:val="18"/>
              </w:rPr>
              <w:t>)</w:t>
            </w:r>
          </w:p>
        </w:tc>
        <w:tc>
          <w:tcPr>
            <w:tcW w:w="1843" w:type="dxa"/>
            <w:shd w:val="clear" w:color="auto" w:fill="auto"/>
          </w:tcPr>
          <w:p w14:paraId="2997633D" w14:textId="77777777" w:rsidR="00CE7909" w:rsidRPr="0059255D" w:rsidRDefault="00CE7909" w:rsidP="006513A9">
            <w:pPr>
              <w:suppressAutoHyphens w:val="0"/>
              <w:spacing w:before="40" w:after="40" w:line="220" w:lineRule="exact"/>
              <w:ind w:left="113" w:right="113"/>
              <w:jc w:val="right"/>
              <w:rPr>
                <w:sz w:val="18"/>
              </w:rPr>
            </w:pPr>
            <w:r w:rsidRPr="0059255D">
              <w:rPr>
                <w:sz w:val="18"/>
              </w:rPr>
              <w:t>45° - 80°</w:t>
            </w:r>
          </w:p>
        </w:tc>
        <w:tc>
          <w:tcPr>
            <w:tcW w:w="1762" w:type="dxa"/>
            <w:shd w:val="clear" w:color="auto" w:fill="auto"/>
            <w:vAlign w:val="bottom"/>
          </w:tcPr>
          <w:p w14:paraId="2FC6DE39" w14:textId="77777777" w:rsidR="00CE7909" w:rsidRPr="0059255D" w:rsidRDefault="00CE7909" w:rsidP="006513A9">
            <w:pPr>
              <w:suppressAutoHyphens w:val="0"/>
              <w:spacing w:before="40" w:after="40" w:line="220" w:lineRule="exact"/>
              <w:ind w:left="113" w:right="113"/>
              <w:jc w:val="right"/>
              <w:rPr>
                <w:sz w:val="18"/>
              </w:rPr>
            </w:pPr>
            <w:r w:rsidRPr="0059255D">
              <w:rPr>
                <w:sz w:val="18"/>
              </w:rPr>
              <w:t>20° - 80°</w:t>
            </w:r>
          </w:p>
        </w:tc>
      </w:tr>
      <w:tr w:rsidR="00CE7909" w:rsidRPr="0059255D" w14:paraId="0EE3A507" w14:textId="77777777" w:rsidTr="006513A9">
        <w:tblPrEx>
          <w:tblCellMar>
            <w:left w:w="81" w:type="dxa"/>
            <w:right w:w="81" w:type="dxa"/>
          </w:tblCellMar>
        </w:tblPrEx>
        <w:trPr>
          <w:cantSplit/>
        </w:trPr>
        <w:tc>
          <w:tcPr>
            <w:tcW w:w="1081" w:type="dxa"/>
            <w:vMerge/>
            <w:shd w:val="clear" w:color="auto" w:fill="auto"/>
          </w:tcPr>
          <w:p w14:paraId="134E2B1E" w14:textId="77777777" w:rsidR="00CE7909" w:rsidRPr="0059255D" w:rsidRDefault="00CE7909" w:rsidP="006513A9">
            <w:pPr>
              <w:suppressAutoHyphens w:val="0"/>
              <w:spacing w:before="40" w:after="40" w:line="220" w:lineRule="exact"/>
              <w:ind w:left="113" w:right="113"/>
              <w:rPr>
                <w:sz w:val="18"/>
              </w:rPr>
            </w:pPr>
          </w:p>
        </w:tc>
        <w:tc>
          <w:tcPr>
            <w:tcW w:w="2686" w:type="dxa"/>
            <w:shd w:val="clear" w:color="auto" w:fill="auto"/>
          </w:tcPr>
          <w:p w14:paraId="38D8C709" w14:textId="77777777" w:rsidR="00CE7909" w:rsidRPr="0059255D" w:rsidRDefault="00CE7909" w:rsidP="006513A9">
            <w:pPr>
              <w:suppressAutoHyphens w:val="0"/>
              <w:spacing w:before="40" w:after="40" w:line="220" w:lineRule="exact"/>
              <w:ind w:left="113" w:right="113"/>
              <w:rPr>
                <w:sz w:val="18"/>
              </w:rPr>
            </w:pPr>
            <w:r w:rsidRPr="0059255D">
              <w:rPr>
                <w:sz w:val="18"/>
              </w:rPr>
              <w:t xml:space="preserve">bench - other than buckle </w:t>
            </w:r>
          </w:p>
          <w:p w14:paraId="6F587364" w14:textId="77777777" w:rsidR="00CE7909" w:rsidRPr="0059255D" w:rsidRDefault="00CE7909" w:rsidP="006513A9">
            <w:pPr>
              <w:suppressAutoHyphens w:val="0"/>
              <w:spacing w:before="40" w:after="40" w:line="220" w:lineRule="exact"/>
              <w:ind w:left="113" w:right="113"/>
              <w:rPr>
                <w:sz w:val="18"/>
              </w:rPr>
            </w:pPr>
            <w:r w:rsidRPr="0059255D">
              <w:rPr>
                <w:sz w:val="18"/>
              </w:rPr>
              <w:t>side (α</w:t>
            </w:r>
            <w:r w:rsidRPr="0059255D">
              <w:rPr>
                <w:sz w:val="18"/>
                <w:vertAlign w:val="subscript"/>
              </w:rPr>
              <w:t>1</w:t>
            </w:r>
            <w:r w:rsidRPr="0059255D">
              <w:rPr>
                <w:sz w:val="18"/>
              </w:rPr>
              <w:t>)</w:t>
            </w:r>
          </w:p>
        </w:tc>
        <w:tc>
          <w:tcPr>
            <w:tcW w:w="1843" w:type="dxa"/>
            <w:shd w:val="clear" w:color="auto" w:fill="auto"/>
          </w:tcPr>
          <w:p w14:paraId="2F4FBC57" w14:textId="77777777" w:rsidR="00CE7909" w:rsidRPr="0059255D" w:rsidRDefault="00CE7909" w:rsidP="006513A9">
            <w:pPr>
              <w:suppressAutoHyphens w:val="0"/>
              <w:spacing w:before="40" w:after="40" w:line="220" w:lineRule="exact"/>
              <w:ind w:left="113" w:right="113"/>
              <w:jc w:val="right"/>
              <w:rPr>
                <w:sz w:val="18"/>
              </w:rPr>
            </w:pPr>
            <w:r w:rsidRPr="0059255D">
              <w:rPr>
                <w:sz w:val="18"/>
              </w:rPr>
              <w:t>30° - 80°</w:t>
            </w:r>
          </w:p>
        </w:tc>
        <w:tc>
          <w:tcPr>
            <w:tcW w:w="1762" w:type="dxa"/>
            <w:shd w:val="clear" w:color="auto" w:fill="auto"/>
            <w:vAlign w:val="bottom"/>
          </w:tcPr>
          <w:p w14:paraId="20F91692" w14:textId="77777777" w:rsidR="00CE7909" w:rsidRPr="0059255D" w:rsidRDefault="00CE7909" w:rsidP="006513A9">
            <w:pPr>
              <w:suppressAutoHyphens w:val="0"/>
              <w:spacing w:before="40" w:after="40" w:line="220" w:lineRule="exact"/>
              <w:ind w:left="113" w:right="113"/>
              <w:jc w:val="right"/>
              <w:rPr>
                <w:sz w:val="18"/>
              </w:rPr>
            </w:pPr>
            <w:r w:rsidRPr="0059255D">
              <w:rPr>
                <w:sz w:val="18"/>
              </w:rPr>
              <w:t>20° - 80°</w:t>
            </w:r>
          </w:p>
        </w:tc>
      </w:tr>
      <w:tr w:rsidR="00CE7909" w:rsidRPr="0059255D" w14:paraId="16B0FD4A" w14:textId="77777777" w:rsidTr="006513A9">
        <w:tblPrEx>
          <w:tblCellMar>
            <w:left w:w="81" w:type="dxa"/>
            <w:right w:w="81" w:type="dxa"/>
          </w:tblCellMar>
        </w:tblPrEx>
        <w:trPr>
          <w:cantSplit/>
        </w:trPr>
        <w:tc>
          <w:tcPr>
            <w:tcW w:w="1081" w:type="dxa"/>
            <w:vMerge/>
            <w:shd w:val="clear" w:color="auto" w:fill="auto"/>
          </w:tcPr>
          <w:p w14:paraId="4E3EA3AE" w14:textId="77777777" w:rsidR="00CE7909" w:rsidRPr="0059255D" w:rsidRDefault="00CE7909" w:rsidP="006513A9">
            <w:pPr>
              <w:suppressAutoHyphens w:val="0"/>
              <w:spacing w:before="40" w:after="40" w:line="220" w:lineRule="exact"/>
              <w:ind w:left="113" w:right="113"/>
              <w:rPr>
                <w:sz w:val="18"/>
              </w:rPr>
            </w:pPr>
          </w:p>
        </w:tc>
        <w:tc>
          <w:tcPr>
            <w:tcW w:w="2686" w:type="dxa"/>
            <w:shd w:val="clear" w:color="auto" w:fill="auto"/>
          </w:tcPr>
          <w:p w14:paraId="541A3582" w14:textId="77777777" w:rsidR="00CE7909" w:rsidRPr="0059255D" w:rsidRDefault="00CE7909" w:rsidP="006513A9">
            <w:pPr>
              <w:suppressAutoHyphens w:val="0"/>
              <w:spacing w:before="40" w:after="40" w:line="220" w:lineRule="exact"/>
              <w:ind w:left="113" w:right="113"/>
              <w:rPr>
                <w:sz w:val="18"/>
              </w:rPr>
            </w:pPr>
            <w:r w:rsidRPr="0059255D">
              <w:rPr>
                <w:sz w:val="18"/>
              </w:rPr>
              <w:t xml:space="preserve">adjustable seat with seat back angle &lt; 20° </w:t>
            </w:r>
          </w:p>
        </w:tc>
        <w:tc>
          <w:tcPr>
            <w:tcW w:w="1843" w:type="dxa"/>
            <w:shd w:val="clear" w:color="auto" w:fill="auto"/>
          </w:tcPr>
          <w:p w14:paraId="0C839A44" w14:textId="77777777" w:rsidR="00CE7909" w:rsidRPr="0059255D" w:rsidRDefault="00CE7909" w:rsidP="006513A9">
            <w:pPr>
              <w:suppressAutoHyphens w:val="0"/>
              <w:spacing w:before="40" w:after="40" w:line="220" w:lineRule="exact"/>
              <w:ind w:left="113" w:right="113"/>
              <w:jc w:val="right"/>
              <w:rPr>
                <w:sz w:val="18"/>
              </w:rPr>
            </w:pPr>
            <w:r w:rsidRPr="0059255D">
              <w:rPr>
                <w:sz w:val="18"/>
              </w:rPr>
              <w:t>45° - 80° (α</w:t>
            </w:r>
            <w:r w:rsidRPr="0059255D">
              <w:rPr>
                <w:sz w:val="18"/>
                <w:vertAlign w:val="subscript"/>
              </w:rPr>
              <w:t>2</w:t>
            </w:r>
            <w:r w:rsidRPr="0059255D">
              <w:rPr>
                <w:sz w:val="18"/>
              </w:rPr>
              <w:t>)*</w:t>
            </w:r>
          </w:p>
          <w:p w14:paraId="2FC1D49B" w14:textId="77777777" w:rsidR="00CE7909" w:rsidRPr="0059255D" w:rsidRDefault="00CE7909" w:rsidP="006513A9">
            <w:pPr>
              <w:suppressAutoHyphens w:val="0"/>
              <w:spacing w:before="40" w:after="40" w:line="220" w:lineRule="exact"/>
              <w:ind w:left="113" w:right="113"/>
              <w:jc w:val="right"/>
              <w:rPr>
                <w:sz w:val="18"/>
              </w:rPr>
            </w:pPr>
            <w:r w:rsidRPr="0059255D">
              <w:rPr>
                <w:sz w:val="18"/>
              </w:rPr>
              <w:t>20° - 80°(α</w:t>
            </w:r>
            <w:r w:rsidRPr="0059255D">
              <w:rPr>
                <w:sz w:val="18"/>
                <w:vertAlign w:val="subscript"/>
              </w:rPr>
              <w:t>1</w:t>
            </w:r>
            <w:r w:rsidRPr="0059255D">
              <w:rPr>
                <w:sz w:val="18"/>
              </w:rPr>
              <w:t>)*</w:t>
            </w:r>
          </w:p>
        </w:tc>
        <w:tc>
          <w:tcPr>
            <w:tcW w:w="1762" w:type="dxa"/>
            <w:shd w:val="clear" w:color="auto" w:fill="auto"/>
            <w:vAlign w:val="bottom"/>
          </w:tcPr>
          <w:p w14:paraId="3A061719" w14:textId="77777777" w:rsidR="00CE7909" w:rsidRPr="0059255D" w:rsidRDefault="00CE7909" w:rsidP="006513A9">
            <w:pPr>
              <w:suppressAutoHyphens w:val="0"/>
              <w:spacing w:before="40" w:after="40" w:line="220" w:lineRule="exact"/>
              <w:ind w:left="113" w:right="113"/>
              <w:jc w:val="right"/>
              <w:rPr>
                <w:sz w:val="18"/>
              </w:rPr>
            </w:pPr>
            <w:r w:rsidRPr="0059255D">
              <w:rPr>
                <w:sz w:val="18"/>
              </w:rPr>
              <w:t>20° - 80°</w:t>
            </w:r>
          </w:p>
        </w:tc>
      </w:tr>
      <w:tr w:rsidR="00CE7909" w:rsidRPr="0059255D" w14:paraId="62A5C1CB" w14:textId="77777777" w:rsidTr="006513A9">
        <w:tblPrEx>
          <w:tblCellMar>
            <w:left w:w="81" w:type="dxa"/>
            <w:right w:w="81" w:type="dxa"/>
          </w:tblCellMar>
        </w:tblPrEx>
        <w:tc>
          <w:tcPr>
            <w:tcW w:w="1081" w:type="dxa"/>
            <w:tcBorders>
              <w:bottom w:val="single" w:sz="4" w:space="0" w:color="auto"/>
            </w:tcBorders>
            <w:shd w:val="clear" w:color="auto" w:fill="auto"/>
          </w:tcPr>
          <w:p w14:paraId="1EF1C63E" w14:textId="77777777" w:rsidR="00CE7909" w:rsidRPr="0059255D" w:rsidRDefault="00CE7909" w:rsidP="006513A9">
            <w:pPr>
              <w:suppressAutoHyphens w:val="0"/>
              <w:spacing w:before="40" w:after="40" w:line="220" w:lineRule="exact"/>
              <w:ind w:left="113" w:right="113"/>
              <w:rPr>
                <w:sz w:val="18"/>
              </w:rPr>
            </w:pPr>
            <w:r w:rsidRPr="0059255D">
              <w:rPr>
                <w:sz w:val="18"/>
              </w:rPr>
              <w:t>Rear ≠</w:t>
            </w:r>
          </w:p>
        </w:tc>
        <w:tc>
          <w:tcPr>
            <w:tcW w:w="2686" w:type="dxa"/>
            <w:tcBorders>
              <w:bottom w:val="single" w:sz="4" w:space="0" w:color="auto"/>
            </w:tcBorders>
            <w:shd w:val="clear" w:color="auto" w:fill="auto"/>
          </w:tcPr>
          <w:p w14:paraId="3C4F0181" w14:textId="77777777" w:rsidR="00CE7909" w:rsidRPr="0059255D" w:rsidRDefault="00CE7909" w:rsidP="006513A9">
            <w:pPr>
              <w:suppressAutoHyphens w:val="0"/>
              <w:spacing w:before="40" w:after="40" w:line="220" w:lineRule="exact"/>
              <w:ind w:left="113" w:right="113"/>
              <w:rPr>
                <w:sz w:val="18"/>
              </w:rPr>
            </w:pPr>
          </w:p>
        </w:tc>
        <w:tc>
          <w:tcPr>
            <w:tcW w:w="1843" w:type="dxa"/>
            <w:tcBorders>
              <w:bottom w:val="single" w:sz="4" w:space="0" w:color="auto"/>
            </w:tcBorders>
            <w:shd w:val="clear" w:color="auto" w:fill="auto"/>
          </w:tcPr>
          <w:p w14:paraId="3DF9888E" w14:textId="77777777" w:rsidR="00CE7909" w:rsidRPr="0059255D" w:rsidRDefault="00CE7909" w:rsidP="006513A9">
            <w:pPr>
              <w:suppressAutoHyphens w:val="0"/>
              <w:spacing w:before="40" w:after="40" w:line="220" w:lineRule="exact"/>
              <w:ind w:left="113" w:right="113"/>
              <w:jc w:val="right"/>
              <w:rPr>
                <w:sz w:val="18"/>
              </w:rPr>
            </w:pPr>
            <w:r w:rsidRPr="0059255D">
              <w:rPr>
                <w:sz w:val="18"/>
              </w:rPr>
              <w:t>30° - 80°</w:t>
            </w:r>
          </w:p>
        </w:tc>
        <w:tc>
          <w:tcPr>
            <w:tcW w:w="1762" w:type="dxa"/>
            <w:tcBorders>
              <w:bottom w:val="single" w:sz="4" w:space="0" w:color="auto"/>
            </w:tcBorders>
            <w:shd w:val="clear" w:color="auto" w:fill="auto"/>
            <w:vAlign w:val="bottom"/>
          </w:tcPr>
          <w:p w14:paraId="28F88F7F" w14:textId="77777777" w:rsidR="00CE7909" w:rsidRPr="0059255D" w:rsidRDefault="00CE7909" w:rsidP="006513A9">
            <w:pPr>
              <w:suppressAutoHyphens w:val="0"/>
              <w:spacing w:before="40" w:after="40" w:line="220" w:lineRule="exact"/>
              <w:ind w:left="113" w:right="113"/>
              <w:jc w:val="right"/>
              <w:rPr>
                <w:sz w:val="18"/>
              </w:rPr>
            </w:pPr>
            <w:r w:rsidRPr="0059255D">
              <w:rPr>
                <w:sz w:val="18"/>
              </w:rPr>
              <w:t>20° - 80° Ψ</w:t>
            </w:r>
          </w:p>
        </w:tc>
      </w:tr>
      <w:tr w:rsidR="00CE7909" w:rsidRPr="0059255D" w14:paraId="478B8093" w14:textId="77777777" w:rsidTr="006513A9">
        <w:tblPrEx>
          <w:tblCellMar>
            <w:left w:w="81" w:type="dxa"/>
            <w:right w:w="81" w:type="dxa"/>
          </w:tblCellMar>
        </w:tblPrEx>
        <w:tc>
          <w:tcPr>
            <w:tcW w:w="1081" w:type="dxa"/>
            <w:tcBorders>
              <w:bottom w:val="single" w:sz="12" w:space="0" w:color="auto"/>
            </w:tcBorders>
            <w:shd w:val="clear" w:color="auto" w:fill="auto"/>
          </w:tcPr>
          <w:p w14:paraId="0C086D9A" w14:textId="77777777" w:rsidR="00CE7909" w:rsidRPr="00243BA7" w:rsidRDefault="00CE7909" w:rsidP="006513A9">
            <w:pPr>
              <w:suppressAutoHyphens w:val="0"/>
              <w:spacing w:before="40" w:after="40" w:line="220" w:lineRule="exact"/>
              <w:ind w:left="113" w:right="113"/>
              <w:rPr>
                <w:strike/>
                <w:sz w:val="18"/>
              </w:rPr>
            </w:pPr>
            <w:r w:rsidRPr="00243BA7">
              <w:rPr>
                <w:strike/>
                <w:sz w:val="18"/>
              </w:rPr>
              <w:t>Folding</w:t>
            </w:r>
          </w:p>
        </w:tc>
        <w:tc>
          <w:tcPr>
            <w:tcW w:w="6291" w:type="dxa"/>
            <w:gridSpan w:val="3"/>
            <w:tcBorders>
              <w:bottom w:val="single" w:sz="12" w:space="0" w:color="auto"/>
            </w:tcBorders>
            <w:shd w:val="clear" w:color="auto" w:fill="auto"/>
          </w:tcPr>
          <w:p w14:paraId="3A617327" w14:textId="77777777" w:rsidR="00CE7909" w:rsidRPr="00243BA7" w:rsidRDefault="00CE7909" w:rsidP="006513A9">
            <w:pPr>
              <w:suppressAutoHyphens w:val="0"/>
              <w:spacing w:before="40" w:after="40" w:line="220" w:lineRule="exact"/>
              <w:ind w:left="113" w:right="113"/>
              <w:rPr>
                <w:strike/>
                <w:sz w:val="18"/>
              </w:rPr>
            </w:pPr>
            <w:r w:rsidRPr="00243BA7">
              <w:rPr>
                <w:strike/>
                <w:sz w:val="18"/>
              </w:rPr>
              <w:t>No belt anchorage required.</w:t>
            </w:r>
            <w:r w:rsidRPr="00243BA7">
              <w:rPr>
                <w:strike/>
                <w:sz w:val="18"/>
              </w:rPr>
              <w:br/>
              <w:t>If anchorage fitted: see angle requirements Front and Rear.</w:t>
            </w:r>
          </w:p>
        </w:tc>
      </w:tr>
      <w:tr w:rsidR="00CE7909" w:rsidRPr="0059255D" w14:paraId="580CD968" w14:textId="77777777" w:rsidTr="006513A9">
        <w:tblPrEx>
          <w:tblBorders>
            <w:top w:val="none" w:sz="0" w:space="0" w:color="auto"/>
            <w:left w:val="none" w:sz="0" w:space="0" w:color="auto"/>
            <w:right w:val="none" w:sz="0" w:space="0" w:color="auto"/>
            <w:insideH w:val="none" w:sz="0" w:space="0" w:color="auto"/>
            <w:insideV w:val="none" w:sz="0" w:space="0" w:color="auto"/>
          </w:tblBorders>
          <w:tblCellMar>
            <w:left w:w="81" w:type="dxa"/>
            <w:right w:w="81" w:type="dxa"/>
          </w:tblCellMar>
        </w:tblPrEx>
        <w:tc>
          <w:tcPr>
            <w:tcW w:w="7372" w:type="dxa"/>
            <w:gridSpan w:val="4"/>
            <w:tcBorders>
              <w:top w:val="single" w:sz="12" w:space="0" w:color="auto"/>
            </w:tcBorders>
            <w:shd w:val="clear" w:color="auto" w:fill="auto"/>
          </w:tcPr>
          <w:p w14:paraId="4DD06656" w14:textId="77777777" w:rsidR="00CE7909" w:rsidRPr="0059255D" w:rsidRDefault="00CE7909" w:rsidP="006513A9">
            <w:pPr>
              <w:rPr>
                <w:sz w:val="18"/>
                <w:szCs w:val="18"/>
              </w:rPr>
            </w:pPr>
            <w:r w:rsidRPr="0059255D">
              <w:rPr>
                <w:i/>
                <w:sz w:val="18"/>
                <w:szCs w:val="18"/>
              </w:rPr>
              <w:t>Notes</w:t>
            </w:r>
            <w:r w:rsidRPr="0059255D">
              <w:rPr>
                <w:sz w:val="18"/>
                <w:szCs w:val="18"/>
              </w:rPr>
              <w:t>:</w:t>
            </w:r>
          </w:p>
          <w:p w14:paraId="4EF2D067" w14:textId="77777777" w:rsidR="00CE7909" w:rsidRPr="0059255D" w:rsidRDefault="00CE7909" w:rsidP="006513A9">
            <w:pPr>
              <w:rPr>
                <w:sz w:val="18"/>
                <w:szCs w:val="18"/>
              </w:rPr>
            </w:pPr>
            <w:r w:rsidRPr="0059255D">
              <w:rPr>
                <w:sz w:val="18"/>
                <w:szCs w:val="18"/>
              </w:rPr>
              <w:t xml:space="preserve">≠: </w:t>
            </w:r>
            <w:r w:rsidRPr="0059255D">
              <w:rPr>
                <w:sz w:val="18"/>
                <w:szCs w:val="18"/>
              </w:rPr>
              <w:tab/>
              <w:t>outboard and centre.</w:t>
            </w:r>
          </w:p>
          <w:p w14:paraId="5431CD1E" w14:textId="77777777" w:rsidR="00CE7909" w:rsidRPr="0059255D" w:rsidRDefault="00CE7909" w:rsidP="006513A9">
            <w:pPr>
              <w:rPr>
                <w:sz w:val="18"/>
                <w:szCs w:val="18"/>
              </w:rPr>
            </w:pPr>
            <w:r w:rsidRPr="0059255D">
              <w:rPr>
                <w:sz w:val="18"/>
                <w:szCs w:val="18"/>
              </w:rPr>
              <w:t xml:space="preserve">*: </w:t>
            </w:r>
            <w:r w:rsidRPr="0059255D">
              <w:rPr>
                <w:sz w:val="18"/>
                <w:szCs w:val="18"/>
              </w:rPr>
              <w:tab/>
              <w:t>if angle is not constant see paragraph 5.4.2.1.</w:t>
            </w:r>
          </w:p>
          <w:p w14:paraId="1596DF9A" w14:textId="120DBD3F" w:rsidR="00CE7909" w:rsidRPr="00243BA7" w:rsidRDefault="00CE7909" w:rsidP="006513A9">
            <w:pPr>
              <w:rPr>
                <w:sz w:val="18"/>
                <w:szCs w:val="18"/>
              </w:rPr>
            </w:pPr>
            <w:r w:rsidRPr="0059255D">
              <w:rPr>
                <w:sz w:val="18"/>
                <w:szCs w:val="18"/>
              </w:rPr>
              <w:t>Ψ:</w:t>
            </w:r>
            <w:r w:rsidRPr="0059255D">
              <w:rPr>
                <w:sz w:val="18"/>
                <w:szCs w:val="18"/>
              </w:rPr>
              <w:tab/>
              <w:t>45° - 90° in the case of seats on M</w:t>
            </w:r>
            <w:r w:rsidRPr="0059255D">
              <w:rPr>
                <w:sz w:val="18"/>
                <w:szCs w:val="18"/>
                <w:vertAlign w:val="subscript"/>
              </w:rPr>
              <w:t>2</w:t>
            </w:r>
            <w:r w:rsidRPr="0059255D">
              <w:rPr>
                <w:sz w:val="18"/>
                <w:szCs w:val="18"/>
              </w:rPr>
              <w:t xml:space="preserve"> and M</w:t>
            </w:r>
            <w:r w:rsidRPr="0059255D">
              <w:rPr>
                <w:sz w:val="18"/>
                <w:szCs w:val="18"/>
                <w:vertAlign w:val="subscript"/>
              </w:rPr>
              <w:t>3</w:t>
            </w:r>
            <w:r>
              <w:rPr>
                <w:sz w:val="18"/>
                <w:szCs w:val="18"/>
              </w:rPr>
              <w:t xml:space="preserve"> vehicles.</w:t>
            </w:r>
            <w:r w:rsidR="00D34A02">
              <w:rPr>
                <w:sz w:val="18"/>
                <w:szCs w:val="18"/>
              </w:rPr>
              <w:t>"</w:t>
            </w:r>
          </w:p>
        </w:tc>
      </w:tr>
    </w:tbl>
    <w:p w14:paraId="32E7F1CE" w14:textId="77777777" w:rsidR="00CE7909" w:rsidRPr="009424CC" w:rsidRDefault="00CE7909" w:rsidP="00CE7909">
      <w:pPr>
        <w:pStyle w:val="HChG"/>
      </w:pPr>
      <w:r>
        <w:rPr>
          <w:snapToGrid w:val="0"/>
          <w:lang w:eastAsia="ja-JP"/>
        </w:rPr>
        <w:tab/>
        <w:t>II.</w:t>
      </w:r>
      <w:r>
        <w:rPr>
          <w:snapToGrid w:val="0"/>
          <w:lang w:eastAsia="ja-JP"/>
        </w:rPr>
        <w:tab/>
      </w:r>
      <w:r>
        <w:rPr>
          <w:snapToGrid w:val="0"/>
          <w:lang w:eastAsia="ja-JP"/>
        </w:rPr>
        <w:tab/>
      </w:r>
      <w:r w:rsidRPr="00AF37FD">
        <w:t>Justification</w:t>
      </w:r>
    </w:p>
    <w:p w14:paraId="07343857" w14:textId="0DBA22FE" w:rsidR="00CE7909" w:rsidRPr="009B75DC" w:rsidRDefault="00D34A02" w:rsidP="00D34A02">
      <w:pPr>
        <w:pStyle w:val="SingleTxtG"/>
        <w:rPr>
          <w:rFonts w:eastAsia="Yu Mincho"/>
          <w:snapToGrid w:val="0"/>
          <w:lang w:eastAsia="ja-JP"/>
        </w:rPr>
      </w:pPr>
      <w:r>
        <w:rPr>
          <w:rFonts w:eastAsia="Yu Mincho"/>
          <w:snapToGrid w:val="0"/>
          <w:lang w:eastAsia="ja-JP"/>
        </w:rPr>
        <w:t>1.</w:t>
      </w:r>
      <w:r>
        <w:rPr>
          <w:rFonts w:eastAsia="Yu Mincho"/>
          <w:snapToGrid w:val="0"/>
          <w:lang w:eastAsia="ja-JP"/>
        </w:rPr>
        <w:tab/>
      </w:r>
      <w:r w:rsidR="00CE7909">
        <w:rPr>
          <w:rFonts w:eastAsia="Yu Mincho"/>
          <w:snapToGrid w:val="0"/>
          <w:lang w:eastAsia="ja-JP"/>
        </w:rPr>
        <w:t xml:space="preserve">UN </w:t>
      </w:r>
      <w:r w:rsidR="00CE7909" w:rsidRPr="009B75DC">
        <w:rPr>
          <w:rFonts w:eastAsia="Yu Mincho"/>
          <w:snapToGrid w:val="0"/>
          <w:lang w:eastAsia="ja-JP"/>
        </w:rPr>
        <w:t>R</w:t>
      </w:r>
      <w:r>
        <w:rPr>
          <w:rFonts w:eastAsia="Yu Mincho"/>
          <w:snapToGrid w:val="0"/>
          <w:lang w:eastAsia="ja-JP"/>
        </w:rPr>
        <w:t xml:space="preserve">egulation No. </w:t>
      </w:r>
      <w:r w:rsidR="00CE7909" w:rsidRPr="009B75DC">
        <w:rPr>
          <w:rFonts w:eastAsia="Yu Mincho"/>
          <w:snapToGrid w:val="0"/>
          <w:lang w:eastAsia="ja-JP"/>
        </w:rPr>
        <w:t>14.</w:t>
      </w:r>
      <w:r>
        <w:rPr>
          <w:rFonts w:eastAsia="Yu Mincho"/>
          <w:snapToGrid w:val="0"/>
          <w:lang w:eastAsia="ja-JP"/>
        </w:rPr>
        <w:t xml:space="preserve">, </w:t>
      </w:r>
      <w:r w:rsidR="00CE7909" w:rsidRPr="009B75DC">
        <w:rPr>
          <w:rFonts w:eastAsia="Yu Mincho"/>
          <w:snapToGrid w:val="0"/>
          <w:lang w:eastAsia="ja-JP"/>
        </w:rPr>
        <w:t>06</w:t>
      </w:r>
      <w:r>
        <w:rPr>
          <w:rFonts w:eastAsia="Yu Mincho"/>
          <w:snapToGrid w:val="0"/>
          <w:lang w:eastAsia="ja-JP"/>
        </w:rPr>
        <w:t xml:space="preserve"> series of amendments</w:t>
      </w:r>
      <w:r w:rsidR="00CE7909" w:rsidRPr="009B75DC">
        <w:rPr>
          <w:rFonts w:eastAsia="Yu Mincho"/>
          <w:snapToGrid w:val="0"/>
          <w:lang w:eastAsia="ja-JP"/>
        </w:rPr>
        <w:t xml:space="preserve"> paragraph 5.3.6.</w:t>
      </w:r>
      <w:r w:rsidR="00CE7909">
        <w:rPr>
          <w:rFonts w:eastAsia="Yu Mincho"/>
          <w:snapToGrid w:val="0"/>
          <w:lang w:eastAsia="ja-JP"/>
        </w:rPr>
        <w:t xml:space="preserve"> read as follows</w:t>
      </w:r>
      <w:r w:rsidR="00CE7909" w:rsidRPr="009B75DC">
        <w:rPr>
          <w:rFonts w:eastAsia="Yu Mincho"/>
          <w:snapToGrid w:val="0"/>
          <w:lang w:eastAsia="ja-JP"/>
        </w:rPr>
        <w:t>:</w:t>
      </w:r>
    </w:p>
    <w:p w14:paraId="456D5A2B" w14:textId="23351A40" w:rsidR="00CE7909" w:rsidRPr="009B75DC" w:rsidRDefault="00D34A02" w:rsidP="00D34A02">
      <w:pPr>
        <w:pStyle w:val="SingleTxtG"/>
        <w:ind w:left="1701" w:hanging="567"/>
        <w:rPr>
          <w:rFonts w:eastAsia="Yu Mincho"/>
          <w:snapToGrid w:val="0"/>
          <w:lang w:eastAsia="ja-JP"/>
        </w:rPr>
      </w:pPr>
      <w:r>
        <w:rPr>
          <w:rFonts w:eastAsia="Yu Mincho"/>
          <w:snapToGrid w:val="0"/>
          <w:lang w:eastAsia="ja-JP"/>
        </w:rPr>
        <w:t>"</w:t>
      </w:r>
      <w:r w:rsidR="00CE7909" w:rsidRPr="009B75DC">
        <w:rPr>
          <w:rFonts w:eastAsia="Yu Mincho"/>
          <w:snapToGrid w:val="0"/>
          <w:lang w:eastAsia="ja-JP"/>
        </w:rPr>
        <w:t>5.3.6.</w:t>
      </w:r>
      <w:r>
        <w:rPr>
          <w:rFonts w:eastAsia="Yu Mincho"/>
          <w:snapToGrid w:val="0"/>
          <w:lang w:eastAsia="ja-JP"/>
        </w:rPr>
        <w:tab/>
      </w:r>
      <w:r w:rsidR="00CE7909" w:rsidRPr="009B75DC">
        <w:rPr>
          <w:rFonts w:eastAsia="Yu Mincho"/>
          <w:snapToGrid w:val="0"/>
          <w:lang w:eastAsia="ja-JP"/>
        </w:rPr>
        <w:t>For all folding seats, or seating intended solely for use when the vehicle is stationary as well as for all the seats of any vehicle which are not covered by paragraphs 5.3.1. to 5.3.4., no belt anchorages are required. However, if the vehicle is fitted with anchorages for such seats, these anchorages must comply with the provisions of this Regulation. In this case, two lower anchorages shall be sufficient.</w:t>
      </w:r>
      <w:r>
        <w:rPr>
          <w:rFonts w:eastAsia="Yu Mincho"/>
          <w:snapToGrid w:val="0"/>
          <w:lang w:eastAsia="ja-JP"/>
        </w:rPr>
        <w:t>"</w:t>
      </w:r>
    </w:p>
    <w:p w14:paraId="4BAD66B5" w14:textId="01ADF15F" w:rsidR="00CE7909" w:rsidRPr="00D34A02" w:rsidRDefault="00D34A02" w:rsidP="00D34A02">
      <w:pPr>
        <w:pStyle w:val="SingleTxtG"/>
        <w:rPr>
          <w:rFonts w:eastAsia="Yu Mincho"/>
          <w:snapToGrid w:val="0"/>
          <w:lang w:eastAsia="ja-JP"/>
        </w:rPr>
      </w:pPr>
      <w:r>
        <w:rPr>
          <w:rFonts w:eastAsia="Yu Mincho"/>
          <w:snapToGrid w:val="0"/>
          <w:lang w:eastAsia="ja-JP"/>
        </w:rPr>
        <w:t>2.</w:t>
      </w:r>
      <w:r>
        <w:rPr>
          <w:rFonts w:eastAsia="Yu Mincho"/>
          <w:snapToGrid w:val="0"/>
          <w:lang w:eastAsia="ja-JP"/>
        </w:rPr>
        <w:tab/>
        <w:t xml:space="preserve">UN </w:t>
      </w:r>
      <w:r w:rsidRPr="009B75DC">
        <w:rPr>
          <w:rFonts w:eastAsia="Yu Mincho"/>
          <w:snapToGrid w:val="0"/>
          <w:lang w:eastAsia="ja-JP"/>
        </w:rPr>
        <w:t>R</w:t>
      </w:r>
      <w:r>
        <w:rPr>
          <w:rFonts w:eastAsia="Yu Mincho"/>
          <w:snapToGrid w:val="0"/>
          <w:lang w:eastAsia="ja-JP"/>
        </w:rPr>
        <w:t xml:space="preserve">egulation No. </w:t>
      </w:r>
      <w:r w:rsidRPr="009B75DC">
        <w:rPr>
          <w:rFonts w:eastAsia="Yu Mincho"/>
          <w:snapToGrid w:val="0"/>
          <w:lang w:eastAsia="ja-JP"/>
        </w:rPr>
        <w:t>14.</w:t>
      </w:r>
      <w:r>
        <w:rPr>
          <w:rFonts w:eastAsia="Yu Mincho"/>
          <w:snapToGrid w:val="0"/>
          <w:lang w:eastAsia="ja-JP"/>
        </w:rPr>
        <w:t xml:space="preserve">, </w:t>
      </w:r>
      <w:r w:rsidR="00CE7909" w:rsidRPr="009B75DC">
        <w:rPr>
          <w:rFonts w:eastAsia="Yu Mincho"/>
          <w:snapToGrid w:val="0"/>
          <w:lang w:eastAsia="ja-JP"/>
        </w:rPr>
        <w:t>07</w:t>
      </w:r>
      <w:r>
        <w:rPr>
          <w:rFonts w:eastAsia="Yu Mincho"/>
          <w:snapToGrid w:val="0"/>
          <w:lang w:eastAsia="ja-JP"/>
        </w:rPr>
        <w:t xml:space="preserve"> series of amendments</w:t>
      </w:r>
      <w:r w:rsidR="00CE7909" w:rsidRPr="009B75DC">
        <w:rPr>
          <w:rFonts w:eastAsia="Yu Mincho"/>
          <w:snapToGrid w:val="0"/>
          <w:lang w:eastAsia="ja-JP"/>
        </w:rPr>
        <w:t xml:space="preserve"> this changed into: </w:t>
      </w:r>
    </w:p>
    <w:p w14:paraId="73F4E2A7" w14:textId="1EAF2B40" w:rsidR="00CE7909" w:rsidRPr="00D34A02" w:rsidRDefault="00D34A02" w:rsidP="00D34A02">
      <w:pPr>
        <w:pStyle w:val="SingleTxtG"/>
        <w:ind w:left="1701" w:hanging="567"/>
        <w:rPr>
          <w:rFonts w:eastAsia="Yu Mincho"/>
          <w:snapToGrid w:val="0"/>
          <w:lang w:eastAsia="ja-JP"/>
        </w:rPr>
      </w:pPr>
      <w:r>
        <w:rPr>
          <w:rFonts w:eastAsia="Yu Mincho"/>
          <w:snapToGrid w:val="0"/>
          <w:lang w:eastAsia="ja-JP"/>
        </w:rPr>
        <w:t>"</w:t>
      </w:r>
      <w:r w:rsidR="00CE7909" w:rsidRPr="009B75DC">
        <w:rPr>
          <w:rFonts w:eastAsia="Yu Mincho"/>
          <w:snapToGrid w:val="0"/>
          <w:lang w:eastAsia="ja-JP"/>
        </w:rPr>
        <w:t>5.3.6.</w:t>
      </w:r>
      <w:r>
        <w:rPr>
          <w:rFonts w:eastAsia="Yu Mincho"/>
          <w:snapToGrid w:val="0"/>
          <w:lang w:eastAsia="ja-JP"/>
        </w:rPr>
        <w:tab/>
      </w:r>
      <w:r w:rsidR="00CE7909" w:rsidRPr="009B75DC">
        <w:rPr>
          <w:rFonts w:eastAsia="Yu Mincho"/>
          <w:snapToGrid w:val="0"/>
          <w:lang w:eastAsia="ja-JP"/>
        </w:rPr>
        <w:t>For all seats, intended solely for use when the vehicle is stationary as well as for all the seats of any vehicle which are not covered by paragraphs 5.3.1. to 5.3.4., no belt anchorages are required. However, if the vehicle is fitted with anchorages for such seats, these anchorages must comply with the provisions of this Regulation. Any anchorage intended solely for use in conjunction with a disabled person's belt, or any other restraint system according to Regulation No. 107, 02 series of amendments, Annex 8, do not need to conform to the requirements of this Regulation.</w:t>
      </w:r>
      <w:r>
        <w:rPr>
          <w:rFonts w:eastAsia="Yu Mincho"/>
          <w:snapToGrid w:val="0"/>
          <w:lang w:eastAsia="ja-JP"/>
        </w:rPr>
        <w:t>"</w:t>
      </w:r>
    </w:p>
    <w:p w14:paraId="14A8091F" w14:textId="6284D1DE" w:rsidR="00CE7909" w:rsidRDefault="00D34A02" w:rsidP="00D34A02">
      <w:pPr>
        <w:pStyle w:val="SingleTxtG"/>
        <w:rPr>
          <w:rFonts w:eastAsia="Yu Mincho"/>
          <w:snapToGrid w:val="0"/>
          <w:lang w:eastAsia="ja-JP"/>
        </w:rPr>
      </w:pPr>
      <w:r>
        <w:rPr>
          <w:rFonts w:eastAsia="Yu Mincho"/>
          <w:snapToGrid w:val="0"/>
          <w:lang w:eastAsia="ja-JP"/>
        </w:rPr>
        <w:t>3.</w:t>
      </w:r>
      <w:r>
        <w:rPr>
          <w:rFonts w:eastAsia="Yu Mincho"/>
          <w:snapToGrid w:val="0"/>
          <w:lang w:eastAsia="ja-JP"/>
        </w:rPr>
        <w:tab/>
      </w:r>
      <w:r w:rsidR="00CE7909">
        <w:rPr>
          <w:rFonts w:eastAsia="Yu Mincho"/>
          <w:snapToGrid w:val="0"/>
          <w:lang w:eastAsia="ja-JP"/>
        </w:rPr>
        <w:t>There are no special provisions for folding seats anymore, other than for seats intended solely for use when the vehicle is stationary.</w:t>
      </w:r>
    </w:p>
    <w:p w14:paraId="0D72A5D5" w14:textId="3F2F9535" w:rsidR="00CE7909" w:rsidRDefault="00D34A02" w:rsidP="00D34A02">
      <w:pPr>
        <w:pStyle w:val="SingleTxtG"/>
        <w:rPr>
          <w:rFonts w:eastAsia="Yu Mincho"/>
          <w:snapToGrid w:val="0"/>
          <w:lang w:eastAsia="ja-JP"/>
        </w:rPr>
      </w:pPr>
      <w:r>
        <w:rPr>
          <w:rFonts w:eastAsia="Yu Mincho"/>
          <w:snapToGrid w:val="0"/>
          <w:lang w:eastAsia="ja-JP"/>
        </w:rPr>
        <w:t>4.</w:t>
      </w:r>
      <w:r>
        <w:rPr>
          <w:rFonts w:eastAsia="Yu Mincho"/>
          <w:snapToGrid w:val="0"/>
          <w:lang w:eastAsia="ja-JP"/>
        </w:rPr>
        <w:tab/>
      </w:r>
      <w:r w:rsidR="00CE7909">
        <w:rPr>
          <w:rFonts w:eastAsia="Yu Mincho"/>
          <w:snapToGrid w:val="0"/>
          <w:lang w:eastAsia="ja-JP"/>
        </w:rPr>
        <w:t>The table of Annex 6 – Appendix 1 is not meant to describe the requirements for the number of mandatory anchorages, but to define the angle requirements for the lower anchorages only.</w:t>
      </w:r>
    </w:p>
    <w:p w14:paraId="02509F5E" w14:textId="38DD2CF6" w:rsidR="00CE7909" w:rsidRDefault="00D34A02" w:rsidP="00D34A02">
      <w:pPr>
        <w:pStyle w:val="SingleTxtG"/>
        <w:rPr>
          <w:rFonts w:eastAsia="Yu Mincho"/>
          <w:snapToGrid w:val="0"/>
          <w:lang w:eastAsia="ja-JP"/>
        </w:rPr>
      </w:pPr>
      <w:r>
        <w:rPr>
          <w:rFonts w:eastAsia="Yu Mincho"/>
          <w:snapToGrid w:val="0"/>
          <w:lang w:eastAsia="ja-JP"/>
        </w:rPr>
        <w:t>5.</w:t>
      </w:r>
      <w:r>
        <w:rPr>
          <w:rFonts w:eastAsia="Yu Mincho"/>
          <w:snapToGrid w:val="0"/>
          <w:lang w:eastAsia="ja-JP"/>
        </w:rPr>
        <w:tab/>
      </w:r>
      <w:r w:rsidR="00CE7909">
        <w:rPr>
          <w:rFonts w:eastAsia="Yu Mincho"/>
          <w:snapToGrid w:val="0"/>
          <w:lang w:eastAsia="ja-JP"/>
        </w:rPr>
        <w:t>Unfortunately, this table did not get updated when UN R</w:t>
      </w:r>
      <w:r>
        <w:rPr>
          <w:rFonts w:eastAsia="Yu Mincho"/>
          <w:snapToGrid w:val="0"/>
          <w:lang w:eastAsia="ja-JP"/>
        </w:rPr>
        <w:t xml:space="preserve">egulation No. </w:t>
      </w:r>
      <w:r w:rsidR="00CE7909">
        <w:rPr>
          <w:rFonts w:eastAsia="Yu Mincho"/>
          <w:snapToGrid w:val="0"/>
          <w:lang w:eastAsia="ja-JP"/>
        </w:rPr>
        <w:t>14</w:t>
      </w:r>
      <w:r>
        <w:rPr>
          <w:rFonts w:eastAsia="Yu Mincho"/>
          <w:snapToGrid w:val="0"/>
          <w:lang w:eastAsia="ja-JP"/>
        </w:rPr>
        <w:t xml:space="preserve">, </w:t>
      </w:r>
      <w:r w:rsidR="00CE7909">
        <w:rPr>
          <w:rFonts w:eastAsia="Yu Mincho"/>
          <w:snapToGrid w:val="0"/>
          <w:lang w:eastAsia="ja-JP"/>
        </w:rPr>
        <w:t xml:space="preserve">07 </w:t>
      </w:r>
      <w:r>
        <w:rPr>
          <w:rFonts w:eastAsia="Yu Mincho"/>
          <w:snapToGrid w:val="0"/>
          <w:lang w:eastAsia="ja-JP"/>
        </w:rPr>
        <w:t xml:space="preserve">series of amendments </w:t>
      </w:r>
      <w:proofErr w:type="gramStart"/>
      <w:r w:rsidR="00CE7909">
        <w:rPr>
          <w:rFonts w:eastAsia="Yu Mincho"/>
          <w:snapToGrid w:val="0"/>
          <w:lang w:eastAsia="ja-JP"/>
        </w:rPr>
        <w:t>was</w:t>
      </w:r>
      <w:proofErr w:type="gramEnd"/>
      <w:r w:rsidR="00CE7909">
        <w:rPr>
          <w:rFonts w:eastAsia="Yu Mincho"/>
          <w:snapToGrid w:val="0"/>
          <w:lang w:eastAsia="ja-JP"/>
        </w:rPr>
        <w:t xml:space="preserve"> adopted and has led to confusion. This proposal aims to correct this inconsistency.</w:t>
      </w:r>
    </w:p>
    <w:p w14:paraId="1C59E354" w14:textId="3AD5B016" w:rsidR="001C6663" w:rsidRPr="0098080A" w:rsidRDefault="00CE7909" w:rsidP="00D62DD0">
      <w:pPr>
        <w:spacing w:before="120"/>
        <w:jc w:val="center"/>
        <w:rPr>
          <w:u w:val="single"/>
        </w:rPr>
      </w:pPr>
      <w:r w:rsidRPr="00341F66">
        <w:rPr>
          <w:u w:val="single"/>
        </w:rPr>
        <w:tab/>
      </w:r>
      <w:r w:rsidRPr="00341F66">
        <w:rPr>
          <w:u w:val="single"/>
        </w:rPr>
        <w:tab/>
      </w:r>
      <w:r w:rsidRPr="00341F66">
        <w:rPr>
          <w:u w:val="single"/>
        </w:rPr>
        <w:tab/>
      </w:r>
    </w:p>
    <w:sectPr w:rsidR="001C6663" w:rsidRPr="0098080A" w:rsidSect="009B0F49">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AE056" w14:textId="77777777" w:rsidR="00BF5F28" w:rsidRDefault="00BF5F28"/>
  </w:endnote>
  <w:endnote w:type="continuationSeparator" w:id="0">
    <w:p w14:paraId="30C52745" w14:textId="77777777" w:rsidR="00BF5F28" w:rsidRDefault="00BF5F28"/>
  </w:endnote>
  <w:endnote w:type="continuationNotice" w:id="1">
    <w:p w14:paraId="531C5E6E" w14:textId="77777777" w:rsidR="00BF5F28" w:rsidRDefault="00BF5F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8D7D3" w14:textId="1A1DFEFB" w:rsidR="009B0F49" w:rsidRPr="009B0F49" w:rsidRDefault="009B0F49" w:rsidP="009B0F49">
    <w:pPr>
      <w:pStyle w:val="Footer"/>
      <w:tabs>
        <w:tab w:val="right" w:pos="9638"/>
      </w:tabs>
      <w:rPr>
        <w:sz w:val="18"/>
      </w:rPr>
    </w:pPr>
    <w:r w:rsidRPr="009B0F49">
      <w:rPr>
        <w:b/>
        <w:sz w:val="18"/>
      </w:rPr>
      <w:fldChar w:fldCharType="begin"/>
    </w:r>
    <w:r w:rsidRPr="009B0F49">
      <w:rPr>
        <w:b/>
        <w:sz w:val="18"/>
      </w:rPr>
      <w:instrText xml:space="preserve"> PAGE  \* MERGEFORMAT </w:instrText>
    </w:r>
    <w:r w:rsidRPr="009B0F49">
      <w:rPr>
        <w:b/>
        <w:sz w:val="18"/>
      </w:rPr>
      <w:fldChar w:fldCharType="separate"/>
    </w:r>
    <w:r w:rsidRPr="009B0F49">
      <w:rPr>
        <w:b/>
        <w:noProof/>
        <w:sz w:val="18"/>
      </w:rPr>
      <w:t>2</w:t>
    </w:r>
    <w:r w:rsidRPr="009B0F4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47534" w14:textId="539C93DF" w:rsidR="009B0F49" w:rsidRPr="009B0F49" w:rsidRDefault="009B0F49" w:rsidP="009B0F49">
    <w:pPr>
      <w:pStyle w:val="Footer"/>
      <w:tabs>
        <w:tab w:val="right" w:pos="9638"/>
      </w:tabs>
      <w:rPr>
        <w:b/>
        <w:sz w:val="18"/>
      </w:rPr>
    </w:pPr>
    <w:r>
      <w:tab/>
    </w:r>
    <w:r w:rsidRPr="009B0F49">
      <w:rPr>
        <w:b/>
        <w:sz w:val="18"/>
      </w:rPr>
      <w:fldChar w:fldCharType="begin"/>
    </w:r>
    <w:r w:rsidRPr="009B0F49">
      <w:rPr>
        <w:b/>
        <w:sz w:val="18"/>
      </w:rPr>
      <w:instrText xml:space="preserve"> PAGE  \* MERGEFORMAT </w:instrText>
    </w:r>
    <w:r w:rsidRPr="009B0F49">
      <w:rPr>
        <w:b/>
        <w:sz w:val="18"/>
      </w:rPr>
      <w:fldChar w:fldCharType="separate"/>
    </w:r>
    <w:r w:rsidRPr="009B0F49">
      <w:rPr>
        <w:b/>
        <w:noProof/>
        <w:sz w:val="18"/>
      </w:rPr>
      <w:t>3</w:t>
    </w:r>
    <w:r w:rsidRPr="009B0F4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47584" w14:textId="2407F453" w:rsidR="006C2D14" w:rsidRDefault="006C2D14" w:rsidP="006C2D14">
    <w:pPr>
      <w:pStyle w:val="Footer"/>
    </w:pPr>
    <w:r w:rsidRPr="0027112F">
      <w:rPr>
        <w:noProof/>
        <w:lang w:val="en-US"/>
      </w:rPr>
      <w:drawing>
        <wp:anchor distT="0" distB="0" distL="114300" distR="114300" simplePos="0" relativeHeight="251659264" behindDoc="0" locked="1" layoutInCell="1" allowOverlap="1" wp14:anchorId="004AD9C5" wp14:editId="52911CB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034D377" w14:textId="27BB83A3" w:rsidR="006C2D14" w:rsidRPr="006C2D14" w:rsidRDefault="006C2D14" w:rsidP="006C2D14">
    <w:pPr>
      <w:pStyle w:val="Footer"/>
      <w:ind w:right="1134"/>
      <w:rPr>
        <w:sz w:val="20"/>
      </w:rPr>
    </w:pPr>
    <w:r>
      <w:rPr>
        <w:sz w:val="20"/>
      </w:rPr>
      <w:t>GE.21-02885(E)</w:t>
    </w:r>
    <w:r>
      <w:rPr>
        <w:noProof/>
        <w:sz w:val="20"/>
      </w:rPr>
      <w:drawing>
        <wp:anchor distT="0" distB="0" distL="114300" distR="114300" simplePos="0" relativeHeight="251660288" behindDoc="0" locked="0" layoutInCell="1" allowOverlap="1" wp14:anchorId="44D1891C" wp14:editId="6C9A2172">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EBBD8" w14:textId="77777777" w:rsidR="00BF5F28" w:rsidRPr="000B175B" w:rsidRDefault="00BF5F28" w:rsidP="000B175B">
      <w:pPr>
        <w:tabs>
          <w:tab w:val="right" w:pos="2155"/>
        </w:tabs>
        <w:spacing w:after="80"/>
        <w:ind w:left="680"/>
        <w:rPr>
          <w:u w:val="single"/>
        </w:rPr>
      </w:pPr>
      <w:r>
        <w:rPr>
          <w:u w:val="single"/>
        </w:rPr>
        <w:tab/>
      </w:r>
    </w:p>
  </w:footnote>
  <w:footnote w:type="continuationSeparator" w:id="0">
    <w:p w14:paraId="381C8178" w14:textId="77777777" w:rsidR="00BF5F28" w:rsidRPr="00FC68B7" w:rsidRDefault="00BF5F28" w:rsidP="00FC68B7">
      <w:pPr>
        <w:tabs>
          <w:tab w:val="left" w:pos="2155"/>
        </w:tabs>
        <w:spacing w:after="80"/>
        <w:ind w:left="680"/>
        <w:rPr>
          <w:u w:val="single"/>
        </w:rPr>
      </w:pPr>
      <w:r>
        <w:rPr>
          <w:u w:val="single"/>
        </w:rPr>
        <w:tab/>
      </w:r>
    </w:p>
  </w:footnote>
  <w:footnote w:type="continuationNotice" w:id="1">
    <w:p w14:paraId="5FCF920A" w14:textId="77777777" w:rsidR="00BF5F28" w:rsidRDefault="00BF5F28"/>
  </w:footnote>
  <w:footnote w:id="2">
    <w:p w14:paraId="679ECE31" w14:textId="77777777" w:rsidR="00CE7909" w:rsidRPr="002232AF" w:rsidRDefault="00CE7909" w:rsidP="00CE7909">
      <w:pPr>
        <w:pStyle w:val="FootnoteText"/>
        <w:rPr>
          <w:lang w:val="en-US"/>
        </w:rPr>
      </w:pPr>
      <w:r>
        <w:tab/>
      </w:r>
      <w:r w:rsidRPr="002232AF">
        <w:rPr>
          <w:rStyle w:val="FootnoteReference"/>
          <w:sz w:val="20"/>
          <w:lang w:val="en-US"/>
        </w:rPr>
        <w:t>*</w:t>
      </w:r>
      <w:r w:rsidRPr="002232AF">
        <w:rPr>
          <w:sz w:val="20"/>
          <w:lang w:val="en-US"/>
        </w:rPr>
        <w:tab/>
      </w:r>
      <w:r w:rsidRPr="00187D49">
        <w:rPr>
          <w:szCs w:val="18"/>
          <w:lang w:val="en-US"/>
        </w:rPr>
        <w:t xml:space="preserve">In accordance with the </w:t>
      </w:r>
      <w:proofErr w:type="spellStart"/>
      <w:r w:rsidRPr="00187D49">
        <w:rPr>
          <w:szCs w:val="18"/>
          <w:lang w:val="en-US"/>
        </w:rPr>
        <w:t>programme</w:t>
      </w:r>
      <w:proofErr w:type="spellEnd"/>
      <w:r w:rsidRPr="00187D49">
        <w:rPr>
          <w:szCs w:val="18"/>
          <w:lang w:val="en-US"/>
        </w:rPr>
        <w:t xml:space="preserve"> of work of the Inland Transport Committee for 2021 as outlined in proposed </w:t>
      </w:r>
      <w:proofErr w:type="spellStart"/>
      <w:r w:rsidRPr="00187D49">
        <w:rPr>
          <w:szCs w:val="18"/>
          <w:lang w:val="en-US"/>
        </w:rPr>
        <w:t>programme</w:t>
      </w:r>
      <w:proofErr w:type="spellEnd"/>
      <w:r w:rsidRPr="00187D49">
        <w:rPr>
          <w:szCs w:val="18"/>
          <w:lang w:val="en-US"/>
        </w:rPr>
        <w:t xml:space="preserve"> budget for 2021 (A/75/6 (Sect.20), para 20.51), the World Forum will develop, harmonize and update UN Regulations in order to enhance the performance of vehicles. The present document is submitted in conformity with that mandate.</w:t>
      </w:r>
      <w:r w:rsidRPr="002232AF">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5876F" w14:textId="1AF5A4B2" w:rsidR="009B0F49" w:rsidRPr="00D34A02" w:rsidRDefault="006C2D14">
    <w:pPr>
      <w:pStyle w:val="Header"/>
      <w:rPr>
        <w:lang w:val="fr-CH"/>
      </w:rPr>
    </w:pPr>
    <w:r>
      <w:fldChar w:fldCharType="begin"/>
    </w:r>
    <w:r>
      <w:instrText xml:space="preserve"> TITLE  \* MERGEFORMAT </w:instrText>
    </w:r>
    <w:r>
      <w:fldChar w:fldCharType="separate"/>
    </w:r>
    <w:r>
      <w:t>ECE/TRANS/WP.29/GRSP/2021/9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D947F" w14:textId="34FBB370" w:rsidR="009B0F49" w:rsidRPr="002874A8" w:rsidRDefault="006C2D14" w:rsidP="009B0F49">
    <w:pPr>
      <w:pStyle w:val="Header"/>
      <w:jc w:val="right"/>
      <w:rPr>
        <w:lang w:val="fr-CH"/>
      </w:rPr>
    </w:pPr>
    <w:r>
      <w:fldChar w:fldCharType="begin"/>
    </w:r>
    <w:r>
      <w:instrText xml:space="preserve"> TITLE  \* MERGEFORMAT </w:instrText>
    </w:r>
    <w:r>
      <w:fldChar w:fldCharType="separate"/>
    </w:r>
    <w:r>
      <w:t>ECE/TRANS/WP.29/GRSP/2021/9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F49"/>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874A8"/>
    <w:rsid w:val="002974E9"/>
    <w:rsid w:val="002A306B"/>
    <w:rsid w:val="002A7F94"/>
    <w:rsid w:val="002B109A"/>
    <w:rsid w:val="002C6D45"/>
    <w:rsid w:val="002D6E53"/>
    <w:rsid w:val="002D7BF5"/>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22AAC"/>
    <w:rsid w:val="004325CB"/>
    <w:rsid w:val="00440A07"/>
    <w:rsid w:val="00450218"/>
    <w:rsid w:val="00462880"/>
    <w:rsid w:val="00476F24"/>
    <w:rsid w:val="004A5D33"/>
    <w:rsid w:val="004C55B0"/>
    <w:rsid w:val="004D704E"/>
    <w:rsid w:val="004F6BA0"/>
    <w:rsid w:val="00503BEA"/>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2D14"/>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3F7"/>
    <w:rsid w:val="00926E47"/>
    <w:rsid w:val="00947162"/>
    <w:rsid w:val="009610D0"/>
    <w:rsid w:val="0096375C"/>
    <w:rsid w:val="009662E6"/>
    <w:rsid w:val="0097095E"/>
    <w:rsid w:val="0098080A"/>
    <w:rsid w:val="0098592B"/>
    <w:rsid w:val="00985FC4"/>
    <w:rsid w:val="00990766"/>
    <w:rsid w:val="00991261"/>
    <w:rsid w:val="009964C4"/>
    <w:rsid w:val="009A7B81"/>
    <w:rsid w:val="009B0F49"/>
    <w:rsid w:val="009B7EB7"/>
    <w:rsid w:val="009D01C0"/>
    <w:rsid w:val="009D6A08"/>
    <w:rsid w:val="009E0A16"/>
    <w:rsid w:val="009E6CB7"/>
    <w:rsid w:val="009E7970"/>
    <w:rsid w:val="009F2EAC"/>
    <w:rsid w:val="009F57E3"/>
    <w:rsid w:val="00A10F4F"/>
    <w:rsid w:val="00A11067"/>
    <w:rsid w:val="00A135F4"/>
    <w:rsid w:val="00A1704A"/>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4131"/>
    <w:rsid w:val="00B15055"/>
    <w:rsid w:val="00B20551"/>
    <w:rsid w:val="00B30179"/>
    <w:rsid w:val="00B31E0B"/>
    <w:rsid w:val="00B33FC7"/>
    <w:rsid w:val="00B37B15"/>
    <w:rsid w:val="00B4162A"/>
    <w:rsid w:val="00B45C02"/>
    <w:rsid w:val="00B51A20"/>
    <w:rsid w:val="00B70B63"/>
    <w:rsid w:val="00B72A1E"/>
    <w:rsid w:val="00B75FE7"/>
    <w:rsid w:val="00B81E12"/>
    <w:rsid w:val="00BA339B"/>
    <w:rsid w:val="00BB23CC"/>
    <w:rsid w:val="00BC1E7E"/>
    <w:rsid w:val="00BC74E9"/>
    <w:rsid w:val="00BE36A9"/>
    <w:rsid w:val="00BE618E"/>
    <w:rsid w:val="00BE7BEC"/>
    <w:rsid w:val="00BF0A5A"/>
    <w:rsid w:val="00BF0E63"/>
    <w:rsid w:val="00BF12A3"/>
    <w:rsid w:val="00BF16D7"/>
    <w:rsid w:val="00BF2373"/>
    <w:rsid w:val="00BF279B"/>
    <w:rsid w:val="00BF5F28"/>
    <w:rsid w:val="00C044E2"/>
    <w:rsid w:val="00C048CB"/>
    <w:rsid w:val="00C066F3"/>
    <w:rsid w:val="00C463DD"/>
    <w:rsid w:val="00C6569F"/>
    <w:rsid w:val="00C745C3"/>
    <w:rsid w:val="00C978F5"/>
    <w:rsid w:val="00CA24A4"/>
    <w:rsid w:val="00CB348D"/>
    <w:rsid w:val="00CD46F5"/>
    <w:rsid w:val="00CE4A8F"/>
    <w:rsid w:val="00CE7909"/>
    <w:rsid w:val="00CF071D"/>
    <w:rsid w:val="00D0123D"/>
    <w:rsid w:val="00D15B04"/>
    <w:rsid w:val="00D2031B"/>
    <w:rsid w:val="00D25FE2"/>
    <w:rsid w:val="00D34A02"/>
    <w:rsid w:val="00D359B1"/>
    <w:rsid w:val="00D37DA9"/>
    <w:rsid w:val="00D406A7"/>
    <w:rsid w:val="00D412FD"/>
    <w:rsid w:val="00D43252"/>
    <w:rsid w:val="00D43F18"/>
    <w:rsid w:val="00D44D86"/>
    <w:rsid w:val="00D50B7D"/>
    <w:rsid w:val="00D52012"/>
    <w:rsid w:val="00D62DD0"/>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E01D0"/>
    <w:rsid w:val="00EF1D7F"/>
    <w:rsid w:val="00F0137E"/>
    <w:rsid w:val="00F04E44"/>
    <w:rsid w:val="00F05E56"/>
    <w:rsid w:val="00F21786"/>
    <w:rsid w:val="00F25D06"/>
    <w:rsid w:val="00F31CFF"/>
    <w:rsid w:val="00F3742B"/>
    <w:rsid w:val="00F40229"/>
    <w:rsid w:val="00F41FDB"/>
    <w:rsid w:val="00F50597"/>
    <w:rsid w:val="00F56D63"/>
    <w:rsid w:val="00F572DD"/>
    <w:rsid w:val="00F609A9"/>
    <w:rsid w:val="00F80C99"/>
    <w:rsid w:val="00F867EC"/>
    <w:rsid w:val="00F91B2B"/>
    <w:rsid w:val="00FC03CD"/>
    <w:rsid w:val="00FC0646"/>
    <w:rsid w:val="00FC68B7"/>
    <w:rsid w:val="00FD67B5"/>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8"/>
    <o:shapelayout v:ext="edit">
      <o:idmap v:ext="edit" data="1"/>
    </o:shapelayout>
  </w:shapeDefaults>
  <w:decimalSymbol w:val="."/>
  <w:listSeparator w:val=","/>
  <w14:docId w14:val="163B10AE"/>
  <w15:docId w15:val="{81AF2667-9FCD-4BC8-A17D-5510C274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HChGChar">
    <w:name w:val="_ H _Ch_G Char"/>
    <w:link w:val="HChG"/>
    <w:rsid w:val="00D43F18"/>
    <w:rPr>
      <w:b/>
      <w:sz w:val="28"/>
      <w:lang w:val="en-GB"/>
    </w:rPr>
  </w:style>
  <w:style w:type="paragraph" w:customStyle="1" w:styleId="para">
    <w:name w:val="para"/>
    <w:basedOn w:val="Normal"/>
    <w:rsid w:val="00D43F18"/>
    <w:pPr>
      <w:spacing w:after="120"/>
      <w:ind w:left="2268" w:right="1134" w:hanging="1134"/>
      <w:jc w:val="both"/>
    </w:pPr>
    <w:rPr>
      <w:lang w:val="fr-CH" w:eastAsia="en-US"/>
    </w:rPr>
  </w:style>
  <w:style w:type="paragraph" w:customStyle="1" w:styleId="a">
    <w:name w:val="(a)"/>
    <w:basedOn w:val="para"/>
    <w:rsid w:val="00D43F18"/>
    <w:pPr>
      <w:ind w:left="2835" w:hanging="567"/>
    </w:pPr>
  </w:style>
  <w:style w:type="character" w:customStyle="1" w:styleId="SingleTxtGChar">
    <w:name w:val="_ Single Txt_G Char"/>
    <w:link w:val="SingleTxtG"/>
    <w:qFormat/>
    <w:rsid w:val="00CE7909"/>
    <w:rPr>
      <w:lang w:val="en-GB"/>
    </w:rPr>
  </w:style>
  <w:style w:type="paragraph" w:styleId="ListParagraph">
    <w:name w:val="List Paragraph"/>
    <w:basedOn w:val="Normal"/>
    <w:uiPriority w:val="34"/>
    <w:qFormat/>
    <w:rsid w:val="00CE7909"/>
    <w:pPr>
      <w:ind w:left="720"/>
      <w:contextualSpacing/>
    </w:pPr>
    <w:rPr>
      <w:lang w:eastAsia="en-US"/>
    </w:rPr>
  </w:style>
  <w:style w:type="character" w:styleId="CommentReference">
    <w:name w:val="annotation reference"/>
    <w:basedOn w:val="DefaultParagraphFont"/>
    <w:semiHidden/>
    <w:unhideWhenUsed/>
    <w:rsid w:val="00D412FD"/>
    <w:rPr>
      <w:sz w:val="16"/>
      <w:szCs w:val="16"/>
    </w:rPr>
  </w:style>
  <w:style w:type="paragraph" w:styleId="CommentText">
    <w:name w:val="annotation text"/>
    <w:basedOn w:val="Normal"/>
    <w:link w:val="CommentTextChar"/>
    <w:semiHidden/>
    <w:unhideWhenUsed/>
    <w:rsid w:val="00D412FD"/>
    <w:pPr>
      <w:spacing w:line="240" w:lineRule="auto"/>
    </w:pPr>
  </w:style>
  <w:style w:type="character" w:customStyle="1" w:styleId="CommentTextChar">
    <w:name w:val="Comment Text Char"/>
    <w:basedOn w:val="DefaultParagraphFont"/>
    <w:link w:val="CommentText"/>
    <w:semiHidden/>
    <w:rsid w:val="00D412FD"/>
    <w:rPr>
      <w:lang w:val="en-GB"/>
    </w:rPr>
  </w:style>
  <w:style w:type="paragraph" w:styleId="CommentSubject">
    <w:name w:val="annotation subject"/>
    <w:basedOn w:val="CommentText"/>
    <w:next w:val="CommentText"/>
    <w:link w:val="CommentSubjectChar"/>
    <w:semiHidden/>
    <w:unhideWhenUsed/>
    <w:rsid w:val="00D412FD"/>
    <w:rPr>
      <w:b/>
      <w:bCs/>
    </w:rPr>
  </w:style>
  <w:style w:type="character" w:customStyle="1" w:styleId="CommentSubjectChar">
    <w:name w:val="Comment Subject Char"/>
    <w:basedOn w:val="CommentTextChar"/>
    <w:link w:val="CommentSubject"/>
    <w:semiHidden/>
    <w:rsid w:val="00D412FD"/>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B3CEC-658A-401D-A555-5570CA29E2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757E30-665E-43DA-8493-8348C2A54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AC44B5-D954-4013-950C-DC3BF2350E90}">
  <ds:schemaRefs>
    <ds:schemaRef ds:uri="http://schemas.microsoft.com/sharepoint/v3/contenttype/forms"/>
  </ds:schemaRefs>
</ds:datastoreItem>
</file>

<file path=customXml/itemProps4.xml><?xml version="1.0" encoding="utf-8"?>
<ds:datastoreItem xmlns:ds="http://schemas.openxmlformats.org/officeDocument/2006/customXml" ds:itemID="{94E74648-AD2E-4A13-8F38-2D1AD0DB1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2821</Characters>
  <Application>Microsoft Office Word</Application>
  <DocSecurity>0</DocSecurity>
  <Lines>96</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ECE/TRANS/WP.29/GRSP/2021/3</vt:lpstr>
      <vt:lpstr/>
    </vt:vector>
  </TitlesOfParts>
  <Company>CSD</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ECE/TRANS/WP.29/GRSP/2021/9</dc:title>
  <dc:subject>2102885</dc:subject>
  <dc:creator>Edoardo Gianotti</dc:creator>
  <cp:keywords/>
  <dc:description/>
  <cp:lastModifiedBy>Don Canete Martin</cp:lastModifiedBy>
  <cp:revision>2</cp:revision>
  <cp:lastPrinted>2021-03-02T14:43:00Z</cp:lastPrinted>
  <dcterms:created xsi:type="dcterms:W3CDTF">2021-03-02T16:02:00Z</dcterms:created>
  <dcterms:modified xsi:type="dcterms:W3CDTF">2021-03-02T16:02:00Z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