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201588C" w:rsidR="009E6CB7" w:rsidRPr="00D47EEA" w:rsidRDefault="00772D17" w:rsidP="00772D17">
            <w:pPr>
              <w:jc w:val="right"/>
            </w:pPr>
            <w:r w:rsidRPr="00772D17">
              <w:rPr>
                <w:sz w:val="40"/>
              </w:rPr>
              <w:t>ECE</w:t>
            </w:r>
            <w:r>
              <w:t>/TRANS/WP.29/202</w:t>
            </w:r>
            <w:r w:rsidR="00AE5D86">
              <w:t>1</w:t>
            </w:r>
            <w:r>
              <w:t>/</w:t>
            </w:r>
            <w:r w:rsidR="0009690F">
              <w:t>5</w:t>
            </w:r>
            <w:r w:rsidR="0068549A">
              <w:t>4</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8A60C7B" w:rsidR="00772D17" w:rsidRDefault="00E84F33"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77466F2D" w:rsidR="00772D17" w:rsidRDefault="00772D17" w:rsidP="00772D17">
      <w:r w:rsidRPr="00020461">
        <w:t xml:space="preserve">Item </w:t>
      </w:r>
      <w:r w:rsidR="005864FB">
        <w:t>1</w:t>
      </w:r>
      <w:r w:rsidRPr="00020461">
        <w:t>4.</w:t>
      </w:r>
      <w:r w:rsidR="005864FB">
        <w:t>2</w:t>
      </w:r>
      <w:r w:rsidRPr="00020461">
        <w:t>.</w:t>
      </w:r>
      <w:r w:rsidR="00AA330A" w:rsidRPr="00020461">
        <w:t>1</w:t>
      </w:r>
      <w:r w:rsidRPr="00020461">
        <w:t xml:space="preserve"> of the provisional agenda</w:t>
      </w:r>
    </w:p>
    <w:p w14:paraId="20082425" w14:textId="59AE54E5" w:rsidR="001C6663" w:rsidRPr="00FB1193" w:rsidRDefault="00772D17" w:rsidP="00FB1193">
      <w:r>
        <w:rPr>
          <w:b/>
        </w:rPr>
        <w:t>19</w:t>
      </w:r>
      <w:r w:rsidR="005864FB">
        <w:rPr>
          <w:b/>
        </w:rPr>
        <w:t>9</w:t>
      </w:r>
      <w:r>
        <w:rPr>
          <w:b/>
        </w:rPr>
        <w:t>8 Agreement:</w:t>
      </w:r>
      <w:r>
        <w:rPr>
          <w:b/>
        </w:rPr>
        <w:br/>
      </w:r>
      <w:r w:rsidR="00FB1193" w:rsidRPr="00B5194D">
        <w:rPr>
          <w:b/>
        </w:rPr>
        <w:t>Consideration and vote by AC.3 of draft UN GTRs</w:t>
      </w:r>
      <w:r w:rsidR="00FB1193">
        <w:rPr>
          <w:b/>
        </w:rPr>
        <w:br/>
      </w:r>
      <w:r w:rsidR="00FB1193" w:rsidRPr="00B5194D">
        <w:rPr>
          <w:b/>
        </w:rPr>
        <w:t>and/or draft amendments to established UN GTRs</w:t>
      </w:r>
      <w:r w:rsidR="00FB1193">
        <w:rPr>
          <w:b/>
        </w:rPr>
        <w:t>, if any</w:t>
      </w:r>
    </w:p>
    <w:p w14:paraId="735F57C9" w14:textId="338492AB" w:rsidR="00772D17" w:rsidRDefault="00772D17" w:rsidP="00772D17">
      <w:pPr>
        <w:pStyle w:val="HChG"/>
      </w:pPr>
      <w:r>
        <w:tab/>
      </w:r>
      <w:r>
        <w:tab/>
      </w:r>
      <w:r w:rsidR="00E31A75">
        <w:t xml:space="preserve">Final progress report </w:t>
      </w:r>
      <w:r w:rsidR="00BB35F9">
        <w:t xml:space="preserve">on the development of </w:t>
      </w:r>
      <w:r w:rsidR="006C250B">
        <w:t xml:space="preserve">Amendment </w:t>
      </w:r>
      <w:r w:rsidR="00D71085" w:rsidRPr="00D71085">
        <w:t>3 to UN</w:t>
      </w:r>
      <w:r w:rsidR="006C250B">
        <w:t xml:space="preserve"> Global Technical</w:t>
      </w:r>
      <w:r w:rsidR="00D71085" w:rsidRPr="00D71085">
        <w:t xml:space="preserve"> Regulatio</w:t>
      </w:r>
      <w:r w:rsidR="006C250B">
        <w:t>n</w:t>
      </w:r>
      <w:r w:rsidR="00D71085" w:rsidRPr="00D71085">
        <w:t xml:space="preserve"> No. </w:t>
      </w:r>
      <w:r w:rsidR="006C250B">
        <w:t>9</w:t>
      </w:r>
      <w:r w:rsidR="00D71085" w:rsidRPr="00D71085">
        <w:t xml:space="preserve"> (</w:t>
      </w:r>
      <w:r w:rsidR="00B949F2">
        <w:t>Pedestrian Protection</w:t>
      </w:r>
      <w:r w:rsidR="00D71085" w:rsidRPr="00D71085">
        <w:t>)</w:t>
      </w:r>
    </w:p>
    <w:p w14:paraId="2BB7AAA3" w14:textId="4B0EC02F"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r w:rsidR="00CD1CEC">
        <w:rPr>
          <w:szCs w:val="24"/>
        </w:rPr>
        <w:t>Passive Safety</w:t>
      </w:r>
      <w:r w:rsidR="00DB276D" w:rsidRPr="00E84F33">
        <w:rPr>
          <w:rStyle w:val="FootnoteReference"/>
          <w:sz w:val="20"/>
          <w:vertAlign w:val="baseline"/>
        </w:rPr>
        <w:footnoteReference w:customMarkFollows="1" w:id="2"/>
        <w:t>*</w:t>
      </w:r>
      <w:r w:rsidR="00E84F33">
        <w:rPr>
          <w:sz w:val="20"/>
        </w:rPr>
        <w:t xml:space="preserve">, </w:t>
      </w:r>
      <w:r w:rsidR="00E84F33" w:rsidRPr="00E84F33">
        <w:rPr>
          <w:rStyle w:val="FootnoteReference"/>
          <w:sz w:val="20"/>
          <w:vertAlign w:val="baseline"/>
        </w:rPr>
        <w:footnoteReference w:customMarkFollows="1" w:id="3"/>
        <w:t>**</w:t>
      </w:r>
    </w:p>
    <w:p w14:paraId="5097E30E" w14:textId="6742658D" w:rsidR="000600F0" w:rsidRDefault="00772D17" w:rsidP="00504D1E">
      <w:pPr>
        <w:pStyle w:val="SingleTxtG"/>
        <w:ind w:firstLine="567"/>
        <w:rPr>
          <w:lang w:val="en-US"/>
        </w:rPr>
      </w:pPr>
      <w:r w:rsidRPr="008405E4">
        <w:rPr>
          <w:lang w:val="en-US"/>
        </w:rPr>
        <w:t>The text reproduced below was adopted by the Working Party on</w:t>
      </w:r>
      <w:r w:rsidR="00B949F2">
        <w:rPr>
          <w:lang w:val="en-US"/>
        </w:rPr>
        <w:t xml:space="preserve"> Passive Safety</w:t>
      </w:r>
      <w:r w:rsidR="00022931" w:rsidRPr="00022931">
        <w:rPr>
          <w:lang w:val="en-US"/>
        </w:rPr>
        <w:t xml:space="preserve"> (GR</w:t>
      </w:r>
      <w:r w:rsidR="00B949F2">
        <w:rPr>
          <w:lang w:val="en-US"/>
        </w:rPr>
        <w:t>SP</w:t>
      </w:r>
      <w:r w:rsidR="00022931" w:rsidRPr="00022931">
        <w:rPr>
          <w:lang w:val="en-US"/>
        </w:rPr>
        <w:t>) at its s</w:t>
      </w:r>
      <w:r w:rsidR="009A1A86">
        <w:rPr>
          <w:lang w:val="en-US"/>
        </w:rPr>
        <w:t>ixty</w:t>
      </w:r>
      <w:r w:rsidR="003C59AC">
        <w:rPr>
          <w:lang w:val="en-US"/>
        </w:rPr>
        <w:t>-se</w:t>
      </w:r>
      <w:r w:rsidR="009A1A86">
        <w:rPr>
          <w:lang w:val="en-US"/>
        </w:rPr>
        <w:t>venth</w:t>
      </w:r>
      <w:r w:rsidR="003C59AC">
        <w:rPr>
          <w:lang w:val="en-US"/>
        </w:rPr>
        <w:t xml:space="preserve"> </w:t>
      </w:r>
      <w:r w:rsidR="00022931" w:rsidRPr="00022931">
        <w:rPr>
          <w:lang w:val="en-US"/>
        </w:rPr>
        <w:t xml:space="preserve">session </w:t>
      </w:r>
      <w:r w:rsidR="00EF0C96">
        <w:rPr>
          <w:lang w:val="en-US"/>
        </w:rPr>
        <w:t>(</w:t>
      </w:r>
      <w:r w:rsidR="00EF0C96" w:rsidRPr="00EF0C96">
        <w:rPr>
          <w:lang w:val="en-US"/>
        </w:rPr>
        <w:t>ECE/TRANS/WP.29/GR</w:t>
      </w:r>
      <w:r w:rsidR="009A1A86">
        <w:rPr>
          <w:lang w:val="en-US"/>
        </w:rPr>
        <w:t>SP</w:t>
      </w:r>
      <w:r w:rsidR="00EF0C96" w:rsidRPr="00EF0C96">
        <w:rPr>
          <w:lang w:val="en-US"/>
        </w:rPr>
        <w:t>/</w:t>
      </w:r>
      <w:r w:rsidR="009A1A86">
        <w:rPr>
          <w:lang w:val="en-US"/>
        </w:rPr>
        <w:t>67</w:t>
      </w:r>
      <w:r w:rsidR="00EF0C96" w:rsidRPr="00EF0C96">
        <w:rPr>
          <w:lang w:val="en-US"/>
        </w:rPr>
        <w:t xml:space="preserve">, para. </w:t>
      </w:r>
      <w:r w:rsidR="009A1A86">
        <w:rPr>
          <w:lang w:val="en-US"/>
        </w:rPr>
        <w:t>5</w:t>
      </w:r>
      <w:r w:rsidR="003C59AC">
        <w:rPr>
          <w:lang w:val="en-US"/>
        </w:rPr>
        <w:t xml:space="preserve">). It is </w:t>
      </w:r>
      <w:r w:rsidR="00EF0C96" w:rsidRPr="00EF0C96">
        <w:rPr>
          <w:lang w:val="en-US"/>
        </w:rPr>
        <w:t>based on ECE/TRANS/WP.29/G</w:t>
      </w:r>
      <w:r w:rsidR="00ED6F91">
        <w:rPr>
          <w:lang w:val="en-US"/>
        </w:rPr>
        <w:t>RSP</w:t>
      </w:r>
      <w:r w:rsidR="00EF0C96" w:rsidRPr="00EF0C96">
        <w:rPr>
          <w:lang w:val="en-US"/>
        </w:rPr>
        <w:t>/20</w:t>
      </w:r>
      <w:r w:rsidR="00ED6F91">
        <w:rPr>
          <w:lang w:val="en-US"/>
        </w:rPr>
        <w:t>1</w:t>
      </w:r>
      <w:r w:rsidR="00BB35F9">
        <w:rPr>
          <w:lang w:val="en-US"/>
        </w:rPr>
        <w:t>2</w:t>
      </w:r>
      <w:r w:rsidR="00EF0C96" w:rsidRPr="00EF0C96">
        <w:rPr>
          <w:lang w:val="en-US"/>
        </w:rPr>
        <w:t>/</w:t>
      </w:r>
      <w:r w:rsidR="000F2ED9">
        <w:rPr>
          <w:lang w:val="en-US"/>
        </w:rPr>
        <w:t>2</w:t>
      </w:r>
      <w:r w:rsidR="00ED6F91">
        <w:rPr>
          <w:lang w:val="en-US"/>
        </w:rPr>
        <w:t>, as amended by Annex II to the report</w:t>
      </w:r>
      <w:r w:rsidR="00022931" w:rsidRPr="00022931">
        <w:rPr>
          <w:lang w:val="en-US"/>
        </w:rPr>
        <w:t xml:space="preserve">. </w:t>
      </w:r>
      <w:r w:rsidR="000600F0" w:rsidRPr="00C82D01">
        <w:rPr>
          <w:lang w:val="en-US"/>
        </w:rPr>
        <w:t>It is subm</w:t>
      </w:r>
      <w:bookmarkStart w:id="0" w:name="_GoBack"/>
      <w:bookmarkEnd w:id="0"/>
      <w:r w:rsidR="000600F0" w:rsidRPr="00C82D01">
        <w:rPr>
          <w:lang w:val="en-US"/>
        </w:rPr>
        <w:t xml:space="preserve">itted to the World Forum for Harmonization of Vehicle Regulations (WP.29) and to the Executive Committee (AC.3) of the 1998 Agreement for consideration at </w:t>
      </w:r>
      <w:r w:rsidR="000600F0">
        <w:rPr>
          <w:lang w:val="en-US"/>
        </w:rPr>
        <w:t>its</w:t>
      </w:r>
      <w:r w:rsidR="000600F0" w:rsidRPr="004033E0">
        <w:rPr>
          <w:lang w:val="en-US"/>
        </w:rPr>
        <w:t xml:space="preserve"> </w:t>
      </w:r>
      <w:r w:rsidR="0018025B">
        <w:rPr>
          <w:lang w:val="en-US"/>
        </w:rPr>
        <w:t>March</w:t>
      </w:r>
      <w:r w:rsidR="000600F0" w:rsidRPr="004033E0">
        <w:rPr>
          <w:lang w:val="en-US"/>
        </w:rPr>
        <w:t xml:space="preserve"> 202</w:t>
      </w:r>
      <w:r w:rsidR="0018025B">
        <w:rPr>
          <w:lang w:val="en-US"/>
        </w:rPr>
        <w:t>1</w:t>
      </w:r>
      <w:r w:rsidR="000600F0" w:rsidRPr="004033E0">
        <w:rPr>
          <w:lang w:val="en-US"/>
        </w:rPr>
        <w:t xml:space="preserve"> sessions</w:t>
      </w:r>
      <w:r w:rsidR="000600F0">
        <w:rPr>
          <w:lang w:val="en-US"/>
        </w:rPr>
        <w:t>.</w:t>
      </w:r>
    </w:p>
    <w:p w14:paraId="2380A66E" w14:textId="77777777" w:rsidR="00DB276D" w:rsidRDefault="00DB276D" w:rsidP="00772D17">
      <w:pPr>
        <w:pStyle w:val="SingleTxtG"/>
        <w:ind w:firstLine="567"/>
      </w:pPr>
      <w:r>
        <w:br w:type="page"/>
      </w:r>
    </w:p>
    <w:p w14:paraId="08FD83F9" w14:textId="35203B65" w:rsidR="008824A1" w:rsidRDefault="008824A1" w:rsidP="00311902">
      <w:pPr>
        <w:pStyle w:val="HChG"/>
        <w:ind w:right="567"/>
      </w:pPr>
      <w:r>
        <w:lastRenderedPageBreak/>
        <w:tab/>
      </w:r>
      <w:r>
        <w:tab/>
      </w:r>
      <w:r w:rsidR="0068549A">
        <w:t xml:space="preserve">Final progress report on the development of Amendment </w:t>
      </w:r>
      <w:r w:rsidR="0068549A" w:rsidRPr="00D71085">
        <w:t>3 to UN</w:t>
      </w:r>
      <w:r w:rsidR="0068549A">
        <w:t xml:space="preserve"> Global Technical</w:t>
      </w:r>
      <w:r w:rsidR="0068549A" w:rsidRPr="00D71085">
        <w:t xml:space="preserve"> Regulatio</w:t>
      </w:r>
      <w:r w:rsidR="0068549A">
        <w:t>n</w:t>
      </w:r>
      <w:r w:rsidR="0068549A" w:rsidRPr="00D71085">
        <w:t xml:space="preserve"> No. </w:t>
      </w:r>
      <w:r w:rsidR="0068549A">
        <w:t>9</w:t>
      </w:r>
      <w:r w:rsidR="0068549A" w:rsidRPr="00D71085">
        <w:t xml:space="preserve"> (</w:t>
      </w:r>
      <w:r w:rsidR="0068549A">
        <w:t>Pedestrian Protection</w:t>
      </w:r>
      <w:r w:rsidR="0068549A" w:rsidRPr="00D71085">
        <w:t>)</w:t>
      </w:r>
    </w:p>
    <w:p w14:paraId="4AA506FA" w14:textId="646EB4E4" w:rsidR="0043697A" w:rsidRDefault="0043697A" w:rsidP="009E32A7">
      <w:pPr>
        <w:pStyle w:val="HChG"/>
      </w:pPr>
      <w:r>
        <w:tab/>
      </w:r>
      <w:r w:rsidR="009E32A7">
        <w:t>I</w:t>
      </w:r>
      <w:r w:rsidRPr="00AA0045">
        <w:t>.</w:t>
      </w:r>
      <w:r w:rsidRPr="00AA0045">
        <w:tab/>
      </w:r>
      <w:r>
        <w:t>Introduction</w:t>
      </w:r>
    </w:p>
    <w:p w14:paraId="38098734" w14:textId="77777777" w:rsidR="0043697A" w:rsidRDefault="0043697A" w:rsidP="00504D1E">
      <w:pPr>
        <w:pStyle w:val="SingleTxtG"/>
      </w:pPr>
      <w:r>
        <w:t>1</w:t>
      </w:r>
      <w:r w:rsidRPr="00AA0045">
        <w:t>.</w:t>
      </w:r>
      <w:r w:rsidRPr="00AA0045">
        <w:tab/>
      </w:r>
      <w:r>
        <w:t xml:space="preserve">The purpose of UN Global Technical Regulation </w:t>
      </w:r>
      <w:r w:rsidRPr="00AA0045">
        <w:t>No. </w:t>
      </w:r>
      <w:r>
        <w:t>9</w:t>
      </w:r>
      <w:r w:rsidRPr="00AA0045">
        <w:t xml:space="preserve"> </w:t>
      </w:r>
      <w:r>
        <w:t xml:space="preserve">is to improve the front structures of vehicles which have been identified as causing injury during a collision </w:t>
      </w:r>
      <w:r w:rsidRPr="00264A2A">
        <w:t>with a pedestrian or other vulnerable road user.</w:t>
      </w:r>
    </w:p>
    <w:p w14:paraId="60949C52" w14:textId="24AAC193" w:rsidR="0043697A" w:rsidRPr="00AA0045" w:rsidRDefault="0043697A" w:rsidP="00504D1E">
      <w:pPr>
        <w:pStyle w:val="SingleTxtG"/>
      </w:pPr>
      <w:r>
        <w:t>2</w:t>
      </w:r>
      <w:r w:rsidRPr="00AA0045">
        <w:t>.</w:t>
      </w:r>
      <w:r w:rsidRPr="00AA0045">
        <w:tab/>
        <w:t xml:space="preserve">The objective of this proposal is to amend </w:t>
      </w:r>
      <w:r>
        <w:t>UN G</w:t>
      </w:r>
      <w:r w:rsidRPr="00AA0045">
        <w:t xml:space="preserve">lobal </w:t>
      </w:r>
      <w:r>
        <w:t>T</w:t>
      </w:r>
      <w:r w:rsidRPr="00AA0045">
        <w:t xml:space="preserve">echnical </w:t>
      </w:r>
      <w:r>
        <w:t>R</w:t>
      </w:r>
      <w:r w:rsidRPr="00AA0045">
        <w:t>egulation (</w:t>
      </w:r>
      <w:r w:rsidR="00DC631D">
        <w:t xml:space="preserve">UN </w:t>
      </w:r>
      <w:r>
        <w:t>GTR</w:t>
      </w:r>
      <w:r w:rsidRPr="00AA0045">
        <w:t>) No. </w:t>
      </w:r>
      <w:r>
        <w:t>9</w:t>
      </w:r>
      <w:r w:rsidRPr="00AA0045">
        <w:t xml:space="preserve"> regarding </w:t>
      </w:r>
      <w:r>
        <w:t xml:space="preserve">pedestrian </w:t>
      </w:r>
      <w:r w:rsidRPr="00AA0045">
        <w:t xml:space="preserve">safety </w:t>
      </w:r>
      <w:r>
        <w:t xml:space="preserve">of </w:t>
      </w:r>
      <w:r w:rsidRPr="00AA0045">
        <w:t>motor vehicles</w:t>
      </w:r>
      <w:r w:rsidRPr="006C5681">
        <w:t xml:space="preserve"> </w:t>
      </w:r>
      <w:r>
        <w:t>to improve the safety for pedestrians and other vulnerable road users</w:t>
      </w:r>
      <w:r w:rsidRPr="00AA0045">
        <w:t>.</w:t>
      </w:r>
      <w:r>
        <w:t xml:space="preserve"> It</w:t>
      </w:r>
      <w:r w:rsidRPr="006A7C67">
        <w:t xml:space="preserve"> is</w:t>
      </w:r>
      <w:r>
        <w:t xml:space="preserve"> intended</w:t>
      </w:r>
      <w:r w:rsidRPr="006A7C67">
        <w:t xml:space="preserve"> to clarify the </w:t>
      </w:r>
      <w:r>
        <w:t>current text of UN GTR No. 9 on pedestrian safety</w:t>
      </w:r>
      <w:r w:rsidRPr="006A7C67">
        <w:t xml:space="preserve"> to pre</w:t>
      </w:r>
      <w:r>
        <w:t>vent</w:t>
      </w:r>
      <w:r w:rsidRPr="006A7C67">
        <w:t xml:space="preserve"> </w:t>
      </w:r>
      <w:r>
        <w:t>misinterpretations and t</w:t>
      </w:r>
      <w:r w:rsidRPr="006A7C67">
        <w:t>o</w:t>
      </w:r>
      <w:r>
        <w:t xml:space="preserve"> introduce editorial corrections.</w:t>
      </w:r>
    </w:p>
    <w:p w14:paraId="403DEC1A" w14:textId="719228A4" w:rsidR="0043697A" w:rsidRDefault="0043697A" w:rsidP="009E32A7">
      <w:pPr>
        <w:pStyle w:val="HChG"/>
      </w:pPr>
      <w:r>
        <w:tab/>
      </w:r>
      <w:r w:rsidR="009E32A7">
        <w:t>II</w:t>
      </w:r>
      <w:r w:rsidRPr="00AA0045">
        <w:t>.</w:t>
      </w:r>
      <w:r w:rsidRPr="00AA0045">
        <w:tab/>
      </w:r>
      <w:r>
        <w:t>Justification of the changes</w:t>
      </w:r>
    </w:p>
    <w:p w14:paraId="22977405" w14:textId="047AA72E" w:rsidR="0043697A" w:rsidRPr="006A7C67" w:rsidRDefault="0043697A" w:rsidP="00504D1E">
      <w:pPr>
        <w:pStyle w:val="SingleTxtG"/>
      </w:pPr>
      <w:r w:rsidRPr="006A7C67">
        <w:t>3.</w:t>
      </w:r>
      <w:r w:rsidRPr="006A7C67">
        <w:tab/>
      </w:r>
      <w:r>
        <w:t>Based on comments by the expert from OICA found in</w:t>
      </w:r>
      <w:r w:rsidRPr="006A7C67">
        <w:t xml:space="preserve"> </w:t>
      </w:r>
      <w:r>
        <w:t xml:space="preserve">informal document </w:t>
      </w:r>
      <w:r w:rsidRPr="006A7C67">
        <w:t>GRSP-48-27</w:t>
      </w:r>
      <w:r>
        <w:t>, GRSP recognised that interpretation</w:t>
      </w:r>
      <w:r w:rsidRPr="006A7C67">
        <w:t xml:space="preserve"> </w:t>
      </w:r>
      <w:r>
        <w:t xml:space="preserve">difficulties can arise </w:t>
      </w:r>
      <w:r w:rsidRPr="006A7C67">
        <w:t xml:space="preserve">with the current wording used in </w:t>
      </w:r>
      <w:r>
        <w:t>UN GTR No. 9</w:t>
      </w:r>
      <w:r w:rsidRPr="001A5DC0">
        <w:t xml:space="preserve">, as well as the, at the time, draft UN Regulation </w:t>
      </w:r>
      <w:r w:rsidR="004A6999">
        <w:t xml:space="preserve">No. </w:t>
      </w:r>
      <w:r w:rsidRPr="001A5DC0">
        <w:t>127 (1958 Agreement) on pedestrian safety</w:t>
      </w:r>
      <w:r>
        <w:t xml:space="preserve"> concerning</w:t>
      </w:r>
      <w:r w:rsidRPr="006A7C67">
        <w:t xml:space="preserve"> the use of the first contact point as the main reference point for </w:t>
      </w:r>
      <w:r>
        <w:t>the head form test procedure. Corrigendum No. 2 to UN GTR N</w:t>
      </w:r>
      <w:r w:rsidRPr="006A7C67">
        <w:t xml:space="preserve">o. 9 made this </w:t>
      </w:r>
      <w:r>
        <w:t xml:space="preserve">even </w:t>
      </w:r>
      <w:r w:rsidRPr="006A7C67">
        <w:t xml:space="preserve">more obvious for the future application of </w:t>
      </w:r>
      <w:r w:rsidR="00DC631D">
        <w:t xml:space="preserve">UN </w:t>
      </w:r>
      <w:r>
        <w:t>GTR No. 9 by Contracting Parties to the 1998 Agreement as well as the</w:t>
      </w:r>
      <w:r w:rsidRPr="006A7C67">
        <w:t xml:space="preserve"> </w:t>
      </w:r>
      <w:r>
        <w:t>UN Regulation</w:t>
      </w:r>
      <w:r w:rsidRPr="006A7C67">
        <w:t xml:space="preserve"> to the </w:t>
      </w:r>
      <w:r>
        <w:t>Contracting Parties of 1958 Agreement</w:t>
      </w:r>
      <w:r w:rsidRPr="006A7C67">
        <w:t>.</w:t>
      </w:r>
    </w:p>
    <w:p w14:paraId="274A9DBD" w14:textId="45D0EC2F" w:rsidR="0043697A" w:rsidRPr="006A7C67" w:rsidRDefault="0043697A" w:rsidP="00504D1E">
      <w:pPr>
        <w:pStyle w:val="SingleTxtG"/>
      </w:pPr>
      <w:r>
        <w:t>4</w:t>
      </w:r>
      <w:r w:rsidRPr="006A7C67">
        <w:t>.</w:t>
      </w:r>
      <w:r w:rsidRPr="006A7C67">
        <w:tab/>
      </w:r>
      <w:r>
        <w:t>E</w:t>
      </w:r>
      <w:r w:rsidRPr="006A7C67">
        <w:t>xperience</w:t>
      </w:r>
      <w:r>
        <w:t xml:space="preserve"> </w:t>
      </w:r>
      <w:r w:rsidRPr="006A7C67">
        <w:t xml:space="preserve">in </w:t>
      </w:r>
      <w:smartTag w:uri="urn:schemas-microsoft-com:office:smarttags" w:element="country-region">
        <w:r w:rsidRPr="006A7C67">
          <w:t>Japan</w:t>
        </w:r>
      </w:smartTag>
      <w:r w:rsidRPr="006A7C67">
        <w:t xml:space="preserve"> and </w:t>
      </w:r>
      <w:smartTag w:uri="urn:schemas-microsoft-com:office:smarttags" w:element="place">
        <w:r w:rsidRPr="006A7C67">
          <w:t>Europe</w:t>
        </w:r>
      </w:smartTag>
      <w:r w:rsidRPr="006A7C67">
        <w:t xml:space="preserve"> </w:t>
      </w:r>
      <w:r>
        <w:t xml:space="preserve">show that </w:t>
      </w:r>
      <w:r w:rsidRPr="006A7C67">
        <w:t>the first contact point may not be appropriate as the main reference point for testing. It is true that a first contact will always be achieved. However, there are points on the bonnet surface that may be identified as being of interest (due to underlying structures, hard points</w:t>
      </w:r>
      <w:r>
        <w:t>,</w:t>
      </w:r>
      <w:r w:rsidRPr="006A7C67">
        <w:t xml:space="preserve"> etc.) but where a direct first contact is impossible due to the bonnet design. Assuming that the main impact energy is transferred in the centre-plane of the impactor that also contains the centre of gravity of the impactor</w:t>
      </w:r>
      <w:r>
        <w:t>,</w:t>
      </w:r>
      <w:r w:rsidRPr="006A7C67">
        <w:t xml:space="preserve"> it </w:t>
      </w:r>
      <w:r>
        <w:t xml:space="preserve">would with the proposed changes, </w:t>
      </w:r>
      <w:r w:rsidRPr="006A7C67">
        <w:t>nevertheless</w:t>
      </w:r>
      <w:r>
        <w:t>,</w:t>
      </w:r>
      <w:r w:rsidRPr="006A7C67">
        <w:t xml:space="preserve"> be possible to test such points, to achieve first contacts in the surrounding area and to allocate test results to such points.</w:t>
      </w:r>
      <w:r>
        <w:t xml:space="preserve"> GRSP considers </w:t>
      </w:r>
      <w:r w:rsidRPr="006A7C67">
        <w:t xml:space="preserve">that this </w:t>
      </w:r>
      <w:r>
        <w:t xml:space="preserve">proposed </w:t>
      </w:r>
      <w:r w:rsidRPr="006A7C67">
        <w:t xml:space="preserve">procedure is </w:t>
      </w:r>
      <w:proofErr w:type="gramStart"/>
      <w:r>
        <w:t xml:space="preserve">more </w:t>
      </w:r>
      <w:r w:rsidRPr="006A7C67">
        <w:t>clear</w:t>
      </w:r>
      <w:proofErr w:type="gramEnd"/>
      <w:r w:rsidRPr="006A7C67">
        <w:t xml:space="preserve"> since it can be used for every point within the borderlines of the test area on the bonnet surface, independent of whether a point can be contacted by the </w:t>
      </w:r>
      <w:proofErr w:type="spellStart"/>
      <w:r w:rsidRPr="006A7C67">
        <w:t>headform</w:t>
      </w:r>
      <w:proofErr w:type="spellEnd"/>
      <w:r w:rsidRPr="006A7C67">
        <w:t xml:space="preserve"> during a test or not. Furthermore, the </w:t>
      </w:r>
      <w:r>
        <w:t xml:space="preserve">proposed </w:t>
      </w:r>
      <w:r w:rsidRPr="006A7C67">
        <w:t xml:space="preserve">procedure allows a well-defined positioning of the impactor while a first contact may be achieved with different points of the impactor's surface. Finally, the </w:t>
      </w:r>
      <w:r>
        <w:t xml:space="preserve">proposed </w:t>
      </w:r>
      <w:r w:rsidRPr="006A7C67">
        <w:t xml:space="preserve">procedure will guarantee </w:t>
      </w:r>
      <w:r>
        <w:t>that vehicles of the same width</w:t>
      </w:r>
      <w:r w:rsidRPr="006A7C67">
        <w:t xml:space="preserve"> have an identical width of the test area.</w:t>
      </w:r>
    </w:p>
    <w:p w14:paraId="74921ECB" w14:textId="257F9C3D" w:rsidR="0043697A" w:rsidRPr="006A7C67" w:rsidRDefault="0043697A" w:rsidP="00504D1E">
      <w:pPr>
        <w:pStyle w:val="SingleTxtG"/>
      </w:pPr>
      <w:r>
        <w:t>5</w:t>
      </w:r>
      <w:r w:rsidRPr="006A7C67">
        <w:t>.</w:t>
      </w:r>
      <w:r w:rsidRPr="006A7C67">
        <w:tab/>
      </w:r>
      <w:r>
        <w:t>This proposal</w:t>
      </w:r>
      <w:r w:rsidRPr="006A7C67">
        <w:t xml:space="preserve"> contains the necessary changes to the </w:t>
      </w:r>
      <w:r>
        <w:t xml:space="preserve">texts of </w:t>
      </w:r>
      <w:r w:rsidRPr="000F2304">
        <w:t>UN GTR No.</w:t>
      </w:r>
      <w:r>
        <w:t xml:space="preserve"> </w:t>
      </w:r>
      <w:r w:rsidR="00C12575">
        <w:t xml:space="preserve">9 </w:t>
      </w:r>
      <w:r>
        <w:t>on</w:t>
      </w:r>
      <w:r w:rsidRPr="006A7C67">
        <w:t xml:space="preserve"> the </w:t>
      </w:r>
      <w:proofErr w:type="spellStart"/>
      <w:r w:rsidRPr="006A7C67">
        <w:t>headform</w:t>
      </w:r>
      <w:proofErr w:type="spellEnd"/>
      <w:r w:rsidRPr="006A7C67">
        <w:t xml:space="preserve"> test as a three-dimensional system of</w:t>
      </w:r>
      <w:r>
        <w:t xml:space="preserve"> </w:t>
      </w:r>
      <w:r w:rsidRPr="006A7C67">
        <w:t xml:space="preserve">a measuring point </w:t>
      </w:r>
      <w:r>
        <w:t>(</w:t>
      </w:r>
      <w:r w:rsidRPr="006A7C67">
        <w:t xml:space="preserve">also referred to </w:t>
      </w:r>
      <w:r>
        <w:t>as test point, being t</w:t>
      </w:r>
      <w:r w:rsidRPr="006A7C67">
        <w:t>he point being closest to an underlying structure, to hard points</w:t>
      </w:r>
      <w:r>
        <w:t>,</w:t>
      </w:r>
      <w:r w:rsidRPr="006A7C67">
        <w:t xml:space="preserve"> etc.</w:t>
      </w:r>
      <w:r>
        <w:t xml:space="preserve">), </w:t>
      </w:r>
      <w:r w:rsidRPr="006A7C67">
        <w:t xml:space="preserve">a target point </w:t>
      </w:r>
      <w:r>
        <w:t xml:space="preserve">(also referred to as the aiming point, being </w:t>
      </w:r>
      <w:r w:rsidRPr="006A7C67">
        <w:t>the point the propelling device targets to</w:t>
      </w:r>
      <w:r>
        <w:t xml:space="preserve">), and a </w:t>
      </w:r>
      <w:r w:rsidRPr="006A7C67">
        <w:t>first contact point (also referred to as impact point</w:t>
      </w:r>
      <w:r>
        <w:t xml:space="preserve">, being </w:t>
      </w:r>
      <w:r w:rsidRPr="006A7C67">
        <w:t>the point where the initial contact of the impactor with the bonnet surface occurs).</w:t>
      </w:r>
    </w:p>
    <w:p w14:paraId="24B4485C" w14:textId="77777777" w:rsidR="0043697A" w:rsidRPr="006A7C67" w:rsidRDefault="0043697A" w:rsidP="00504D1E">
      <w:pPr>
        <w:pStyle w:val="SingleTxtG"/>
      </w:pPr>
      <w:r>
        <w:t>6</w:t>
      </w:r>
      <w:r w:rsidRPr="006A7C67">
        <w:t>.</w:t>
      </w:r>
      <w:r w:rsidRPr="006A7C67">
        <w:tab/>
        <w:t xml:space="preserve">In this spatial geometry, the measuring point as well as the target point are always in the centre-plane of the impactor that is aligned to the vertical longitudinal plane of the vehicle. The test result achieved (i.e. a </w:t>
      </w:r>
      <w:r>
        <w:rPr>
          <w:rFonts w:hint="eastAsia"/>
          <w:lang w:val="en-US" w:eastAsia="ja-JP"/>
        </w:rPr>
        <w:t>Head Injury Criterion</w:t>
      </w:r>
      <w:r w:rsidRPr="006A7C67">
        <w:t xml:space="preserve"> </w:t>
      </w:r>
      <w:r>
        <w:t>(</w:t>
      </w:r>
      <w:r w:rsidRPr="006A7C67">
        <w:t>HIC</w:t>
      </w:r>
      <w:r>
        <w:t>)</w:t>
      </w:r>
      <w:r w:rsidRPr="006A7C67">
        <w:t xml:space="preserve"> value) shall always be allocated to the measuring point, independent of where the first contact occurred.</w:t>
      </w:r>
    </w:p>
    <w:p w14:paraId="3348B994" w14:textId="2A170844" w:rsidR="0043697A" w:rsidRPr="0069614E" w:rsidRDefault="0043697A" w:rsidP="00504D1E">
      <w:pPr>
        <w:pStyle w:val="SingleTxtG"/>
        <w:rPr>
          <w:rFonts w:eastAsia="MS Mincho"/>
          <w:color w:val="000000"/>
          <w:lang w:val="en-US" w:eastAsia="ja-JP"/>
        </w:rPr>
      </w:pPr>
      <w:r>
        <w:t>7</w:t>
      </w:r>
      <w:r w:rsidRPr="006A7C67">
        <w:t>.</w:t>
      </w:r>
      <w:r w:rsidRPr="006A7C67">
        <w:tab/>
      </w:r>
      <w:r>
        <w:rPr>
          <w:rFonts w:eastAsia="MS Mincho"/>
          <w:lang w:val="en-US" w:eastAsia="ja-JP"/>
        </w:rPr>
        <w:t xml:space="preserve">In addition to the three-dimensional definition of the point to be tested, GRSP was also made aware of a discrepancy in the </w:t>
      </w:r>
      <w:proofErr w:type="spellStart"/>
      <w:r>
        <w:rPr>
          <w:rFonts w:eastAsia="MS Mincho"/>
          <w:lang w:val="en-US" w:eastAsia="ja-JP"/>
        </w:rPr>
        <w:t>headform</w:t>
      </w:r>
      <w:proofErr w:type="spellEnd"/>
      <w:r>
        <w:rPr>
          <w:rFonts w:eastAsia="MS Mincho"/>
          <w:lang w:val="en-US" w:eastAsia="ja-JP"/>
        </w:rPr>
        <w:t xml:space="preserve"> test area definition. </w:t>
      </w:r>
      <w:r w:rsidRPr="0069614E">
        <w:rPr>
          <w:rFonts w:eastAsia="MS Mincho"/>
          <w:lang w:val="en-US" w:eastAsia="ja-JP"/>
        </w:rPr>
        <w:t xml:space="preserve">According to the current test procedure described in </w:t>
      </w:r>
      <w:r w:rsidR="005B07CC">
        <w:rPr>
          <w:rFonts w:eastAsia="MS Mincho"/>
          <w:lang w:val="en-US" w:eastAsia="ja-JP"/>
        </w:rPr>
        <w:t xml:space="preserve">UN </w:t>
      </w:r>
      <w:r>
        <w:rPr>
          <w:rFonts w:eastAsia="MS Mincho"/>
          <w:lang w:val="en-US" w:eastAsia="ja-JP"/>
        </w:rPr>
        <w:t>GTR</w:t>
      </w:r>
      <w:r w:rsidRPr="0069614E">
        <w:rPr>
          <w:rFonts w:eastAsia="MS Mincho"/>
          <w:lang w:val="en-US" w:eastAsia="ja-JP"/>
        </w:rPr>
        <w:t xml:space="preserve"> No </w:t>
      </w:r>
      <w:r w:rsidRPr="00FF3EE4">
        <w:rPr>
          <w:rFonts w:eastAsia="MS Mincho"/>
          <w:lang w:val="en-US" w:eastAsia="ja-JP"/>
        </w:rPr>
        <w:t>9 and in the draft Regulation</w:t>
      </w:r>
      <w:r w:rsidRPr="0069614E">
        <w:rPr>
          <w:rFonts w:eastAsia="MS Mincho"/>
          <w:lang w:val="en-US" w:eastAsia="ja-JP"/>
        </w:rPr>
        <w:t xml:space="preserve">, the impact can occur only within the child and/or adult </w:t>
      </w:r>
      <w:proofErr w:type="spellStart"/>
      <w:r w:rsidRPr="0069614E">
        <w:rPr>
          <w:rFonts w:eastAsia="MS Mincho"/>
          <w:lang w:val="en-US" w:eastAsia="ja-JP"/>
        </w:rPr>
        <w:t>headform</w:t>
      </w:r>
      <w:proofErr w:type="spellEnd"/>
      <w:r w:rsidRPr="0069614E">
        <w:rPr>
          <w:rFonts w:eastAsia="MS Mincho"/>
          <w:lang w:val="en-US" w:eastAsia="ja-JP"/>
        </w:rPr>
        <w:t xml:space="preserve"> test area excluding an offset of </w:t>
      </w:r>
      <w:r>
        <w:rPr>
          <w:rFonts w:eastAsia="MS Mincho"/>
          <w:lang w:val="en-US" w:eastAsia="ja-JP"/>
        </w:rPr>
        <w:t>one-half the</w:t>
      </w:r>
      <w:r w:rsidRPr="0069614E">
        <w:rPr>
          <w:rFonts w:eastAsia="MS Mincho"/>
          <w:lang w:val="en-US" w:eastAsia="ja-JP"/>
        </w:rPr>
        <w:t xml:space="preserve"> </w:t>
      </w:r>
      <w:proofErr w:type="spellStart"/>
      <w:r w:rsidRPr="0069614E">
        <w:rPr>
          <w:rFonts w:eastAsia="MS Mincho"/>
          <w:lang w:val="en-US" w:eastAsia="ja-JP"/>
        </w:rPr>
        <w:t>headform</w:t>
      </w:r>
      <w:proofErr w:type="spellEnd"/>
      <w:r w:rsidRPr="0069614E">
        <w:rPr>
          <w:rFonts w:eastAsia="MS Mincho"/>
          <w:lang w:val="en-US" w:eastAsia="ja-JP"/>
        </w:rPr>
        <w:t xml:space="preserve"> diameter. The calculation of the HIC 1000 or the HIC 1700 zones</w:t>
      </w:r>
      <w:r>
        <w:rPr>
          <w:rFonts w:eastAsia="MS Mincho"/>
          <w:lang w:val="en-US" w:eastAsia="ja-JP"/>
        </w:rPr>
        <w:t>,</w:t>
      </w:r>
      <w:r w:rsidRPr="0069614E">
        <w:rPr>
          <w:rFonts w:eastAsia="MS Mincho"/>
          <w:lang w:val="en-US" w:eastAsia="ja-JP"/>
        </w:rPr>
        <w:t xml:space="preserve"> </w:t>
      </w:r>
      <w:r>
        <w:rPr>
          <w:rFonts w:eastAsia="MS Mincho"/>
          <w:lang w:val="en-US" w:eastAsia="ja-JP"/>
        </w:rPr>
        <w:t xml:space="preserve">respectively, is nevertheless done for the whole area between the side reference lines. In practice, this could create a situation of possible misinterpretation when assigning the HIC zones to the bonnet surface since it may be possible to assign the less challenging criterion to areas that </w:t>
      </w:r>
      <w:r>
        <w:rPr>
          <w:rFonts w:eastAsia="MS Mincho"/>
          <w:lang w:val="en-US" w:eastAsia="ja-JP"/>
        </w:rPr>
        <w:lastRenderedPageBreak/>
        <w:t>cannot be tested. The wording proposed with this document provides a clear procedure, i.e. the HIC value is to be calculated only for the area to be tested. Consequently, this leads to a smaller HIC 1700 area in total which will contribute to increased pedestrian safety.</w:t>
      </w:r>
    </w:p>
    <w:p w14:paraId="08043989" w14:textId="77777777" w:rsidR="0043697A" w:rsidRPr="006A7C67" w:rsidRDefault="0043697A" w:rsidP="00504D1E">
      <w:pPr>
        <w:pStyle w:val="SingleTxtG"/>
      </w:pPr>
      <w:r>
        <w:t>8.</w:t>
      </w:r>
      <w:r>
        <w:tab/>
        <w:t>Finally, some minor editorial corrections are proposed to clarify the certification of the impactors.</w:t>
      </w:r>
    </w:p>
    <w:p w14:paraId="251FFD49" w14:textId="642811B9" w:rsidR="0043697A" w:rsidRDefault="0043697A" w:rsidP="00504D1E">
      <w:pPr>
        <w:pStyle w:val="SingleTxtG"/>
      </w:pPr>
      <w:r>
        <w:t>9</w:t>
      </w:r>
      <w:r w:rsidRPr="006A7C67">
        <w:t>.</w:t>
      </w:r>
      <w:r w:rsidRPr="006A7C67">
        <w:tab/>
      </w:r>
      <w:r>
        <w:t>T</w:t>
      </w:r>
      <w:r w:rsidRPr="006A7C67">
        <w:t xml:space="preserve">he changes to the procedures as described above are based on the experiences collected since </w:t>
      </w:r>
      <w:r>
        <w:t>UN GTR N</w:t>
      </w:r>
      <w:r w:rsidRPr="006A7C67">
        <w:t xml:space="preserve">o. 9 was discussed </w:t>
      </w:r>
      <w:r>
        <w:t>during the meetings of</w:t>
      </w:r>
      <w:r w:rsidRPr="006A7C67">
        <w:t xml:space="preserve"> the </w:t>
      </w:r>
      <w:r>
        <w:t xml:space="preserve">former </w:t>
      </w:r>
      <w:r w:rsidRPr="006A7C67">
        <w:t xml:space="preserve">Informal Group on Pedestrian Safety (INF GR PS). In the meantime, several experiences could be collected when testing vehicles to comply with legislation in </w:t>
      </w:r>
      <w:smartTag w:uri="urn:schemas-microsoft-com:office:smarttags" w:element="country-region">
        <w:r w:rsidRPr="006A7C67">
          <w:t>Japan</w:t>
        </w:r>
      </w:smartTag>
      <w:r w:rsidRPr="006A7C67">
        <w:t xml:space="preserve"> and </w:t>
      </w:r>
      <w:smartTag w:uri="urn:schemas-microsoft-com:office:smarttags" w:element="place">
        <w:r w:rsidRPr="006A7C67">
          <w:t>Europe</w:t>
        </w:r>
      </w:smartTag>
      <w:r w:rsidRPr="006A7C67">
        <w:t xml:space="preserve"> as well as with consumer requirements world</w:t>
      </w:r>
      <w:r>
        <w:t>wide</w:t>
      </w:r>
      <w:r w:rsidRPr="006A7C67">
        <w:t>. The procedures represent common practice in regulatory use. The proposed changes will contribute to the cl</w:t>
      </w:r>
      <w:r>
        <w:t>arity</w:t>
      </w:r>
      <w:r w:rsidRPr="006A7C67">
        <w:t xml:space="preserve"> of future worldwide pedestrian protection regulations in order to minimize the room fo</w:t>
      </w:r>
      <w:r>
        <w:t xml:space="preserve">r interpretations and to create a common playing field between national legislation based upon </w:t>
      </w:r>
      <w:r w:rsidR="005B07CC">
        <w:t xml:space="preserve">UN </w:t>
      </w:r>
      <w:r>
        <w:t>GTR N</w:t>
      </w:r>
      <w:r w:rsidRPr="006A7C67">
        <w:t xml:space="preserve">o. </w:t>
      </w:r>
      <w:r>
        <w:t>9.</w:t>
      </w:r>
    </w:p>
    <w:p w14:paraId="57449C0E" w14:textId="7EB6C02E" w:rsidR="0043697A" w:rsidRPr="006A7C67" w:rsidRDefault="0043697A" w:rsidP="00504D1E">
      <w:pPr>
        <w:pStyle w:val="SingleTxtG"/>
      </w:pPr>
      <w:r>
        <w:t xml:space="preserve">10. </w:t>
      </w:r>
      <w:r>
        <w:tab/>
      </w:r>
      <w:r w:rsidR="00273C9A" w:rsidRPr="00273C9A">
        <w:t>The proposed changes are already included in UN Regulation No. 127, 01 series of amendments, which was published in January 2015. In the period ranging from 2012 until December 2019 this has remained a subject on the agenda of GRSP due to study reservations, and awaits of the outcome of research and cost-benefit analysis.</w:t>
      </w:r>
    </w:p>
    <w:p w14:paraId="7E23AA50" w14:textId="0BA549D0" w:rsidR="0043697A" w:rsidRDefault="0043697A" w:rsidP="009E32A7">
      <w:pPr>
        <w:pStyle w:val="HChG"/>
      </w:pPr>
      <w:r>
        <w:tab/>
      </w:r>
      <w:r w:rsidR="009E32A7">
        <w:t>III</w:t>
      </w:r>
      <w:r>
        <w:t>.</w:t>
      </w:r>
      <w:r>
        <w:tab/>
        <w:t>History of the GTR</w:t>
      </w:r>
    </w:p>
    <w:p w14:paraId="3949A81D" w14:textId="77777777" w:rsidR="0043697A" w:rsidRPr="00AA0045" w:rsidRDefault="0043697A" w:rsidP="00504D1E">
      <w:pPr>
        <w:pStyle w:val="SingleTxtG"/>
        <w:rPr>
          <w:rFonts w:eastAsia="MS Mincho"/>
          <w:szCs w:val="24"/>
          <w:lang w:eastAsia="ja-JP"/>
        </w:rPr>
      </w:pPr>
      <w:r>
        <w:t>11.</w:t>
      </w:r>
      <w:r>
        <w:tab/>
      </w:r>
      <w:r w:rsidRPr="00AA0045">
        <w:rPr>
          <w:szCs w:val="24"/>
        </w:rPr>
        <w:t>T</w:t>
      </w:r>
      <w:r w:rsidRPr="00AA0045">
        <w:rPr>
          <w:rFonts w:eastAsia="MS Mincho"/>
          <w:szCs w:val="24"/>
          <w:lang w:eastAsia="ja-JP"/>
        </w:rPr>
        <w:t xml:space="preserve">he draft </w:t>
      </w:r>
      <w:r>
        <w:rPr>
          <w:rFonts w:eastAsia="MS Mincho"/>
          <w:szCs w:val="24"/>
          <w:lang w:eastAsia="ja-JP"/>
        </w:rPr>
        <w:t>G</w:t>
      </w:r>
      <w:r w:rsidRPr="00AA0045">
        <w:rPr>
          <w:rFonts w:eastAsia="MS Mincho"/>
          <w:szCs w:val="24"/>
          <w:lang w:eastAsia="ja-JP"/>
        </w:rPr>
        <w:t xml:space="preserve">lobal </w:t>
      </w:r>
      <w:r>
        <w:rPr>
          <w:rFonts w:eastAsia="MS Mincho"/>
          <w:szCs w:val="24"/>
          <w:lang w:eastAsia="ja-JP"/>
        </w:rPr>
        <w:t>T</w:t>
      </w:r>
      <w:r w:rsidRPr="00AA0045">
        <w:rPr>
          <w:rFonts w:eastAsia="MS Mincho"/>
          <w:szCs w:val="24"/>
          <w:lang w:eastAsia="ja-JP"/>
        </w:rPr>
        <w:t xml:space="preserve">echnical </w:t>
      </w:r>
      <w:r>
        <w:rPr>
          <w:rFonts w:eastAsia="MS Mincho"/>
          <w:szCs w:val="24"/>
          <w:lang w:eastAsia="ja-JP"/>
        </w:rPr>
        <w:t>R</w:t>
      </w:r>
      <w:r w:rsidRPr="00AA0045">
        <w:rPr>
          <w:rFonts w:eastAsia="MS Mincho"/>
          <w:szCs w:val="24"/>
          <w:lang w:eastAsia="ja-JP"/>
        </w:rPr>
        <w:t xml:space="preserve">egulation on </w:t>
      </w:r>
      <w:r>
        <w:rPr>
          <w:rFonts w:eastAsia="MS Mincho"/>
          <w:szCs w:val="24"/>
          <w:lang w:eastAsia="ja-JP"/>
        </w:rPr>
        <w:t xml:space="preserve">pedestrian </w:t>
      </w:r>
      <w:r w:rsidRPr="00AA0045">
        <w:rPr>
          <w:rFonts w:eastAsia="MS Mincho"/>
          <w:szCs w:val="24"/>
          <w:lang w:eastAsia="ja-JP"/>
        </w:rPr>
        <w:t xml:space="preserve">safety was established in the Global Registry on 12 </w:t>
      </w:r>
      <w:r>
        <w:rPr>
          <w:rFonts w:eastAsia="MS Mincho"/>
          <w:szCs w:val="24"/>
          <w:lang w:eastAsia="ja-JP"/>
        </w:rPr>
        <w:t>November 2008</w:t>
      </w:r>
      <w:r w:rsidRPr="00AA0045">
        <w:rPr>
          <w:rFonts w:eastAsia="MS Mincho"/>
          <w:szCs w:val="24"/>
          <w:lang w:eastAsia="ja-JP"/>
        </w:rPr>
        <w:t xml:space="preserve"> by consensus of the C</w:t>
      </w:r>
      <w:r>
        <w:rPr>
          <w:rFonts w:eastAsia="MS Mincho"/>
          <w:szCs w:val="24"/>
          <w:lang w:eastAsia="ja-JP"/>
        </w:rPr>
        <w:t>ontracting Parties and issued</w:t>
      </w:r>
      <w:r w:rsidRPr="00AA0045">
        <w:rPr>
          <w:rFonts w:eastAsia="MS Mincho"/>
          <w:szCs w:val="24"/>
          <w:lang w:eastAsia="ja-JP"/>
        </w:rPr>
        <w:t xml:space="preserve"> under t</w:t>
      </w:r>
      <w:r>
        <w:rPr>
          <w:rFonts w:eastAsia="MS Mincho"/>
          <w:szCs w:val="24"/>
          <w:lang w:eastAsia="ja-JP"/>
        </w:rPr>
        <w:t>he reference ECE/TRANS/180/Add.9</w:t>
      </w:r>
      <w:r w:rsidRPr="00AA0045">
        <w:rPr>
          <w:rFonts w:eastAsia="MS Mincho"/>
          <w:szCs w:val="24"/>
          <w:lang w:eastAsia="ja-JP"/>
        </w:rPr>
        <w:t xml:space="preserve">. </w:t>
      </w:r>
    </w:p>
    <w:p w14:paraId="59C32D7C" w14:textId="77777777" w:rsidR="0043697A" w:rsidRDefault="0043697A" w:rsidP="00504D1E">
      <w:pPr>
        <w:pStyle w:val="SingleTxtG"/>
      </w:pPr>
      <w:r w:rsidRPr="00F53977">
        <w:t>1</w:t>
      </w:r>
      <w:r>
        <w:t>2</w:t>
      </w:r>
      <w:r w:rsidRPr="00F53977">
        <w:t>.</w:t>
      </w:r>
      <w:r w:rsidRPr="00F53977">
        <w:tab/>
        <w:t>Th</w:t>
      </w:r>
      <w:r>
        <w:t>e</w:t>
      </w:r>
      <w:r w:rsidRPr="00F53977">
        <w:t xml:space="preserve"> proposal to develop this amendment to</w:t>
      </w:r>
      <w:r>
        <w:t xml:space="preserve"> UN</w:t>
      </w:r>
      <w:r w:rsidRPr="00F53977">
        <w:t xml:space="preserve"> GTR No. 9 was first submitted to </w:t>
      </w:r>
      <w:r>
        <w:t>the Executive Committee of the 1998 Agreement (</w:t>
      </w:r>
      <w:r w:rsidRPr="00F53977">
        <w:t>AC.3</w:t>
      </w:r>
      <w:r>
        <w:t>)</w:t>
      </w:r>
      <w:r w:rsidRPr="00F53977">
        <w:t xml:space="preserve"> for due </w:t>
      </w:r>
      <w:r>
        <w:t>consideration during the 150th s</w:t>
      </w:r>
      <w:r w:rsidRPr="00F53977">
        <w:t>ession of WP.29 (</w:t>
      </w:r>
      <w:r>
        <w:t>15</w:t>
      </w:r>
      <w:r w:rsidRPr="00F53977">
        <w:t xml:space="preserve"> - </w:t>
      </w:r>
      <w:r>
        <w:t>18</w:t>
      </w:r>
      <w:r w:rsidRPr="00F53977">
        <w:t xml:space="preserve"> </w:t>
      </w:r>
      <w:r>
        <w:t>November 2011</w:t>
      </w:r>
      <w:r w:rsidRPr="00F53977">
        <w:t>) as document ECE/TRANS/WP.29/2011/148</w:t>
      </w:r>
      <w:r>
        <w:t>, sponsored by the Netherlands.</w:t>
      </w:r>
    </w:p>
    <w:p w14:paraId="3AAA2EAC" w14:textId="77777777" w:rsidR="009651DF" w:rsidRDefault="0043697A" w:rsidP="00504D1E">
      <w:pPr>
        <w:pStyle w:val="SingleTxtG"/>
      </w:pPr>
      <w:r>
        <w:t>13.</w:t>
      </w:r>
      <w:r>
        <w:tab/>
      </w:r>
      <w:r w:rsidR="009651DF">
        <w:t>During its fifty-first session on 21 - 25 May 2012, GRSP asked for an update of the final report of the amendment of the UN GTR (ECE/TRANS/WP.29/GRSP/2012/2).</w:t>
      </w:r>
    </w:p>
    <w:p w14:paraId="2DCD5820" w14:textId="77777777" w:rsidR="009651DF" w:rsidRDefault="009651DF" w:rsidP="00504D1E">
      <w:pPr>
        <w:pStyle w:val="SingleTxtG"/>
      </w:pPr>
      <w:r>
        <w:t>14.</w:t>
      </w:r>
      <w:r>
        <w:tab/>
        <w:t>During the fifty-second session from 11 to 14 December 2012, the European Commission presented ECE/TRANS/WP.29/GRSP/2012/14</w:t>
      </w:r>
    </w:p>
    <w:p w14:paraId="39BA7CB9" w14:textId="1BAA39B2" w:rsidR="009651DF" w:rsidRDefault="009651DF" w:rsidP="00504D1E">
      <w:pPr>
        <w:pStyle w:val="SingleTxtG"/>
      </w:pPr>
      <w:r>
        <w:t>15.</w:t>
      </w:r>
      <w:r>
        <w:tab/>
        <w:t>During the fifty-fifth session from 19 to 23 May 2014, the European Commission presented ECE/TRANS/WP.29/GRSP/2014/2 and ECE/TRANS/WP.29/GRSP/2014/5 aiming to update phase I and (at the time of drafting) phase II of the UN GTR.</w:t>
      </w:r>
    </w:p>
    <w:p w14:paraId="7DA75E50" w14:textId="77777777" w:rsidR="009651DF" w:rsidRDefault="009651DF" w:rsidP="00504D1E">
      <w:pPr>
        <w:pStyle w:val="SingleTxtG"/>
      </w:pPr>
      <w:r>
        <w:t>16.</w:t>
      </w:r>
      <w:r>
        <w:tab/>
        <w:t>During the sixty-sixth session from 10 to 13 December 2019, it was agreed to finalise this subject and a final proposal was submitted to GRSP as informal document GRSP-67-13.</w:t>
      </w:r>
    </w:p>
    <w:p w14:paraId="0F076334" w14:textId="747A0AF2" w:rsidR="00DB276D" w:rsidRPr="00EE5A92" w:rsidRDefault="00BD5F68" w:rsidP="00504D1E">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D137" w14:textId="77777777" w:rsidR="00DD5A24" w:rsidRDefault="00DD5A24"/>
  </w:endnote>
  <w:endnote w:type="continuationSeparator" w:id="0">
    <w:p w14:paraId="7FF361C4" w14:textId="77777777" w:rsidR="00DD5A24" w:rsidRDefault="00DD5A24"/>
  </w:endnote>
  <w:endnote w:type="continuationNotice" w:id="1">
    <w:p w14:paraId="44D6AFFB" w14:textId="77777777" w:rsidR="00DD5A24" w:rsidRDefault="00DD5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354A" w14:textId="735BC344" w:rsidR="007D54B7" w:rsidRDefault="007D54B7" w:rsidP="007D54B7">
    <w:pPr>
      <w:pStyle w:val="Footer"/>
    </w:pPr>
    <w:r w:rsidRPr="0027112F">
      <w:rPr>
        <w:noProof/>
        <w:lang w:val="en-US"/>
      </w:rPr>
      <w:drawing>
        <wp:anchor distT="0" distB="0" distL="114300" distR="114300" simplePos="0" relativeHeight="251659264" behindDoc="0" locked="1" layoutInCell="1" allowOverlap="1" wp14:anchorId="74DD8C67" wp14:editId="72604C4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5F08CF" w14:textId="6DBB4548" w:rsidR="007D54B7" w:rsidRPr="007D54B7" w:rsidRDefault="007D54B7" w:rsidP="007D54B7">
    <w:pPr>
      <w:pStyle w:val="Footer"/>
      <w:ind w:right="1134"/>
      <w:rPr>
        <w:sz w:val="20"/>
      </w:rPr>
    </w:pPr>
    <w:r>
      <w:rPr>
        <w:sz w:val="20"/>
      </w:rPr>
      <w:t>GE.20-17388(E)</w:t>
    </w:r>
    <w:r>
      <w:rPr>
        <w:noProof/>
        <w:sz w:val="20"/>
      </w:rPr>
      <w:drawing>
        <wp:anchor distT="0" distB="0" distL="114300" distR="114300" simplePos="0" relativeHeight="251660288" behindDoc="0" locked="0" layoutInCell="1" allowOverlap="1" wp14:anchorId="1A25BCAA" wp14:editId="64591F0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0D83" w14:textId="77777777" w:rsidR="00DD5A24" w:rsidRPr="000B175B" w:rsidRDefault="00DD5A24" w:rsidP="000B175B">
      <w:pPr>
        <w:tabs>
          <w:tab w:val="right" w:pos="2155"/>
        </w:tabs>
        <w:spacing w:after="80"/>
        <w:ind w:left="680"/>
        <w:rPr>
          <w:u w:val="single"/>
        </w:rPr>
      </w:pPr>
      <w:r>
        <w:rPr>
          <w:u w:val="single"/>
        </w:rPr>
        <w:tab/>
      </w:r>
    </w:p>
  </w:footnote>
  <w:footnote w:type="continuationSeparator" w:id="0">
    <w:p w14:paraId="3B31C0C0" w14:textId="77777777" w:rsidR="00DD5A24" w:rsidRPr="00FC68B7" w:rsidRDefault="00DD5A24" w:rsidP="00FC68B7">
      <w:pPr>
        <w:tabs>
          <w:tab w:val="left" w:pos="2155"/>
        </w:tabs>
        <w:spacing w:after="80"/>
        <w:ind w:left="680"/>
        <w:rPr>
          <w:u w:val="single"/>
        </w:rPr>
      </w:pPr>
      <w:r>
        <w:rPr>
          <w:u w:val="single"/>
        </w:rPr>
        <w:tab/>
      </w:r>
    </w:p>
  </w:footnote>
  <w:footnote w:type="continuationNotice" w:id="1">
    <w:p w14:paraId="181F9E66" w14:textId="77777777" w:rsidR="00DD5A24" w:rsidRDefault="00DD5A24"/>
  </w:footnote>
  <w:footnote w:id="2">
    <w:p w14:paraId="13F6BF3D" w14:textId="77777777" w:rsidR="00DB276D" w:rsidRPr="00DC2C16" w:rsidRDefault="00DB276D" w:rsidP="00DB276D">
      <w:pPr>
        <w:pStyle w:val="FootnoteText"/>
      </w:pPr>
      <w:r>
        <w:rPr>
          <w:sz w:val="20"/>
        </w:rPr>
        <w:tab/>
      </w:r>
      <w:r w:rsidRPr="00E84F33">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0FEFAF55" w14:textId="4CFFCEE9" w:rsidR="00E84F33" w:rsidRPr="00E84F33" w:rsidRDefault="00E84F33" w:rsidP="00E84F33">
      <w:pPr>
        <w:pStyle w:val="FootnoteText"/>
      </w:pPr>
      <w:r>
        <w:rPr>
          <w:rStyle w:val="FootnoteReference"/>
        </w:rPr>
        <w:tab/>
      </w:r>
      <w:r w:rsidRPr="00E84F33">
        <w:rPr>
          <w:rStyle w:val="FootnoteReference"/>
          <w:sz w:val="20"/>
          <w:vertAlign w:val="baseline"/>
        </w:rPr>
        <w:t>**</w:t>
      </w:r>
      <w:r>
        <w:rPr>
          <w:rStyle w:val="FootnoteReference"/>
          <w:sz w:val="20"/>
          <w:vertAlign w:val="baseline"/>
        </w:rPr>
        <w:tab/>
      </w:r>
      <w:r w:rsidRPr="00E84F33">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0F3929CF" w:rsidR="00772D17" w:rsidRPr="00772D17" w:rsidRDefault="00772D17">
    <w:pPr>
      <w:pStyle w:val="Header"/>
    </w:pPr>
    <w:r>
      <w:t>ECE/TRANS/WP.29/202</w:t>
    </w:r>
    <w:r w:rsidR="00EE5A92">
      <w:t>1</w:t>
    </w:r>
    <w:r>
      <w:t>/</w:t>
    </w:r>
    <w:r w:rsidR="005864FB">
      <w:t>5</w:t>
    </w:r>
    <w:r w:rsidR="00EE624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5CF43E6" w:rsidR="00772D17" w:rsidRPr="00772D17" w:rsidRDefault="00772D17" w:rsidP="00772D17">
    <w:pPr>
      <w:pStyle w:val="Header"/>
      <w:jc w:val="right"/>
    </w:pPr>
    <w:r>
      <w:t>ECE/TRANS/WP.29/202</w:t>
    </w:r>
    <w:r w:rsidR="00EE5A92">
      <w:t>1</w:t>
    </w:r>
    <w:r>
      <w:t>/</w:t>
    </w:r>
    <w:r w:rsidR="0053212C">
      <w:t>5</w:t>
    </w:r>
    <w:r w:rsidR="00EE624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C05BB"/>
    <w:multiLevelType w:val="hybridMultilevel"/>
    <w:tmpl w:val="5F9447A6"/>
    <w:lvl w:ilvl="0" w:tplc="24FC577E">
      <w:start w:val="1"/>
      <w:numFmt w:val="decimal"/>
      <w:lvlText w:val="%1."/>
      <w:lvlJc w:val="left"/>
      <w:pPr>
        <w:ind w:left="1689" w:hanging="555"/>
      </w:pPr>
      <w:rPr>
        <w:rFonts w:hint="default"/>
        <w:strike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50F6B"/>
    <w:rsid w:val="000600F0"/>
    <w:rsid w:val="000678CD"/>
    <w:rsid w:val="00072C8C"/>
    <w:rsid w:val="00081CE0"/>
    <w:rsid w:val="00084D30"/>
    <w:rsid w:val="00090320"/>
    <w:rsid w:val="000931C0"/>
    <w:rsid w:val="0009690F"/>
    <w:rsid w:val="00097003"/>
    <w:rsid w:val="000A2E09"/>
    <w:rsid w:val="000B175B"/>
    <w:rsid w:val="000B3A0F"/>
    <w:rsid w:val="000D3D79"/>
    <w:rsid w:val="000E0415"/>
    <w:rsid w:val="000F2304"/>
    <w:rsid w:val="000F2ED9"/>
    <w:rsid w:val="000F7715"/>
    <w:rsid w:val="00156B99"/>
    <w:rsid w:val="0016297B"/>
    <w:rsid w:val="00166124"/>
    <w:rsid w:val="001756EA"/>
    <w:rsid w:val="0018025B"/>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3871"/>
    <w:rsid w:val="0027237A"/>
    <w:rsid w:val="00273C9A"/>
    <w:rsid w:val="002974E9"/>
    <w:rsid w:val="002A306B"/>
    <w:rsid w:val="002A7D43"/>
    <w:rsid w:val="002A7F94"/>
    <w:rsid w:val="002B109A"/>
    <w:rsid w:val="002C6D45"/>
    <w:rsid w:val="002D6E53"/>
    <w:rsid w:val="002F046D"/>
    <w:rsid w:val="002F3023"/>
    <w:rsid w:val="00301764"/>
    <w:rsid w:val="00311902"/>
    <w:rsid w:val="003229D8"/>
    <w:rsid w:val="00334739"/>
    <w:rsid w:val="00336C97"/>
    <w:rsid w:val="00337F88"/>
    <w:rsid w:val="00342432"/>
    <w:rsid w:val="0035223F"/>
    <w:rsid w:val="00352D4B"/>
    <w:rsid w:val="0035638C"/>
    <w:rsid w:val="00392D3E"/>
    <w:rsid w:val="003A46BB"/>
    <w:rsid w:val="003A4EC7"/>
    <w:rsid w:val="003A7295"/>
    <w:rsid w:val="003B1F60"/>
    <w:rsid w:val="003C2CC4"/>
    <w:rsid w:val="003C59AC"/>
    <w:rsid w:val="003D4B23"/>
    <w:rsid w:val="003E278A"/>
    <w:rsid w:val="0040132E"/>
    <w:rsid w:val="00413520"/>
    <w:rsid w:val="004325CB"/>
    <w:rsid w:val="0043697A"/>
    <w:rsid w:val="00440A07"/>
    <w:rsid w:val="0045147E"/>
    <w:rsid w:val="004530D3"/>
    <w:rsid w:val="00462880"/>
    <w:rsid w:val="00476F24"/>
    <w:rsid w:val="004A5D33"/>
    <w:rsid w:val="004A6999"/>
    <w:rsid w:val="004C55B0"/>
    <w:rsid w:val="004D5CF1"/>
    <w:rsid w:val="004F6BA0"/>
    <w:rsid w:val="004F6F83"/>
    <w:rsid w:val="00503BEA"/>
    <w:rsid w:val="00504D1E"/>
    <w:rsid w:val="0053212C"/>
    <w:rsid w:val="00533616"/>
    <w:rsid w:val="00535ABA"/>
    <w:rsid w:val="0053768B"/>
    <w:rsid w:val="005420F2"/>
    <w:rsid w:val="0054285C"/>
    <w:rsid w:val="00544DD1"/>
    <w:rsid w:val="00584173"/>
    <w:rsid w:val="005864FB"/>
    <w:rsid w:val="00595520"/>
    <w:rsid w:val="005A44B9"/>
    <w:rsid w:val="005B07CC"/>
    <w:rsid w:val="005B1BA0"/>
    <w:rsid w:val="005B3DB3"/>
    <w:rsid w:val="005C0268"/>
    <w:rsid w:val="005C6F29"/>
    <w:rsid w:val="005D15CA"/>
    <w:rsid w:val="005F08DF"/>
    <w:rsid w:val="005F3066"/>
    <w:rsid w:val="005F3E61"/>
    <w:rsid w:val="00604DDD"/>
    <w:rsid w:val="00606098"/>
    <w:rsid w:val="006115CC"/>
    <w:rsid w:val="00611FC4"/>
    <w:rsid w:val="006176FB"/>
    <w:rsid w:val="00630FCB"/>
    <w:rsid w:val="00640B26"/>
    <w:rsid w:val="0065766B"/>
    <w:rsid w:val="006770B2"/>
    <w:rsid w:val="0068549A"/>
    <w:rsid w:val="00686A48"/>
    <w:rsid w:val="0068763C"/>
    <w:rsid w:val="006940E1"/>
    <w:rsid w:val="006A3C72"/>
    <w:rsid w:val="006A7392"/>
    <w:rsid w:val="006B03A1"/>
    <w:rsid w:val="006B67D9"/>
    <w:rsid w:val="006C250B"/>
    <w:rsid w:val="006C5535"/>
    <w:rsid w:val="006D0589"/>
    <w:rsid w:val="006E2BFB"/>
    <w:rsid w:val="006E564B"/>
    <w:rsid w:val="006E7154"/>
    <w:rsid w:val="006E76A9"/>
    <w:rsid w:val="007003CD"/>
    <w:rsid w:val="0070701E"/>
    <w:rsid w:val="0072632A"/>
    <w:rsid w:val="007358E8"/>
    <w:rsid w:val="00736ECE"/>
    <w:rsid w:val="0074533B"/>
    <w:rsid w:val="007643BC"/>
    <w:rsid w:val="00770134"/>
    <w:rsid w:val="00772D17"/>
    <w:rsid w:val="00780C68"/>
    <w:rsid w:val="007919B6"/>
    <w:rsid w:val="007959FE"/>
    <w:rsid w:val="007A0CF1"/>
    <w:rsid w:val="007B6BA5"/>
    <w:rsid w:val="007C3390"/>
    <w:rsid w:val="007C42D8"/>
    <w:rsid w:val="007C4F4B"/>
    <w:rsid w:val="007D54B7"/>
    <w:rsid w:val="007D6F65"/>
    <w:rsid w:val="007D7362"/>
    <w:rsid w:val="007D7CCE"/>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24A1"/>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51DF"/>
    <w:rsid w:val="009662E6"/>
    <w:rsid w:val="0097095E"/>
    <w:rsid w:val="009731FC"/>
    <w:rsid w:val="0098592B"/>
    <w:rsid w:val="00985FC4"/>
    <w:rsid w:val="00990766"/>
    <w:rsid w:val="00991261"/>
    <w:rsid w:val="009964C4"/>
    <w:rsid w:val="009A1A86"/>
    <w:rsid w:val="009A7B81"/>
    <w:rsid w:val="009B7EB7"/>
    <w:rsid w:val="009D01C0"/>
    <w:rsid w:val="009D6A08"/>
    <w:rsid w:val="009E0A16"/>
    <w:rsid w:val="009E32A7"/>
    <w:rsid w:val="009E6CB7"/>
    <w:rsid w:val="009E7970"/>
    <w:rsid w:val="009F2EAC"/>
    <w:rsid w:val="009F57E3"/>
    <w:rsid w:val="00A10F4F"/>
    <w:rsid w:val="00A11067"/>
    <w:rsid w:val="00A14915"/>
    <w:rsid w:val="00A1704A"/>
    <w:rsid w:val="00A32555"/>
    <w:rsid w:val="00A36AC2"/>
    <w:rsid w:val="00A4017D"/>
    <w:rsid w:val="00A425EB"/>
    <w:rsid w:val="00A72F22"/>
    <w:rsid w:val="00A733BC"/>
    <w:rsid w:val="00A748A6"/>
    <w:rsid w:val="00A76A69"/>
    <w:rsid w:val="00A879A4"/>
    <w:rsid w:val="00AA0FF8"/>
    <w:rsid w:val="00AA330A"/>
    <w:rsid w:val="00AC0F2C"/>
    <w:rsid w:val="00AC502A"/>
    <w:rsid w:val="00AD4625"/>
    <w:rsid w:val="00AE1E26"/>
    <w:rsid w:val="00AE5D8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49F2"/>
    <w:rsid w:val="00BA339B"/>
    <w:rsid w:val="00BB23CC"/>
    <w:rsid w:val="00BB35F9"/>
    <w:rsid w:val="00BC1E7E"/>
    <w:rsid w:val="00BC74E9"/>
    <w:rsid w:val="00BD5F68"/>
    <w:rsid w:val="00BE36A9"/>
    <w:rsid w:val="00BE618E"/>
    <w:rsid w:val="00BE7BEC"/>
    <w:rsid w:val="00BF0A5A"/>
    <w:rsid w:val="00BF0E63"/>
    <w:rsid w:val="00BF12A3"/>
    <w:rsid w:val="00BF16D7"/>
    <w:rsid w:val="00BF2373"/>
    <w:rsid w:val="00BF279B"/>
    <w:rsid w:val="00C044E2"/>
    <w:rsid w:val="00C048CB"/>
    <w:rsid w:val="00C066F3"/>
    <w:rsid w:val="00C12575"/>
    <w:rsid w:val="00C463DD"/>
    <w:rsid w:val="00C56CFF"/>
    <w:rsid w:val="00C745C3"/>
    <w:rsid w:val="00C978F5"/>
    <w:rsid w:val="00CA24A4"/>
    <w:rsid w:val="00CB348D"/>
    <w:rsid w:val="00CD1CEC"/>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1085"/>
    <w:rsid w:val="00D72727"/>
    <w:rsid w:val="00D978C6"/>
    <w:rsid w:val="00DA0956"/>
    <w:rsid w:val="00DA357F"/>
    <w:rsid w:val="00DA3E12"/>
    <w:rsid w:val="00DB276D"/>
    <w:rsid w:val="00DC18AD"/>
    <w:rsid w:val="00DC631D"/>
    <w:rsid w:val="00DD5A24"/>
    <w:rsid w:val="00DF7CAE"/>
    <w:rsid w:val="00E001F6"/>
    <w:rsid w:val="00E042AA"/>
    <w:rsid w:val="00E31A75"/>
    <w:rsid w:val="00E37653"/>
    <w:rsid w:val="00E423C0"/>
    <w:rsid w:val="00E452D3"/>
    <w:rsid w:val="00E46734"/>
    <w:rsid w:val="00E57D6C"/>
    <w:rsid w:val="00E62FF9"/>
    <w:rsid w:val="00E6414C"/>
    <w:rsid w:val="00E7260F"/>
    <w:rsid w:val="00E84F33"/>
    <w:rsid w:val="00E8702D"/>
    <w:rsid w:val="00E87D7A"/>
    <w:rsid w:val="00E905F4"/>
    <w:rsid w:val="00E916A9"/>
    <w:rsid w:val="00E916DE"/>
    <w:rsid w:val="00E925AD"/>
    <w:rsid w:val="00E96630"/>
    <w:rsid w:val="00ED18DC"/>
    <w:rsid w:val="00ED6201"/>
    <w:rsid w:val="00ED6F91"/>
    <w:rsid w:val="00ED7A2A"/>
    <w:rsid w:val="00EE5A92"/>
    <w:rsid w:val="00EE6242"/>
    <w:rsid w:val="00EF0C96"/>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119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locked/>
    <w:rsid w:val="00DB276D"/>
    <w:rPr>
      <w:sz w:val="18"/>
      <w:lang w:val="en-GB" w:eastAsia="en-US" w:bidi="ar-SA"/>
    </w:rPr>
  </w:style>
  <w:style w:type="character" w:customStyle="1" w:styleId="HChGChar">
    <w:name w:val="_ H _Ch_G Char"/>
    <w:link w:val="HChG"/>
    <w:rsid w:val="008824A1"/>
    <w:rPr>
      <w:b/>
      <w:sz w:val="28"/>
      <w:lang w:val="en-GB"/>
    </w:rPr>
  </w:style>
  <w:style w:type="character" w:customStyle="1" w:styleId="SingleTxtGChar">
    <w:name w:val="_ Single Txt_G Char"/>
    <w:link w:val="SingleTxtG"/>
    <w:qFormat/>
    <w:locked/>
    <w:rsid w:val="000600F0"/>
    <w:rPr>
      <w:lang w:val="en-GB"/>
    </w:rPr>
  </w:style>
  <w:style w:type="character" w:customStyle="1" w:styleId="H1GChar">
    <w:name w:val="_ H_1_G Char"/>
    <w:link w:val="H1G"/>
    <w:rsid w:val="0043697A"/>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C531B4-101E-4F54-937A-1C1EF633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6593</Characters>
  <Application>Microsoft Office Word</Application>
  <DocSecurity>0</DocSecurity>
  <Lines>114</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ECE/TRANS/WP.29/2021/54</dc:title>
  <dc:subject>2017388</dc:subject>
  <dc:creator>Lucille</dc:creator>
  <cp:keywords/>
  <dc:description/>
  <cp:lastModifiedBy>Cristina BRIGOLI</cp:lastModifiedBy>
  <cp:revision>2</cp:revision>
  <cp:lastPrinted>2009-02-18T09:36:00Z</cp:lastPrinted>
  <dcterms:created xsi:type="dcterms:W3CDTF">2020-12-18T13:49:00Z</dcterms:created>
  <dcterms:modified xsi:type="dcterms:W3CDTF">2020-12-18T13:49:00Z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