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3DDD547" w14:textId="77777777" w:rsidTr="00C97039">
        <w:trPr>
          <w:trHeight w:hRule="exact" w:val="851"/>
        </w:trPr>
        <w:tc>
          <w:tcPr>
            <w:tcW w:w="1276" w:type="dxa"/>
            <w:tcBorders>
              <w:bottom w:val="single" w:sz="4" w:space="0" w:color="auto"/>
            </w:tcBorders>
          </w:tcPr>
          <w:p w14:paraId="3B9F73B0" w14:textId="77777777" w:rsidR="00F35BAF" w:rsidRPr="00DB58B5" w:rsidRDefault="00F35BAF" w:rsidP="00152213">
            <w:bookmarkStart w:id="0" w:name="_GoBack"/>
            <w:bookmarkEnd w:id="0"/>
          </w:p>
        </w:tc>
        <w:tc>
          <w:tcPr>
            <w:tcW w:w="2268" w:type="dxa"/>
            <w:tcBorders>
              <w:bottom w:val="single" w:sz="4" w:space="0" w:color="auto"/>
            </w:tcBorders>
            <w:vAlign w:val="bottom"/>
          </w:tcPr>
          <w:p w14:paraId="6F2602B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043609B" w14:textId="77777777" w:rsidR="00F35BAF" w:rsidRPr="00DB58B5" w:rsidRDefault="00152213" w:rsidP="00152213">
            <w:pPr>
              <w:jc w:val="right"/>
            </w:pPr>
            <w:r w:rsidRPr="00152213">
              <w:rPr>
                <w:sz w:val="40"/>
              </w:rPr>
              <w:t>ECE</w:t>
            </w:r>
            <w:r>
              <w:t>/TRANS/WP.29/GRVA/2021/5</w:t>
            </w:r>
          </w:p>
        </w:tc>
      </w:tr>
      <w:tr w:rsidR="00F35BAF" w:rsidRPr="00DB58B5" w14:paraId="0E7EC924" w14:textId="77777777" w:rsidTr="00C97039">
        <w:trPr>
          <w:trHeight w:hRule="exact" w:val="2835"/>
        </w:trPr>
        <w:tc>
          <w:tcPr>
            <w:tcW w:w="1276" w:type="dxa"/>
            <w:tcBorders>
              <w:top w:val="single" w:sz="4" w:space="0" w:color="auto"/>
              <w:bottom w:val="single" w:sz="12" w:space="0" w:color="auto"/>
            </w:tcBorders>
          </w:tcPr>
          <w:p w14:paraId="004BDCC3" w14:textId="77777777" w:rsidR="00F35BAF" w:rsidRPr="00DB58B5" w:rsidRDefault="00F35BAF" w:rsidP="00C97039">
            <w:pPr>
              <w:spacing w:before="120"/>
              <w:jc w:val="center"/>
            </w:pPr>
            <w:r>
              <w:rPr>
                <w:noProof/>
                <w:lang w:eastAsia="fr-CH"/>
              </w:rPr>
              <w:drawing>
                <wp:inline distT="0" distB="0" distL="0" distR="0" wp14:anchorId="51C06B5D" wp14:editId="5DE39F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60E1C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4C19CCF" w14:textId="77777777" w:rsidR="00F35BAF" w:rsidRDefault="00152213" w:rsidP="00C97039">
            <w:pPr>
              <w:spacing w:before="240"/>
            </w:pPr>
            <w:r>
              <w:t>Distr. générale</w:t>
            </w:r>
          </w:p>
          <w:p w14:paraId="62A95E14" w14:textId="77777777" w:rsidR="00152213" w:rsidRDefault="00152213" w:rsidP="00152213">
            <w:pPr>
              <w:spacing w:line="240" w:lineRule="exact"/>
            </w:pPr>
            <w:r>
              <w:t>20 novembre 2020</w:t>
            </w:r>
          </w:p>
          <w:p w14:paraId="168B1DE7" w14:textId="77777777" w:rsidR="00152213" w:rsidRDefault="00152213" w:rsidP="00152213">
            <w:pPr>
              <w:spacing w:line="240" w:lineRule="exact"/>
            </w:pPr>
            <w:r>
              <w:t>Français</w:t>
            </w:r>
          </w:p>
          <w:p w14:paraId="7206EB53" w14:textId="77777777" w:rsidR="00152213" w:rsidRPr="00DB58B5" w:rsidRDefault="00152213" w:rsidP="00152213">
            <w:pPr>
              <w:spacing w:line="240" w:lineRule="exact"/>
            </w:pPr>
            <w:r>
              <w:t>Original</w:t>
            </w:r>
            <w:r w:rsidR="00DC2AF2">
              <w:t> :</w:t>
            </w:r>
            <w:r>
              <w:t xml:space="preserve"> anglais</w:t>
            </w:r>
          </w:p>
        </w:tc>
      </w:tr>
    </w:tbl>
    <w:p w14:paraId="30F71277" w14:textId="77777777" w:rsidR="007F20FA" w:rsidRPr="000312C0" w:rsidRDefault="007F20FA" w:rsidP="007F20FA">
      <w:pPr>
        <w:spacing w:before="120"/>
        <w:rPr>
          <w:b/>
          <w:sz w:val="28"/>
          <w:szCs w:val="28"/>
        </w:rPr>
      </w:pPr>
      <w:r w:rsidRPr="000312C0">
        <w:rPr>
          <w:b/>
          <w:sz w:val="28"/>
          <w:szCs w:val="28"/>
        </w:rPr>
        <w:t>Commission économique pour l’Europe</w:t>
      </w:r>
    </w:p>
    <w:p w14:paraId="118C3567" w14:textId="77777777" w:rsidR="007F20FA" w:rsidRDefault="007F20FA" w:rsidP="007F20FA">
      <w:pPr>
        <w:spacing w:before="120"/>
        <w:rPr>
          <w:sz w:val="28"/>
          <w:szCs w:val="28"/>
        </w:rPr>
      </w:pPr>
      <w:r w:rsidRPr="00685843">
        <w:rPr>
          <w:sz w:val="28"/>
          <w:szCs w:val="28"/>
        </w:rPr>
        <w:t>Comité des transports intérieurs</w:t>
      </w:r>
    </w:p>
    <w:p w14:paraId="4AE95F8C" w14:textId="77777777" w:rsidR="00DC2AF2" w:rsidRPr="00DC2AF2" w:rsidRDefault="00DC2AF2" w:rsidP="00DC2AF2">
      <w:pPr>
        <w:spacing w:before="120" w:line="240" w:lineRule="auto"/>
        <w:rPr>
          <w:b/>
          <w:sz w:val="24"/>
          <w:szCs w:val="24"/>
        </w:rPr>
      </w:pPr>
      <w:r w:rsidRPr="00DC2AF2">
        <w:rPr>
          <w:b/>
          <w:bCs/>
          <w:sz w:val="24"/>
          <w:szCs w:val="24"/>
          <w:lang w:val="fr-FR"/>
        </w:rPr>
        <w:t xml:space="preserve">Forum mondial de l’harmonisation </w:t>
      </w:r>
      <w:r>
        <w:rPr>
          <w:b/>
          <w:bCs/>
          <w:sz w:val="24"/>
          <w:szCs w:val="24"/>
          <w:lang w:val="fr-FR"/>
        </w:rPr>
        <w:br/>
      </w:r>
      <w:r w:rsidRPr="00DC2AF2">
        <w:rPr>
          <w:b/>
          <w:bCs/>
          <w:sz w:val="24"/>
          <w:szCs w:val="24"/>
          <w:lang w:val="fr-FR"/>
        </w:rPr>
        <w:t>des Règlements concernant les véhicules</w:t>
      </w:r>
    </w:p>
    <w:p w14:paraId="7603615C" w14:textId="77777777" w:rsidR="00DC2AF2" w:rsidRPr="00132B47" w:rsidRDefault="00DC2AF2" w:rsidP="00DC2AF2">
      <w:pPr>
        <w:spacing w:before="120" w:line="240" w:lineRule="auto"/>
        <w:rPr>
          <w:b/>
        </w:rPr>
      </w:pPr>
      <w:bookmarkStart w:id="1" w:name="_Hlk518466992"/>
      <w:bookmarkStart w:id="2" w:name="_Hlk56769561"/>
      <w:r w:rsidRPr="00132B47">
        <w:rPr>
          <w:b/>
          <w:bCs/>
          <w:lang w:val="fr-FR"/>
        </w:rPr>
        <w:t>Groupe de travail des véhicules automatisés/autonomes et connectés</w:t>
      </w:r>
      <w:bookmarkEnd w:id="1"/>
      <w:bookmarkEnd w:id="2"/>
    </w:p>
    <w:p w14:paraId="7ABB0F03" w14:textId="77777777" w:rsidR="00DC2AF2" w:rsidRPr="00132B47" w:rsidRDefault="00DC2AF2" w:rsidP="00DC2AF2">
      <w:pPr>
        <w:spacing w:before="120" w:line="240" w:lineRule="auto"/>
        <w:rPr>
          <w:b/>
        </w:rPr>
      </w:pPr>
      <w:r w:rsidRPr="00132B47">
        <w:rPr>
          <w:b/>
          <w:bCs/>
          <w:lang w:val="fr-FR"/>
        </w:rPr>
        <w:t>Neuvième session</w:t>
      </w:r>
    </w:p>
    <w:p w14:paraId="753BEB62" w14:textId="77777777" w:rsidR="00DC2AF2" w:rsidRPr="00132B47" w:rsidRDefault="00DC2AF2" w:rsidP="00DC2AF2">
      <w:pPr>
        <w:spacing w:line="240" w:lineRule="auto"/>
      </w:pPr>
      <w:bookmarkStart w:id="3" w:name="OLE_LINK2"/>
      <w:r w:rsidRPr="00132B47">
        <w:rPr>
          <w:lang w:val="fr-FR"/>
        </w:rPr>
        <w:t>Point 5 a) de l’ordre du jour provisoire</w:t>
      </w:r>
    </w:p>
    <w:p w14:paraId="16C21434" w14:textId="77777777" w:rsidR="00DC2AF2" w:rsidRPr="00132B47" w:rsidRDefault="00DC2AF2" w:rsidP="00DC2AF2">
      <w:pPr>
        <w:spacing w:line="240" w:lineRule="auto"/>
        <w:rPr>
          <w:b/>
          <w:bCs/>
          <w:lang w:val="fr-FR"/>
        </w:rPr>
      </w:pPr>
      <w:r w:rsidRPr="00132B47">
        <w:rPr>
          <w:b/>
          <w:bCs/>
          <w:lang w:val="fr-FR"/>
        </w:rPr>
        <w:t>Véhicules connectés</w:t>
      </w:r>
      <w:r>
        <w:rPr>
          <w:b/>
          <w:bCs/>
          <w:lang w:val="fr-FR"/>
        </w:rPr>
        <w:t> :</w:t>
      </w:r>
    </w:p>
    <w:p w14:paraId="2E8DBD46" w14:textId="77777777" w:rsidR="00DC2AF2" w:rsidRPr="00132B47" w:rsidRDefault="00DC2AF2" w:rsidP="00DC2AF2">
      <w:pPr>
        <w:spacing w:line="240" w:lineRule="auto"/>
        <w:rPr>
          <w:b/>
        </w:rPr>
      </w:pPr>
      <w:r w:rsidRPr="00132B47">
        <w:rPr>
          <w:b/>
          <w:bCs/>
          <w:lang w:val="fr-FR"/>
        </w:rPr>
        <w:t>Cybersécurité et protection des données</w:t>
      </w:r>
    </w:p>
    <w:p w14:paraId="0EA2EA9E" w14:textId="77777777" w:rsidR="00DC2AF2" w:rsidRPr="00132B47" w:rsidRDefault="00DC2AF2" w:rsidP="00DC2AF2">
      <w:pPr>
        <w:pStyle w:val="HChG"/>
      </w:pPr>
      <w:r w:rsidRPr="00132B47">
        <w:rPr>
          <w:lang w:val="fr-FR"/>
        </w:rPr>
        <w:tab/>
      </w:r>
      <w:r w:rsidRPr="00132B47">
        <w:rPr>
          <w:lang w:val="fr-FR"/>
        </w:rPr>
        <w:tab/>
        <w:t xml:space="preserve">Proposition de complément au Règlement ONU </w:t>
      </w:r>
      <w:r w:rsidRPr="00DC2AF2">
        <w:rPr>
          <w:rFonts w:eastAsia="MS Mincho"/>
          <w:lang w:val="fr-FR"/>
        </w:rPr>
        <w:t>n</w:t>
      </w:r>
      <w:r w:rsidRPr="00DC2AF2">
        <w:rPr>
          <w:rFonts w:eastAsia="MS Mincho"/>
          <w:vertAlign w:val="superscript"/>
          <w:lang w:val="fr-FR"/>
        </w:rPr>
        <w:t>o</w:t>
      </w:r>
      <w:r>
        <w:rPr>
          <w:lang w:val="fr-FR"/>
        </w:rPr>
        <w:t> </w:t>
      </w:r>
      <w:r w:rsidRPr="00132B47">
        <w:rPr>
          <w:lang w:val="fr-FR"/>
        </w:rPr>
        <w:t>[155] (Cybersécurité et systèmes de gestion de la cybersécurité)</w:t>
      </w:r>
      <w:bookmarkEnd w:id="3"/>
    </w:p>
    <w:p w14:paraId="1B0F6E1E" w14:textId="77777777" w:rsidR="00DC2AF2" w:rsidRPr="00132B47" w:rsidRDefault="00DC2AF2" w:rsidP="00DC2AF2">
      <w:pPr>
        <w:pStyle w:val="H1G"/>
      </w:pPr>
      <w:r w:rsidRPr="00132B47">
        <w:rPr>
          <w:lang w:val="fr-FR"/>
        </w:rPr>
        <w:tab/>
      </w:r>
      <w:r w:rsidRPr="00132B47">
        <w:rPr>
          <w:lang w:val="fr-FR"/>
        </w:rPr>
        <w:tab/>
        <w:t>Communication de l’expert de la Fédération de Russie</w:t>
      </w:r>
      <w:r w:rsidRPr="00DC2AF2">
        <w:rPr>
          <w:rStyle w:val="FootnoteReference"/>
          <w:b w:val="0"/>
          <w:bCs/>
          <w:sz w:val="20"/>
          <w:vertAlign w:val="baseline"/>
          <w:lang w:val="fr-FR"/>
        </w:rPr>
        <w:footnoteReference w:customMarkFollows="1" w:id="2"/>
        <w:t>*</w:t>
      </w:r>
    </w:p>
    <w:p w14:paraId="3A0029A6" w14:textId="77777777" w:rsidR="00DC2AF2" w:rsidRPr="00132B47" w:rsidRDefault="00DC2AF2" w:rsidP="00DC2AF2">
      <w:pPr>
        <w:pStyle w:val="SingleTxtG"/>
        <w:ind w:firstLine="567"/>
      </w:pPr>
      <w:r w:rsidRPr="00132B47">
        <w:rPr>
          <w:lang w:val="fr-FR"/>
        </w:rPr>
        <w:t>La présente proposition, établie par l’expert de la Fédération de Russie, est fondée sur les résultats de l’examen du document informel GRVA-07-08 mené à la septième session du Groupe de travail des véhicules automatisés/autonomes et connectés (GRVA) en septembre 2020. Les modifications qu’il est proposé d’apporter au texte actuel du Règlement figurent en caractères gras pour les ajouts et biffés pour les suppressions.</w:t>
      </w:r>
    </w:p>
    <w:p w14:paraId="334A9A59" w14:textId="77777777" w:rsidR="00DC2AF2" w:rsidRPr="00132B47" w:rsidRDefault="00DC2AF2" w:rsidP="00DC2AF2">
      <w:pPr>
        <w:pStyle w:val="HChG"/>
      </w:pPr>
      <w:r w:rsidRPr="00132B47">
        <w:br w:type="page"/>
      </w:r>
    </w:p>
    <w:p w14:paraId="50102864" w14:textId="77777777" w:rsidR="00DC2AF2" w:rsidRPr="00132B47" w:rsidRDefault="00DC2AF2" w:rsidP="00DC2AF2">
      <w:pPr>
        <w:pStyle w:val="HChG"/>
      </w:pPr>
      <w:r w:rsidRPr="00132B47">
        <w:rPr>
          <w:lang w:val="fr-FR"/>
        </w:rPr>
        <w:lastRenderedPageBreak/>
        <w:tab/>
        <w:t>I.</w:t>
      </w:r>
      <w:r w:rsidRPr="00132B47">
        <w:rPr>
          <w:lang w:val="fr-FR"/>
        </w:rPr>
        <w:tab/>
        <w:t>Proposition</w:t>
      </w:r>
    </w:p>
    <w:p w14:paraId="16EA58ED" w14:textId="77777777" w:rsidR="00DC2AF2" w:rsidRPr="00132B47" w:rsidRDefault="00DC2AF2" w:rsidP="00DC2AF2">
      <w:pPr>
        <w:pStyle w:val="SingleTxtG"/>
        <w:rPr>
          <w:lang w:val="fr-FR"/>
        </w:rPr>
      </w:pPr>
      <w:r w:rsidRPr="00DC2AF2">
        <w:rPr>
          <w:i/>
          <w:iCs/>
          <w:lang w:val="fr-FR"/>
        </w:rPr>
        <w:t>Paragraphe 5.3.5</w:t>
      </w:r>
      <w:r w:rsidRPr="00132B47">
        <w:rPr>
          <w:lang w:val="fr-FR"/>
        </w:rPr>
        <w:t>, lire</w:t>
      </w:r>
      <w:r>
        <w:rPr>
          <w:lang w:val="fr-FR"/>
        </w:rPr>
        <w:t> :</w:t>
      </w:r>
    </w:p>
    <w:p w14:paraId="37623259" w14:textId="77777777" w:rsidR="00DC2AF2" w:rsidRPr="00132B47" w:rsidRDefault="00DC2AF2" w:rsidP="00DC2AF2">
      <w:pPr>
        <w:pStyle w:val="SingleTxtG"/>
        <w:ind w:left="2268" w:hanging="1134"/>
        <w:rPr>
          <w:rFonts w:eastAsia="Malgun Gothic"/>
        </w:rPr>
      </w:pPr>
      <w:r>
        <w:rPr>
          <w:lang w:val="fr-FR"/>
        </w:rPr>
        <w:t>« </w:t>
      </w:r>
      <w:r w:rsidRPr="00132B47">
        <w:rPr>
          <w:lang w:val="fr-FR"/>
        </w:rPr>
        <w:t>5.3.5.</w:t>
      </w:r>
      <w:r w:rsidRPr="00132B47">
        <w:rPr>
          <w:lang w:val="fr-FR"/>
        </w:rPr>
        <w:tab/>
        <w:t>S’il n’est pas possible à l’autorité d’homologation accordant une homologation de tenir compte des observations formulées en vertu du paragraphe</w:t>
      </w:r>
      <w:r>
        <w:rPr>
          <w:lang w:val="fr-FR"/>
        </w:rPr>
        <w:t xml:space="preserve"> </w:t>
      </w:r>
      <w:r w:rsidRPr="00132B47">
        <w:rPr>
          <w:lang w:val="fr-FR"/>
        </w:rPr>
        <w:t>5.3.4, les autorités d’homologation qui les ont transmises et celle qui accorde l’homologation doivent demander des éclaircissements en application de l’annexe</w:t>
      </w:r>
      <w:r>
        <w:rPr>
          <w:lang w:val="fr-FR"/>
        </w:rPr>
        <w:t xml:space="preserve"> </w:t>
      </w:r>
      <w:r w:rsidRPr="00132B47">
        <w:rPr>
          <w:lang w:val="fr-FR"/>
        </w:rPr>
        <w:t>6 de l’Accord de 1958. Le groupe de travail subsidiaire</w:t>
      </w:r>
      <w:r w:rsidRPr="00DC2AF2">
        <w:rPr>
          <w:rStyle w:val="FootnoteReference"/>
          <w:szCs w:val="18"/>
        </w:rPr>
        <w:footnoteReference w:id="3"/>
      </w:r>
      <w:r w:rsidRPr="00132B47">
        <w:rPr>
          <w:lang w:val="fr-FR"/>
        </w:rPr>
        <w:t xml:space="preserve"> du Forum mondial de l’harmonisation des Règlements concernant les véhicules (WP.29) chargé du présent Règlement doit convenir d’une interprétation commune des méthodes et critères d’évaluation</w:t>
      </w:r>
      <w:r w:rsidRPr="00DC2AF2">
        <w:rPr>
          <w:rStyle w:val="FootnoteReference"/>
          <w:szCs w:val="18"/>
        </w:rPr>
        <w:footnoteReference w:id="4"/>
      </w:r>
      <w:r w:rsidRPr="00132B47">
        <w:rPr>
          <w:lang w:val="fr-FR"/>
        </w:rPr>
        <w:t>. Cette interprétation commune devra être appliquée et toutes les autorités d’homologation devront délivrer des homologations de type au titre du présent Règlement en conséquence. Tant qu’une interprétation commune n’aura pas été arrêtée</w:t>
      </w:r>
      <w:r w:rsidRPr="00DC2AF2">
        <w:rPr>
          <w:b/>
          <w:bCs/>
          <w:lang w:val="fr-FR"/>
        </w:rPr>
        <w:t>, les</w:t>
      </w:r>
      <w:r w:rsidRPr="00132B47">
        <w:rPr>
          <w:b/>
          <w:bCs/>
          <w:lang w:val="fr-FR"/>
        </w:rPr>
        <w:t xml:space="preserve"> autorités d’homologation devront s’abstenir d’accorder des homologations de type en s’appuyant sur les observations formulées</w:t>
      </w:r>
      <w:r w:rsidRPr="00DC2AF2">
        <w:rPr>
          <w:lang w:val="fr-FR"/>
        </w:rPr>
        <w:t>. ».</w:t>
      </w:r>
    </w:p>
    <w:p w14:paraId="4D32474A" w14:textId="77777777" w:rsidR="00DC2AF2" w:rsidRPr="00132B47" w:rsidRDefault="00DC2AF2" w:rsidP="00DC2AF2">
      <w:pPr>
        <w:pStyle w:val="HChG"/>
      </w:pPr>
      <w:r>
        <w:rPr>
          <w:lang w:val="fr-FR"/>
        </w:rPr>
        <w:tab/>
      </w:r>
      <w:r w:rsidRPr="00132B47">
        <w:rPr>
          <w:lang w:val="fr-FR"/>
        </w:rPr>
        <w:t>II.</w:t>
      </w:r>
      <w:r w:rsidRPr="00132B47">
        <w:rPr>
          <w:lang w:val="fr-FR"/>
        </w:rPr>
        <w:tab/>
        <w:t>Justification</w:t>
      </w:r>
    </w:p>
    <w:p w14:paraId="1CE5BC40" w14:textId="77777777" w:rsidR="00DC2AF2" w:rsidRPr="00132B47" w:rsidRDefault="00DC2AF2" w:rsidP="00DC2AF2">
      <w:pPr>
        <w:pStyle w:val="SingleTxtG"/>
        <w:ind w:firstLine="567"/>
        <w:rPr>
          <w:rFonts w:asciiTheme="majorBidi" w:hAnsiTheme="majorBidi" w:cstheme="majorBidi"/>
        </w:rPr>
      </w:pPr>
      <w:r w:rsidRPr="00132B47">
        <w:rPr>
          <w:lang w:val="fr-FR"/>
        </w:rPr>
        <w:tab/>
        <w:t>Il peut être nécessaire de préciser les dispositions du paragraphe 5.3.5 en ce qui concerne la décision que doit prendre une autorité d’homologation lorsqu’elle ne peut pas tenir compte des observations formulées en application du paragraphe 5.3.4. Doit-elle aller de l’avant et accorder l’homologation ou en reporter l’octroi</w:t>
      </w:r>
      <w:r>
        <w:rPr>
          <w:lang w:val="fr-FR"/>
        </w:rPr>
        <w:t> </w:t>
      </w:r>
      <w:r w:rsidRPr="00132B47">
        <w:rPr>
          <w:lang w:val="fr-FR"/>
        </w:rPr>
        <w:t>? La présente proposition vise à préciser que l’autorité d’homologation doit reporter la délivrance de l’homologation jusqu’à ce que le point en cause ait fait l’objet d’une interprétation commune.</w:t>
      </w:r>
    </w:p>
    <w:p w14:paraId="347398FA" w14:textId="77777777" w:rsidR="00F9573C" w:rsidRPr="00DC2AF2" w:rsidRDefault="00DC2AF2" w:rsidP="00DC2AF2">
      <w:pPr>
        <w:pStyle w:val="SingleTxtG"/>
        <w:spacing w:before="240" w:after="0"/>
        <w:jc w:val="center"/>
        <w:rPr>
          <w:u w:val="single"/>
        </w:rPr>
      </w:pPr>
      <w:r>
        <w:rPr>
          <w:u w:val="single"/>
        </w:rPr>
        <w:tab/>
      </w:r>
      <w:r>
        <w:rPr>
          <w:u w:val="single"/>
        </w:rPr>
        <w:tab/>
      </w:r>
      <w:r>
        <w:rPr>
          <w:u w:val="single"/>
        </w:rPr>
        <w:tab/>
      </w:r>
      <w:r>
        <w:rPr>
          <w:u w:val="single"/>
        </w:rPr>
        <w:tab/>
      </w:r>
    </w:p>
    <w:sectPr w:rsidR="00F9573C" w:rsidRPr="00DC2AF2" w:rsidSect="00152213">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D0C5" w14:textId="77777777" w:rsidR="00A02181" w:rsidRDefault="00A02181" w:rsidP="00F95C08">
      <w:pPr>
        <w:spacing w:line="240" w:lineRule="auto"/>
      </w:pPr>
    </w:p>
  </w:endnote>
  <w:endnote w:type="continuationSeparator" w:id="0">
    <w:p w14:paraId="2668735C" w14:textId="77777777" w:rsidR="00A02181" w:rsidRPr="00AC3823" w:rsidRDefault="00A02181" w:rsidP="00AC3823">
      <w:pPr>
        <w:pStyle w:val="Footer"/>
      </w:pPr>
    </w:p>
  </w:endnote>
  <w:endnote w:type="continuationNotice" w:id="1">
    <w:p w14:paraId="759B0F27" w14:textId="77777777" w:rsidR="00A02181" w:rsidRDefault="00A021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BA7F" w14:textId="77777777" w:rsidR="00152213" w:rsidRPr="00152213" w:rsidRDefault="00152213" w:rsidP="00152213">
    <w:pPr>
      <w:pStyle w:val="Footer"/>
      <w:tabs>
        <w:tab w:val="right" w:pos="9638"/>
      </w:tabs>
    </w:pPr>
    <w:r w:rsidRPr="00152213">
      <w:rPr>
        <w:b/>
        <w:sz w:val="18"/>
      </w:rPr>
      <w:fldChar w:fldCharType="begin"/>
    </w:r>
    <w:r w:rsidRPr="00152213">
      <w:rPr>
        <w:b/>
        <w:sz w:val="18"/>
      </w:rPr>
      <w:instrText xml:space="preserve"> PAGE  \* MERGEFORMAT </w:instrText>
    </w:r>
    <w:r w:rsidRPr="00152213">
      <w:rPr>
        <w:b/>
        <w:sz w:val="18"/>
      </w:rPr>
      <w:fldChar w:fldCharType="separate"/>
    </w:r>
    <w:r w:rsidRPr="00152213">
      <w:rPr>
        <w:b/>
        <w:noProof/>
        <w:sz w:val="18"/>
      </w:rPr>
      <w:t>2</w:t>
    </w:r>
    <w:r w:rsidRPr="00152213">
      <w:rPr>
        <w:b/>
        <w:sz w:val="18"/>
      </w:rPr>
      <w:fldChar w:fldCharType="end"/>
    </w:r>
    <w:r>
      <w:rPr>
        <w:b/>
        <w:sz w:val="18"/>
      </w:rPr>
      <w:tab/>
    </w:r>
    <w:r>
      <w:t>GE.20-15668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AE5" w14:textId="77777777" w:rsidR="00152213" w:rsidRPr="00152213" w:rsidRDefault="00152213" w:rsidP="00152213">
    <w:pPr>
      <w:pStyle w:val="Footer"/>
      <w:tabs>
        <w:tab w:val="right" w:pos="9638"/>
      </w:tabs>
      <w:rPr>
        <w:b/>
        <w:sz w:val="18"/>
      </w:rPr>
    </w:pPr>
    <w:r>
      <w:t>GE.20-15668</w:t>
    </w:r>
    <w:r>
      <w:tab/>
    </w:r>
    <w:r w:rsidRPr="00152213">
      <w:rPr>
        <w:b/>
        <w:sz w:val="18"/>
      </w:rPr>
      <w:fldChar w:fldCharType="begin"/>
    </w:r>
    <w:r w:rsidRPr="00152213">
      <w:rPr>
        <w:b/>
        <w:sz w:val="18"/>
      </w:rPr>
      <w:instrText xml:space="preserve"> PAGE  \* MERGEFORMAT </w:instrText>
    </w:r>
    <w:r w:rsidRPr="00152213">
      <w:rPr>
        <w:b/>
        <w:sz w:val="18"/>
      </w:rPr>
      <w:fldChar w:fldCharType="separate"/>
    </w:r>
    <w:r w:rsidRPr="00152213">
      <w:rPr>
        <w:b/>
        <w:noProof/>
        <w:sz w:val="18"/>
      </w:rPr>
      <w:t>3</w:t>
    </w:r>
    <w:r w:rsidRPr="001522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946" w14:textId="77777777" w:rsidR="007F20FA" w:rsidRPr="00152213" w:rsidRDefault="00152213" w:rsidP="0015221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3A06281" wp14:editId="7AEFD13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20-15668  (F)</w:t>
    </w:r>
    <w:r>
      <w:rPr>
        <w:noProof/>
        <w:sz w:val="20"/>
      </w:rPr>
      <w:drawing>
        <wp:anchor distT="0" distB="0" distL="114300" distR="114300" simplePos="0" relativeHeight="251660288" behindDoc="0" locked="0" layoutInCell="1" allowOverlap="1" wp14:anchorId="5D3B2451" wp14:editId="40ED2DB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111220    111220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06F9E" w14:textId="77777777" w:rsidR="00A02181" w:rsidRPr="00AC3823" w:rsidRDefault="00A02181" w:rsidP="00AC3823">
      <w:pPr>
        <w:pStyle w:val="Footer"/>
        <w:tabs>
          <w:tab w:val="right" w:pos="2155"/>
        </w:tabs>
        <w:spacing w:after="80" w:line="240" w:lineRule="atLeast"/>
        <w:ind w:left="680"/>
        <w:rPr>
          <w:u w:val="single"/>
        </w:rPr>
      </w:pPr>
      <w:r>
        <w:rPr>
          <w:u w:val="single"/>
        </w:rPr>
        <w:tab/>
      </w:r>
    </w:p>
  </w:footnote>
  <w:footnote w:type="continuationSeparator" w:id="0">
    <w:p w14:paraId="28A47082" w14:textId="77777777" w:rsidR="00A02181" w:rsidRPr="00AC3823" w:rsidRDefault="00A02181" w:rsidP="00AC3823">
      <w:pPr>
        <w:pStyle w:val="Footer"/>
        <w:tabs>
          <w:tab w:val="right" w:pos="2155"/>
        </w:tabs>
        <w:spacing w:after="80" w:line="240" w:lineRule="atLeast"/>
        <w:ind w:left="680"/>
        <w:rPr>
          <w:u w:val="single"/>
        </w:rPr>
      </w:pPr>
      <w:r>
        <w:rPr>
          <w:u w:val="single"/>
        </w:rPr>
        <w:tab/>
      </w:r>
    </w:p>
  </w:footnote>
  <w:footnote w:type="continuationNotice" w:id="1">
    <w:p w14:paraId="218BB69C" w14:textId="77777777" w:rsidR="00A02181" w:rsidRPr="00AC3823" w:rsidRDefault="00A02181">
      <w:pPr>
        <w:spacing w:line="240" w:lineRule="auto"/>
        <w:rPr>
          <w:sz w:val="2"/>
          <w:szCs w:val="2"/>
        </w:rPr>
      </w:pPr>
    </w:p>
  </w:footnote>
  <w:footnote w:id="2">
    <w:p w14:paraId="66007E3B" w14:textId="77777777" w:rsidR="00DC2AF2" w:rsidRPr="00BB25A6" w:rsidRDefault="00DC2AF2" w:rsidP="00DC2AF2">
      <w:pPr>
        <w:pStyle w:val="FootnoteText"/>
      </w:pPr>
      <w:r w:rsidRPr="00DC2AF2">
        <w:tab/>
        <w:t>*</w:t>
      </w:r>
      <w:r w:rsidRPr="00DC2AF2">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3BF77DB8" w14:textId="77777777" w:rsidR="00DC2AF2" w:rsidRPr="00BB25A6" w:rsidRDefault="00DC2AF2" w:rsidP="00DC2AF2">
      <w:pPr>
        <w:pStyle w:val="FootnoteText"/>
      </w:pPr>
      <w:r>
        <w:rPr>
          <w:lang w:val="fr-FR"/>
        </w:rPr>
        <w:tab/>
      </w:r>
      <w:r w:rsidRPr="00132B47">
        <w:rPr>
          <w:rStyle w:val="FootnoteReference"/>
        </w:rPr>
        <w:footnoteRef/>
      </w:r>
      <w:r>
        <w:rPr>
          <w:lang w:val="fr-FR"/>
        </w:rPr>
        <w:tab/>
        <w:t>Groupe de travail des véhicules automatisés/autonomes et connectés (GRVA).</w:t>
      </w:r>
    </w:p>
  </w:footnote>
  <w:footnote w:id="4">
    <w:p w14:paraId="209EBEFB" w14:textId="77777777" w:rsidR="00DC2AF2" w:rsidRPr="00BB25A6" w:rsidRDefault="00DC2AF2" w:rsidP="00DC2AF2">
      <w:pPr>
        <w:pStyle w:val="FootnoteText"/>
      </w:pPr>
      <w:r>
        <w:rPr>
          <w:lang w:val="fr-FR"/>
        </w:rPr>
        <w:tab/>
      </w:r>
      <w:r w:rsidRPr="00132B47">
        <w:rPr>
          <w:rStyle w:val="FootnoteReference"/>
        </w:rPr>
        <w:footnoteRef/>
      </w:r>
      <w:r>
        <w:rPr>
          <w:lang w:val="fr-FR"/>
        </w:rPr>
        <w:tab/>
        <w:t>Cette interprétation doit être prise en compte dans le document d’interprétation mentionné dans la note de bas de page du paragraphe 5.3.3.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99EF" w14:textId="77777777" w:rsidR="00152213" w:rsidRPr="00152213" w:rsidRDefault="009376E2">
    <w:pPr>
      <w:pStyle w:val="Header"/>
    </w:pPr>
    <w:r>
      <w:fldChar w:fldCharType="begin"/>
    </w:r>
    <w:r>
      <w:instrText xml:space="preserve"> TITLE  \* MERGEFORMAT </w:instrText>
    </w:r>
    <w:r>
      <w:fldChar w:fldCharType="separate"/>
    </w:r>
    <w:r w:rsidR="00152213">
      <w:t>ECE/TRANS/WP.29/GRVA/2021/5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A279" w14:textId="77777777" w:rsidR="00152213" w:rsidRPr="00152213" w:rsidRDefault="009376E2" w:rsidP="00152213">
    <w:pPr>
      <w:pStyle w:val="Header"/>
      <w:jc w:val="right"/>
    </w:pPr>
    <w:r>
      <w:fldChar w:fldCharType="begin"/>
    </w:r>
    <w:r>
      <w:instrText xml:space="preserve"> TITLE  \* MERGEFORMAT </w:instrText>
    </w:r>
    <w:r>
      <w:fldChar w:fldCharType="separate"/>
    </w:r>
    <w:r w:rsidR="00152213">
      <w:t>ECE/TRANS/WP.29/GRVA/2021/5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81"/>
    <w:rsid w:val="00017F94"/>
    <w:rsid w:val="00023842"/>
    <w:rsid w:val="000334F9"/>
    <w:rsid w:val="00045FEB"/>
    <w:rsid w:val="0007796D"/>
    <w:rsid w:val="000B7790"/>
    <w:rsid w:val="00111F2F"/>
    <w:rsid w:val="0014365E"/>
    <w:rsid w:val="00143C66"/>
    <w:rsid w:val="00152213"/>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376E2"/>
    <w:rsid w:val="009446C0"/>
    <w:rsid w:val="009705C8"/>
    <w:rsid w:val="009C1CF4"/>
    <w:rsid w:val="009F6B74"/>
    <w:rsid w:val="00A02181"/>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C2AF2"/>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23294"/>
  <w15:docId w15:val="{97682FF3-8AC9-4686-A53C-E019183F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DC2AF2"/>
    <w:rPr>
      <w:rFonts w:ascii="Times New Roman" w:eastAsiaTheme="minorHAnsi" w:hAnsi="Times New Roman" w:cs="Times New Roman"/>
      <w:b/>
      <w:sz w:val="24"/>
      <w:szCs w:val="20"/>
      <w:lang w:eastAsia="en-US"/>
    </w:rPr>
  </w:style>
  <w:style w:type="character" w:customStyle="1" w:styleId="HChGChar">
    <w:name w:val="_ H _Ch_G Char"/>
    <w:link w:val="HChG"/>
    <w:rsid w:val="00DC2AF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5E3E4-3E2B-4707-93A4-4D4736A3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775EB-142D-4EAD-B8AA-D8A227580BE2}">
  <ds:schemaRefs>
    <ds:schemaRef ds:uri="http://schemas.microsoft.com/sharepoint/v3/contenttype/forms"/>
  </ds:schemaRefs>
</ds:datastoreItem>
</file>

<file path=customXml/itemProps3.xml><?xml version="1.0" encoding="utf-8"?>
<ds:datastoreItem xmlns:ds="http://schemas.openxmlformats.org/officeDocument/2006/customXml" ds:itemID="{1D64D92B-E3D6-4B04-89E5-19525B59D6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ECE/TRANS/WP.29/GRVA/2021/5</dc:title>
  <dc:subject/>
  <dc:creator>Nicolas MORIN</dc:creator>
  <cp:keywords/>
  <cp:lastModifiedBy>Benedicte Boudol</cp:lastModifiedBy>
  <cp:revision>2</cp:revision>
  <cp:lastPrinted>2014-05-14T10:59:00Z</cp:lastPrinted>
  <dcterms:created xsi:type="dcterms:W3CDTF">2021-01-27T08:51:00Z</dcterms:created>
  <dcterms:modified xsi:type="dcterms:W3CDTF">2021-01-27T08:51:00Z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