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7D6AD1D3" w:rsidR="009E6CB7" w:rsidRPr="00FF02F5" w:rsidRDefault="00352FFA" w:rsidP="00954785">
            <w:pPr>
              <w:jc w:val="right"/>
            </w:pPr>
            <w:r w:rsidRPr="00352FFA">
              <w:rPr>
                <w:sz w:val="40"/>
              </w:rPr>
              <w:t>ECE</w:t>
            </w:r>
            <w:r>
              <w:t>/TRANS/2021/5</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7607C5F9" w:rsidR="00954785" w:rsidRPr="00FF02F5" w:rsidRDefault="00AE3379" w:rsidP="00954785">
            <w:pPr>
              <w:spacing w:line="240" w:lineRule="exact"/>
            </w:pPr>
            <w:r>
              <w:t>4</w:t>
            </w:r>
            <w:r w:rsidR="009662CD">
              <w:t xml:space="preserve"> </w:t>
            </w:r>
            <w:r>
              <w:t xml:space="preserve">January </w:t>
            </w:r>
            <w:r w:rsidR="00954785" w:rsidRPr="00FF02F5">
              <w:t>20</w:t>
            </w:r>
            <w:r w:rsidR="006B3ABA">
              <w:t>2</w:t>
            </w:r>
            <w:r>
              <w:t>1</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2BEAC26F" w:rsidR="00250503" w:rsidRPr="00FF02F5" w:rsidRDefault="00250503" w:rsidP="00250503">
      <w:pPr>
        <w:spacing w:before="120"/>
        <w:rPr>
          <w:b/>
          <w:bCs/>
        </w:rPr>
      </w:pPr>
      <w:r w:rsidRPr="00FF02F5">
        <w:rPr>
          <w:b/>
          <w:bCs/>
        </w:rPr>
        <w:t>Eighty-</w:t>
      </w:r>
      <w:r w:rsidR="006B3ABA">
        <w:rPr>
          <w:b/>
          <w:bCs/>
        </w:rPr>
        <w:t>third</w:t>
      </w:r>
      <w:r w:rsidRPr="00FF02F5">
        <w:rPr>
          <w:b/>
          <w:bCs/>
        </w:rPr>
        <w:t xml:space="preserve"> session</w:t>
      </w:r>
    </w:p>
    <w:p w14:paraId="60899351" w14:textId="3D1A3057" w:rsidR="00250503" w:rsidRPr="00FF02F5" w:rsidRDefault="00250503" w:rsidP="0059705D">
      <w:pPr>
        <w:rPr>
          <w:b/>
          <w:bCs/>
        </w:rPr>
      </w:pPr>
      <w:r w:rsidRPr="00FF02F5">
        <w:t>Geneva, 2</w:t>
      </w:r>
      <w:r w:rsidR="006B3ABA">
        <w:t>3</w:t>
      </w:r>
      <w:r w:rsidR="00AE3379">
        <w:t>–</w:t>
      </w:r>
      <w:r w:rsidRPr="00FF02F5">
        <w:t>2</w:t>
      </w:r>
      <w:r w:rsidR="006B3ABA">
        <w:t>6</w:t>
      </w:r>
      <w:r w:rsidRPr="00FF02F5">
        <w:t xml:space="preserve"> February 202</w:t>
      </w:r>
      <w:r w:rsidR="006B3ABA">
        <w:t>1</w:t>
      </w:r>
      <w:r w:rsidRPr="00FF02F5">
        <w:br/>
        <w:t xml:space="preserve">Item </w:t>
      </w:r>
      <w:r w:rsidR="009662CD">
        <w:t>4</w:t>
      </w:r>
      <w:r w:rsidRPr="00FF02F5">
        <w:t xml:space="preserve"> of the provisional agenda</w:t>
      </w:r>
      <w:r w:rsidRPr="00FF02F5">
        <w:br/>
      </w:r>
      <w:r w:rsidR="0059705D" w:rsidRPr="0059705D">
        <w:rPr>
          <w:b/>
          <w:bCs/>
        </w:rPr>
        <w:t xml:space="preserve">Governance issues and other matters arising from </w:t>
      </w:r>
      <w:r w:rsidR="0059705D">
        <w:rPr>
          <w:b/>
          <w:bCs/>
        </w:rPr>
        <w:br/>
      </w:r>
      <w:r w:rsidR="0059705D" w:rsidRPr="0059705D">
        <w:rPr>
          <w:b/>
          <w:bCs/>
        </w:rPr>
        <w:t xml:space="preserve">the United Nations Economic Commission for Europe, </w:t>
      </w:r>
      <w:r w:rsidR="0059705D">
        <w:rPr>
          <w:b/>
          <w:bCs/>
        </w:rPr>
        <w:br/>
      </w:r>
      <w:r w:rsidR="0059705D" w:rsidRPr="0059705D">
        <w:rPr>
          <w:b/>
          <w:bCs/>
        </w:rPr>
        <w:t xml:space="preserve">the Economic and Social Council and </w:t>
      </w:r>
      <w:r w:rsidR="0059705D">
        <w:rPr>
          <w:b/>
          <w:bCs/>
        </w:rPr>
        <w:br/>
      </w:r>
      <w:r w:rsidR="0059705D" w:rsidRPr="0059705D">
        <w:rPr>
          <w:b/>
          <w:bCs/>
        </w:rPr>
        <w:t>other United Nations bodies and Conferences</w:t>
      </w:r>
    </w:p>
    <w:p w14:paraId="3008C724" w14:textId="2D3EF200" w:rsidR="009662CD" w:rsidRPr="00857398" w:rsidRDefault="00250503" w:rsidP="003C5768">
      <w:pPr>
        <w:pStyle w:val="HChG"/>
      </w:pPr>
      <w:r w:rsidRPr="00FF02F5">
        <w:tab/>
      </w:r>
      <w:r w:rsidRPr="00FF02F5">
        <w:tab/>
      </w:r>
      <w:r w:rsidR="009662CD" w:rsidRPr="000630DD">
        <w:tab/>
      </w:r>
      <w:r w:rsidR="009662CD" w:rsidRPr="00C329DA">
        <w:t xml:space="preserve">Impacts of COVID-19 </w:t>
      </w:r>
      <w:r w:rsidR="009662CD">
        <w:t xml:space="preserve">and the liquidity crisis </w:t>
      </w:r>
      <w:r w:rsidR="009662CD" w:rsidRPr="00C329DA">
        <w:t xml:space="preserve">on the transport </w:t>
      </w:r>
      <w:r w:rsidR="009662CD">
        <w:t>sub</w:t>
      </w:r>
      <w:r w:rsidR="009662CD" w:rsidRPr="00C329DA">
        <w:t>programme</w:t>
      </w:r>
      <w:r w:rsidR="009662CD">
        <w:t>’s</w:t>
      </w:r>
      <w:r w:rsidR="009662CD" w:rsidRPr="00C329DA">
        <w:t xml:space="preserve"> work</w:t>
      </w:r>
      <w:r w:rsidR="009662CD">
        <w:t xml:space="preserve"> </w:t>
      </w:r>
    </w:p>
    <w:p w14:paraId="4EBD329B" w14:textId="77777777" w:rsidR="003C5768" w:rsidRPr="007470B0" w:rsidRDefault="009662CD" w:rsidP="003C5768">
      <w:pPr>
        <w:pStyle w:val="H1G"/>
      </w:pPr>
      <w:r w:rsidRPr="00857398">
        <w:tab/>
      </w:r>
      <w:r w:rsidRPr="00857398">
        <w:tab/>
      </w:r>
      <w:r w:rsidR="003C5768" w:rsidRPr="007470B0">
        <w:tab/>
        <w:t>Note by the secretariat</w:t>
      </w:r>
      <w:r w:rsidR="003C5768" w:rsidRPr="00887276">
        <w:rPr>
          <w:rStyle w:val="FootnoteReference"/>
          <w:sz w:val="20"/>
          <w:vertAlign w:val="baseline"/>
        </w:rPr>
        <w:footnoteReference w:customMarkFollows="1" w:id="2"/>
        <w:t>*</w:t>
      </w:r>
    </w:p>
    <w:p w14:paraId="51B9C3B2" w14:textId="4B4B3E99" w:rsidR="009662CD" w:rsidRPr="00857398" w:rsidRDefault="009662CD" w:rsidP="003C5768">
      <w:pPr>
        <w:pStyle w:val="HChG"/>
      </w:pPr>
      <w:r w:rsidRPr="00857398">
        <w:tab/>
        <w:t>I.</w:t>
      </w:r>
      <w:r w:rsidRPr="00857398">
        <w:tab/>
        <w:t>Background</w:t>
      </w:r>
      <w:r>
        <w:t xml:space="preserve"> </w:t>
      </w:r>
    </w:p>
    <w:p w14:paraId="5E956CA3" w14:textId="6AF0EE77" w:rsidR="009662CD" w:rsidRDefault="009662CD" w:rsidP="00FF05FA">
      <w:pPr>
        <w:pStyle w:val="SingleTxtG"/>
      </w:pPr>
      <w:r w:rsidRPr="00857398">
        <w:t>1.</w:t>
      </w:r>
      <w:r w:rsidRPr="00857398">
        <w:tab/>
      </w:r>
      <w:r>
        <w:t xml:space="preserve">Following the declaration on 16 March </w:t>
      </w:r>
      <w:r w:rsidR="00BC0DAC">
        <w:t>2020</w:t>
      </w:r>
      <w:r>
        <w:t xml:space="preserve"> by the Swiss authorities of an </w:t>
      </w:r>
      <w:r w:rsidRPr="0074285A">
        <w:t>“Extraordinary Situation” in Switzerland</w:t>
      </w:r>
      <w:r>
        <w:t xml:space="preserve">, </w:t>
      </w:r>
      <w:r w:rsidRPr="0074285A">
        <w:t xml:space="preserve">due to the increasing number of coronavirus cases in </w:t>
      </w:r>
      <w:r>
        <w:t>the country,</w:t>
      </w:r>
      <w:r w:rsidRPr="0074285A">
        <w:t xml:space="preserve"> all public and private events</w:t>
      </w:r>
      <w:r>
        <w:t xml:space="preserve">, international meetings and other services provided by the United Nations secretariat, including </w:t>
      </w:r>
      <w:r w:rsidR="00771444">
        <w:t>the United Nations Economic Commission for Europe (</w:t>
      </w:r>
      <w:r>
        <w:t>UNECE</w:t>
      </w:r>
      <w:r w:rsidR="00771444">
        <w:t>)</w:t>
      </w:r>
      <w:r>
        <w:t>, were impacted</w:t>
      </w:r>
      <w:r w:rsidRPr="0074285A">
        <w:t xml:space="preserve">. </w:t>
      </w:r>
      <w:r>
        <w:t xml:space="preserve">While the host government decided on 27 May an extensive easing of measure as of 6 June, the extensive backlog of meetings and existing travel restrictions around the world have been impacting the ability of the secretariat to fully deliver the transport subprogramme’s work. </w:t>
      </w:r>
    </w:p>
    <w:p w14:paraId="2575956A" w14:textId="5E95F20F" w:rsidR="009662CD" w:rsidRDefault="009662CD" w:rsidP="00FF05FA">
      <w:pPr>
        <w:pStyle w:val="SingleTxtG"/>
      </w:pPr>
      <w:r>
        <w:t>2.</w:t>
      </w:r>
      <w:r>
        <w:tab/>
        <w:t>Furthermore, in a note dated 19 August 2020,</w:t>
      </w:r>
      <w:r w:rsidR="00DB417A">
        <w:t xml:space="preserve"> </w:t>
      </w:r>
      <w:r>
        <w:t xml:space="preserve">the Secretary of the Economic Commission for Europe informed the secretariat that, </w:t>
      </w:r>
      <w:r w:rsidRPr="00C9763E">
        <w:t xml:space="preserve">faced with an unprecedented situation </w:t>
      </w:r>
      <w:r>
        <w:t xml:space="preserve">due to the COVID-19 pandemic, the liquidity crisis and the </w:t>
      </w:r>
      <w:r w:rsidR="00771444">
        <w:t>Strategic Heritage Plan (</w:t>
      </w:r>
      <w:r>
        <w:t>SHP</w:t>
      </w:r>
      <w:r w:rsidR="00771444">
        <w:t>)</w:t>
      </w:r>
      <w:r>
        <w:t xml:space="preserve">, UNECE would </w:t>
      </w:r>
      <w:r w:rsidRPr="00C9763E">
        <w:t>have to severely limit meeting activities for the remainder of 2020</w:t>
      </w:r>
      <w:r>
        <w:t>. The key parameters were identified by UNOG Conference Management Services as follows:</w:t>
      </w:r>
    </w:p>
    <w:p w14:paraId="2AF1C213" w14:textId="62A85C2D" w:rsidR="009662CD" w:rsidRDefault="00A25698" w:rsidP="00A25698">
      <w:pPr>
        <w:pStyle w:val="Bullet1G"/>
        <w:numPr>
          <w:ilvl w:val="0"/>
          <w:numId w:val="0"/>
        </w:numPr>
        <w:tabs>
          <w:tab w:val="left" w:pos="1701"/>
        </w:tabs>
        <w:ind w:left="1701" w:hanging="170"/>
      </w:pPr>
      <w:r>
        <w:t>•</w:t>
      </w:r>
      <w:r>
        <w:tab/>
      </w:r>
      <w:r w:rsidR="009662CD">
        <w:t>Cancelled/postponed sessions cannot be fully replaced with virtual/hybrid meetings</w:t>
      </w:r>
    </w:p>
    <w:p w14:paraId="17AF2015" w14:textId="6946F816" w:rsidR="009662CD" w:rsidRDefault="00A25698" w:rsidP="00A25698">
      <w:pPr>
        <w:pStyle w:val="Bullet1G"/>
        <w:numPr>
          <w:ilvl w:val="0"/>
          <w:numId w:val="0"/>
        </w:numPr>
        <w:tabs>
          <w:tab w:val="left" w:pos="1701"/>
        </w:tabs>
        <w:ind w:left="1701" w:hanging="170"/>
      </w:pPr>
      <w:r>
        <w:t>•</w:t>
      </w:r>
      <w:r>
        <w:tab/>
      </w:r>
      <w:r w:rsidR="009662CD">
        <w:t>Virtual/hybrid events have higher cost due to capacity limitations and complexity associated with new meeting approaches</w:t>
      </w:r>
    </w:p>
    <w:p w14:paraId="346E7C8D" w14:textId="2650151E" w:rsidR="009662CD" w:rsidRDefault="00A25698" w:rsidP="00A25698">
      <w:pPr>
        <w:pStyle w:val="Bullet1G"/>
        <w:numPr>
          <w:ilvl w:val="0"/>
          <w:numId w:val="0"/>
        </w:numPr>
        <w:tabs>
          <w:tab w:val="left" w:pos="1701"/>
        </w:tabs>
        <w:ind w:left="1701" w:hanging="170"/>
      </w:pPr>
      <w:r>
        <w:t>•</w:t>
      </w:r>
      <w:r>
        <w:tab/>
      </w:r>
      <w:r w:rsidR="009662CD">
        <w:t>Client contributions towards the use of the [hybrid] platform may become necessary, given the liquidity situation</w:t>
      </w:r>
    </w:p>
    <w:p w14:paraId="0DAD0C89" w14:textId="632BE72A" w:rsidR="009662CD" w:rsidRDefault="00A25698" w:rsidP="00A25698">
      <w:pPr>
        <w:pStyle w:val="Bullet1G"/>
        <w:numPr>
          <w:ilvl w:val="0"/>
          <w:numId w:val="0"/>
        </w:numPr>
        <w:tabs>
          <w:tab w:val="left" w:pos="1701"/>
        </w:tabs>
        <w:ind w:left="1701" w:hanging="170"/>
      </w:pPr>
      <w:r>
        <w:t>•</w:t>
      </w:r>
      <w:r>
        <w:tab/>
      </w:r>
      <w:r w:rsidR="009662CD">
        <w:t>Reduced two-hour duration of virtual/hybrid meetings with interpretation</w:t>
      </w:r>
    </w:p>
    <w:p w14:paraId="42C6990B" w14:textId="20010BBC" w:rsidR="009662CD" w:rsidRDefault="00A25698" w:rsidP="00A25698">
      <w:pPr>
        <w:pStyle w:val="Bullet1G"/>
        <w:numPr>
          <w:ilvl w:val="0"/>
          <w:numId w:val="0"/>
        </w:numPr>
        <w:tabs>
          <w:tab w:val="left" w:pos="1701"/>
        </w:tabs>
        <w:ind w:left="1701" w:hanging="170"/>
      </w:pPr>
      <w:r>
        <w:lastRenderedPageBreak/>
        <w:t>•</w:t>
      </w:r>
      <w:r>
        <w:tab/>
      </w:r>
      <w:r w:rsidR="009662CD">
        <w:t>Cuts in services will be necessary, starting in September, and are likely to impact the availability of meeting rooms and related services at the Palais des Nations</w:t>
      </w:r>
    </w:p>
    <w:p w14:paraId="57EA1A74" w14:textId="2D5E9183" w:rsidR="009662CD" w:rsidRDefault="00A25698" w:rsidP="00A25698">
      <w:pPr>
        <w:pStyle w:val="Bullet1G"/>
        <w:numPr>
          <w:ilvl w:val="0"/>
          <w:numId w:val="0"/>
        </w:numPr>
        <w:tabs>
          <w:tab w:val="left" w:pos="1701"/>
        </w:tabs>
        <w:ind w:left="1701" w:hanging="170"/>
      </w:pPr>
      <w:r>
        <w:t>•</w:t>
      </w:r>
      <w:r>
        <w:tab/>
      </w:r>
      <w:r w:rsidR="009662CD" w:rsidRPr="008C6D7E">
        <w:t xml:space="preserve">UNOG can accommodate at most one UNECE in-person </w:t>
      </w:r>
      <w:r w:rsidR="00771444">
        <w:t>Regular Budget (</w:t>
      </w:r>
      <w:r w:rsidR="009662CD" w:rsidRPr="008C6D7E">
        <w:t>RB</w:t>
      </w:r>
      <w:r w:rsidR="00771444">
        <w:t>)</w:t>
      </w:r>
      <w:r w:rsidR="009662CD" w:rsidRPr="008C6D7E">
        <w:t xml:space="preserve"> event with interpretation per day (one 3-hour meeting in the morning and one in the afternoon).</w:t>
      </w:r>
      <w:r w:rsidR="009662CD">
        <w:t xml:space="preserve"> The standard support under normal conditions was 3 RB events with interpretation per day, i.e. three </w:t>
      </w:r>
      <w:r w:rsidR="009662CD" w:rsidRPr="001F42EE">
        <w:t>3-hour meeting</w:t>
      </w:r>
      <w:r w:rsidR="009662CD">
        <w:t>s</w:t>
      </w:r>
      <w:r w:rsidR="009662CD" w:rsidRPr="001F42EE">
        <w:t xml:space="preserve"> in the morning and </w:t>
      </w:r>
      <w:r w:rsidR="009662CD">
        <w:t xml:space="preserve">three </w:t>
      </w:r>
      <w:r w:rsidR="009662CD" w:rsidRPr="001F42EE">
        <w:t>in the afternoon</w:t>
      </w:r>
      <w:r w:rsidR="009662CD">
        <w:t xml:space="preserve">. </w:t>
      </w:r>
    </w:p>
    <w:p w14:paraId="4B05BDB7" w14:textId="77777777" w:rsidR="009662CD" w:rsidRDefault="009662CD" w:rsidP="00FF05FA">
      <w:pPr>
        <w:pStyle w:val="SingleTxtG"/>
      </w:pPr>
      <w:r>
        <w:t>3.</w:t>
      </w:r>
      <w:r>
        <w:tab/>
        <w:t>This note summarizes (a) “business continuity” adjustment measures put in place by the secretariat in order to ensure continued delivery on the key mandates entrusted to it, even under pandemic conditions, and (b) the impacts of COVID-19 and the liquidity crisis on the transport subprogramme’s work.</w:t>
      </w:r>
    </w:p>
    <w:p w14:paraId="364BECB3" w14:textId="184F5628" w:rsidR="009662CD" w:rsidRDefault="009662CD" w:rsidP="009662CD">
      <w:pPr>
        <w:pStyle w:val="SingleTxtG"/>
      </w:pPr>
      <w:r>
        <w:t>4.</w:t>
      </w:r>
      <w:r>
        <w:tab/>
        <w:t xml:space="preserve">The Committee is </w:t>
      </w:r>
      <w:r w:rsidRPr="009662CD">
        <w:rPr>
          <w:b/>
          <w:bCs/>
        </w:rPr>
        <w:t>invited to take note</w:t>
      </w:r>
      <w:r>
        <w:t xml:space="preserve"> of this information.</w:t>
      </w:r>
    </w:p>
    <w:p w14:paraId="19C452FD" w14:textId="77777777" w:rsidR="009662CD" w:rsidRDefault="009662CD" w:rsidP="00FF05FA">
      <w:pPr>
        <w:pStyle w:val="HChG"/>
      </w:pPr>
      <w:r w:rsidRPr="00857398">
        <w:tab/>
        <w:t>I</w:t>
      </w:r>
      <w:r>
        <w:t>I</w:t>
      </w:r>
      <w:r w:rsidRPr="00857398">
        <w:t>.</w:t>
      </w:r>
      <w:r w:rsidRPr="00857398">
        <w:tab/>
      </w:r>
      <w:r>
        <w:t xml:space="preserve">Adjustment measures </w:t>
      </w:r>
    </w:p>
    <w:p w14:paraId="1BB08416" w14:textId="77777777" w:rsidR="009662CD" w:rsidRPr="0017743B" w:rsidRDefault="009662CD" w:rsidP="00FF05FA">
      <w:pPr>
        <w:pStyle w:val="H1G"/>
      </w:pPr>
      <w:r w:rsidRPr="0017743B">
        <w:tab/>
        <w:t>A.</w:t>
      </w:r>
      <w:r w:rsidRPr="0017743B">
        <w:tab/>
        <w:t>Special procedures during the COVID-19 period</w:t>
      </w:r>
    </w:p>
    <w:p w14:paraId="5DC8011A" w14:textId="09E9AE90" w:rsidR="009662CD" w:rsidRDefault="009662CD" w:rsidP="00FF05FA">
      <w:pPr>
        <w:pStyle w:val="SingleTxtG"/>
      </w:pPr>
      <w:r>
        <w:t>5.</w:t>
      </w:r>
      <w:r>
        <w:tab/>
        <w:t>In response to the virtual halting of all United Nations intergovernmental meetings in Geneva due to the COVID-19 pandemic and with a view to ensuring continuity of service, the Executive Committee (EXCOM) of UNECE adopted on 6 April 2020 the “</w:t>
      </w:r>
      <w:bookmarkStart w:id="0" w:name="_Hlk42787499"/>
      <w:r>
        <w:t>Special Procedures during the COVID-19 period</w:t>
      </w:r>
      <w:bookmarkEnd w:id="0"/>
      <w:r>
        <w:t>”.</w:t>
      </w:r>
      <w:r w:rsidR="00DB417A">
        <w:t xml:space="preserve"> </w:t>
      </w:r>
      <w:r w:rsidRPr="00172457">
        <w:t xml:space="preserve">Paragraph 6 of that decision </w:t>
      </w:r>
      <w:r>
        <w:t>e</w:t>
      </w:r>
      <w:r w:rsidRPr="00172457">
        <w:t>ncourage</w:t>
      </w:r>
      <w:r>
        <w:t>d</w:t>
      </w:r>
      <w:r w:rsidRPr="00172457">
        <w:t xml:space="preserve"> the subsidiary bodies of UNECE to explore</w:t>
      </w:r>
      <w:r>
        <w:t xml:space="preserve"> </w:t>
      </w:r>
      <w:r w:rsidRPr="00172457">
        <w:t>innovative formats to conduct business remotely</w:t>
      </w:r>
      <w:r>
        <w:t>, including, o</w:t>
      </w:r>
      <w:r w:rsidRPr="00172457">
        <w:t>n an exceptional basis and for business-critical issues</w:t>
      </w:r>
      <w:r>
        <w:t xml:space="preserve">, </w:t>
      </w:r>
      <w:r w:rsidRPr="00172457">
        <w:t xml:space="preserve">decision-making through written consultations and silence procedure outside the regular sessions of the respective bodies. </w:t>
      </w:r>
    </w:p>
    <w:p w14:paraId="5CDF3CBA" w14:textId="2C51CA18" w:rsidR="009662CD" w:rsidRDefault="009662CD" w:rsidP="00FF05FA">
      <w:pPr>
        <w:pStyle w:val="SingleTxtG"/>
      </w:pPr>
      <w:r>
        <w:t>6.</w:t>
      </w:r>
      <w:r>
        <w:tab/>
      </w:r>
      <w:r w:rsidRPr="00172457">
        <w:t>In this regard, the Bureau</w:t>
      </w:r>
      <w:r>
        <w:t xml:space="preserve"> of the Inland Transport Committee</w:t>
      </w:r>
      <w:r w:rsidR="00771444">
        <w:t xml:space="preserve"> (ITC)</w:t>
      </w:r>
      <w:r w:rsidRPr="00172457">
        <w:t>, supported by the secretariat, propose</w:t>
      </w:r>
      <w:r>
        <w:t>d</w:t>
      </w:r>
      <w:r w:rsidRPr="00172457">
        <w:t xml:space="preserve"> for approval by the Executive Committee specific modalities </w:t>
      </w:r>
      <w:r>
        <w:t xml:space="preserve">for ITC subsidiary bodies </w:t>
      </w:r>
      <w:r w:rsidRPr="00172457">
        <w:t>in line with the modalities approved by the Executive Committee</w:t>
      </w:r>
      <w:r>
        <w:t xml:space="preserve"> (see Annex</w:t>
      </w:r>
      <w:r w:rsidR="00DF3BFB">
        <w:t xml:space="preserve"> I</w:t>
      </w:r>
      <w:r>
        <w:t>)</w:t>
      </w:r>
      <w:r w:rsidRPr="00172457">
        <w:t xml:space="preserve">. </w:t>
      </w:r>
      <w:r>
        <w:t>These modalities covered the convening of informal consultations of ITC subsidiary bodies during the period where the Special Procedures apply, to allow them to discuss matters of crucial importance for the continuity of their work under the exceptional circumstances triggered by the COVID-19 pandemic</w:t>
      </w:r>
      <w:r w:rsidRPr="00172457">
        <w:t xml:space="preserve"> These modalities </w:t>
      </w:r>
      <w:r>
        <w:t>were approved by EXCOM on 20 May 2020 (</w:t>
      </w:r>
      <w:hyperlink r:id="rId11" w:history="1">
        <w:r w:rsidRPr="00357FB2">
          <w:rPr>
            <w:rStyle w:val="Hyperlink"/>
          </w:rPr>
          <w:t>Decision No. 5</w:t>
        </w:r>
      </w:hyperlink>
      <w:r>
        <w:t>), and formally adopted at its meeting on 5 October 2020.</w:t>
      </w:r>
    </w:p>
    <w:p w14:paraId="7B299631" w14:textId="32E7A7C8" w:rsidR="009662CD" w:rsidRDefault="009662CD" w:rsidP="00FF05FA">
      <w:pPr>
        <w:pStyle w:val="SingleTxtG"/>
      </w:pPr>
      <w:r>
        <w:t>7.</w:t>
      </w:r>
      <w:r>
        <w:tab/>
        <w:t xml:space="preserve">Furthermore, EXCOM at its meeting on 5 October 2020 adopted special procedures on decision-making for </w:t>
      </w:r>
      <w:r w:rsidRPr="00DC68E5">
        <w:rPr>
          <w:i/>
          <w:iCs/>
        </w:rPr>
        <w:t>formal</w:t>
      </w:r>
      <w:r>
        <w:t xml:space="preserve"> meetings with remote participation with immediate effect and through at least until December 2020 (</w:t>
      </w:r>
      <w:hyperlink r:id="rId12" w:history="1">
        <w:r w:rsidRPr="00823A1F">
          <w:rPr>
            <w:rStyle w:val="Hyperlink"/>
          </w:rPr>
          <w:t>ECE/EX/2020/L.12</w:t>
        </w:r>
      </w:hyperlink>
      <w:r>
        <w:t>). These procedures apply to Sectoral Committees, bodies reporting directly to EXCOM, and Working Parties.</w:t>
      </w:r>
    </w:p>
    <w:p w14:paraId="0573C1DA" w14:textId="77777777" w:rsidR="009662CD" w:rsidRPr="0017743B" w:rsidRDefault="009662CD" w:rsidP="00FF05FA">
      <w:pPr>
        <w:pStyle w:val="H1G"/>
      </w:pPr>
      <w:r>
        <w:tab/>
      </w:r>
      <w:r w:rsidRPr="0017743B">
        <w:t>B.</w:t>
      </w:r>
      <w:r w:rsidRPr="0017743B">
        <w:tab/>
        <w:t>Cancellation, postponements</w:t>
      </w:r>
      <w:r>
        <w:t>,</w:t>
      </w:r>
      <w:r w:rsidRPr="0017743B">
        <w:t xml:space="preserve"> </w:t>
      </w:r>
      <w:r>
        <w:t>informal/remote (virtual) meetings, and combined informal/formal events</w:t>
      </w:r>
    </w:p>
    <w:p w14:paraId="44E078F9" w14:textId="77777777" w:rsidR="009662CD" w:rsidRDefault="009662CD" w:rsidP="00FF05FA">
      <w:pPr>
        <w:pStyle w:val="SingleTxtG"/>
      </w:pPr>
      <w:r>
        <w:t>8.</w:t>
      </w:r>
      <w:r>
        <w:tab/>
        <w:t>D</w:t>
      </w:r>
      <w:r w:rsidRPr="00603D97">
        <w:t xml:space="preserve">ue to the </w:t>
      </w:r>
      <w:r>
        <w:t xml:space="preserve">extraordinary circumstances outlined above, several planned meetings of UNECE sectoral committees and their subsidiary bodies were rescheduled or cancelled. </w:t>
      </w:r>
    </w:p>
    <w:p w14:paraId="728DCBCF" w14:textId="10CF824E" w:rsidR="009662CD" w:rsidRDefault="009662CD" w:rsidP="00FF05FA">
      <w:pPr>
        <w:pStyle w:val="SingleTxtG"/>
      </w:pPr>
      <w:r>
        <w:t>9.</w:t>
      </w:r>
      <w:r>
        <w:tab/>
        <w:t>Furthermore, in response to the above situation</w:t>
      </w:r>
      <w:r w:rsidRPr="00603D97">
        <w:t xml:space="preserve">, </w:t>
      </w:r>
      <w:r>
        <w:t xml:space="preserve">and in full compliance with the EXCOM decision on special procedures for ITC subsidiary bodies, </w:t>
      </w:r>
      <w:r w:rsidRPr="00603D97">
        <w:t xml:space="preserve">several meetings </w:t>
      </w:r>
      <w:r>
        <w:t>were held</w:t>
      </w:r>
      <w:r w:rsidRPr="00603D97">
        <w:t xml:space="preserve"> </w:t>
      </w:r>
      <w:r>
        <w:t>v</w:t>
      </w:r>
      <w:r w:rsidRPr="00603D97">
        <w:t>irtually</w:t>
      </w:r>
      <w:r>
        <w:t xml:space="preserve"> under the special procedures to ensure business continuity.</w:t>
      </w:r>
    </w:p>
    <w:p w14:paraId="44D0BEDB" w14:textId="678C3ECC" w:rsidR="009662CD" w:rsidRDefault="009662CD" w:rsidP="00FF05FA">
      <w:pPr>
        <w:pStyle w:val="SingleTxtG"/>
      </w:pPr>
      <w:r>
        <w:t>10.</w:t>
      </w:r>
      <w:r>
        <w:tab/>
        <w:t xml:space="preserve">Due to severe additional limitations imposed in August 2020, starting September 2020, several meetings were either shortened, due to the limited time available to them under hybrid status. Moreover, some planned meetings were held as “combined” events, partly held under informal status and partly as formal meetings, as a result of intra-UNECE, cross-divisional negotiations, in order to accommodate as many subprogrammes as possible under </w:t>
      </w:r>
      <w:r>
        <w:lastRenderedPageBreak/>
        <w:t xml:space="preserve">UNOG’s restricted service quota of “one UNECE event per day”. </w:t>
      </w:r>
      <w:r w:rsidR="00DF3BFB">
        <w:t>For a more detailed chronology, see Annex II.</w:t>
      </w:r>
    </w:p>
    <w:p w14:paraId="1736BEBD" w14:textId="77777777" w:rsidR="009662CD" w:rsidRPr="0017743B" w:rsidRDefault="009662CD" w:rsidP="00FF05FA">
      <w:pPr>
        <w:pStyle w:val="H1G"/>
      </w:pPr>
      <w:r>
        <w:tab/>
        <w:t>C</w:t>
      </w:r>
      <w:r w:rsidRPr="0017743B">
        <w:t>.</w:t>
      </w:r>
      <w:r w:rsidRPr="0017743B">
        <w:tab/>
      </w:r>
      <w:r>
        <w:t>Additional/new activities due to COVID-19</w:t>
      </w:r>
    </w:p>
    <w:p w14:paraId="2A4010B5" w14:textId="4605F75D" w:rsidR="009662CD" w:rsidRDefault="009662CD" w:rsidP="00FF05FA">
      <w:pPr>
        <w:pStyle w:val="SingleTxtG"/>
      </w:pPr>
      <w:r>
        <w:t>11.</w:t>
      </w:r>
      <w:r>
        <w:tab/>
        <w:t>D</w:t>
      </w:r>
      <w:r w:rsidRPr="00603D97">
        <w:t>ue to the COVID-19 pandemic mitigation measures</w:t>
      </w:r>
      <w:r>
        <w:t>, several activities, not originally planned in the subprogramme’s programme of work, were initiated or supported by the secretariat, in order to ensure its continued regulatory and policy support to member States and Contracting Parties. For a more developed account of these activities, see ECE/TRANS/2021/4.</w:t>
      </w:r>
    </w:p>
    <w:p w14:paraId="76CDC47F" w14:textId="77777777" w:rsidR="009662CD" w:rsidRDefault="009662CD" w:rsidP="000558F9">
      <w:pPr>
        <w:pStyle w:val="HChG"/>
      </w:pPr>
      <w:r w:rsidRPr="00857398">
        <w:tab/>
        <w:t>I</w:t>
      </w:r>
      <w:r>
        <w:t>II</w:t>
      </w:r>
      <w:r w:rsidRPr="00857398">
        <w:t>.</w:t>
      </w:r>
      <w:r w:rsidRPr="00857398">
        <w:tab/>
      </w:r>
      <w:r>
        <w:t xml:space="preserve">Impacts on the transport subprogramme’s work </w:t>
      </w:r>
    </w:p>
    <w:p w14:paraId="4EF826AF" w14:textId="77777777" w:rsidR="009662CD" w:rsidRDefault="009662CD" w:rsidP="00FF05FA">
      <w:pPr>
        <w:pStyle w:val="SingleTxtG"/>
      </w:pPr>
      <w:r>
        <w:t>12.</w:t>
      </w:r>
      <w:r>
        <w:tab/>
        <w:t xml:space="preserve">This section reflects the estimated impact on the transport subprogramme of the combined effects of the COVID-19 pandemic and the liquidity crisis. </w:t>
      </w:r>
    </w:p>
    <w:p w14:paraId="20F0ECCE" w14:textId="5C9A3346" w:rsidR="009662CD" w:rsidRDefault="009662CD" w:rsidP="009662CD">
      <w:pPr>
        <w:pStyle w:val="SingleTxtG"/>
      </w:pPr>
      <w:r>
        <w:t>13.</w:t>
      </w:r>
      <w:r>
        <w:tab/>
        <w:t>Overall, approximately 35</w:t>
      </w:r>
      <w:r w:rsidR="00B67CE6">
        <w:t>–</w:t>
      </w:r>
      <w:r>
        <w:t xml:space="preserve">40 per cent of the quantified deliverables of the 2020 Programme of Work of the Transport subprogramme </w:t>
      </w:r>
      <w:r w:rsidRPr="00771444">
        <w:t>will not be delivered</w:t>
      </w:r>
      <w:r w:rsidR="00FF05FA" w:rsidRPr="00771444">
        <w:t>.</w:t>
      </w:r>
      <w:r>
        <w:rPr>
          <w:rStyle w:val="FootnoteReference"/>
        </w:rPr>
        <w:footnoteReference w:id="3"/>
      </w:r>
      <w:r>
        <w:t xml:space="preserve"> This note focuses on the impact on: </w:t>
      </w:r>
    </w:p>
    <w:p w14:paraId="55B95D85" w14:textId="044A37A9" w:rsidR="009662CD" w:rsidRDefault="009662CD" w:rsidP="00FF05FA">
      <w:pPr>
        <w:pStyle w:val="SingleTxtG"/>
        <w:ind w:firstLine="567"/>
      </w:pPr>
      <w:r>
        <w:t>(a)</w:t>
      </w:r>
      <w:r w:rsidR="00FF05FA">
        <w:tab/>
      </w:r>
      <w:r>
        <w:t>meetings of ITC subsidiary bodies, since their convening power is the cornerstone of the regulatory work of the Committee, in performing its role as the UN Platform for Inland Transport</w:t>
      </w:r>
      <w:r w:rsidR="00FF05FA">
        <w:t>;</w:t>
      </w:r>
      <w:r>
        <w:t xml:space="preserve"> </w:t>
      </w:r>
    </w:p>
    <w:p w14:paraId="4345AA7B" w14:textId="10EB7366" w:rsidR="009662CD" w:rsidRDefault="009662CD" w:rsidP="00FF05FA">
      <w:pPr>
        <w:pStyle w:val="SingleTxtG"/>
        <w:ind w:firstLine="567"/>
      </w:pPr>
      <w:r>
        <w:t>(b)</w:t>
      </w:r>
      <w:r w:rsidR="00FF05FA">
        <w:tab/>
      </w:r>
      <w:r>
        <w:t>documentation, which is a critical component in the updating of legal instruments.</w:t>
      </w:r>
    </w:p>
    <w:p w14:paraId="62AA117D" w14:textId="22182A4D" w:rsidR="009662CD" w:rsidRDefault="009662CD" w:rsidP="000558F9">
      <w:pPr>
        <w:pStyle w:val="H1G"/>
      </w:pPr>
      <w:r>
        <w:tab/>
      </w:r>
      <w:r w:rsidRPr="00855DF5">
        <w:t>A.</w:t>
      </w:r>
      <w:r w:rsidRPr="00855DF5">
        <w:tab/>
        <w:t xml:space="preserve">Impacts on </w:t>
      </w:r>
      <w:r>
        <w:t xml:space="preserve">meetings </w:t>
      </w:r>
    </w:p>
    <w:p w14:paraId="316DDC53" w14:textId="084A6576" w:rsidR="009662CD" w:rsidRPr="0044264B" w:rsidRDefault="009662CD" w:rsidP="000558F9">
      <w:pPr>
        <w:pStyle w:val="H23G"/>
      </w:pPr>
      <w:r w:rsidRPr="0044264B">
        <w:tab/>
        <w:t>1.</w:t>
      </w:r>
      <w:r w:rsidRPr="0044264B">
        <w:tab/>
        <w:t>Impacts on meetings of standing bodies (Working Parties)</w:t>
      </w:r>
    </w:p>
    <w:p w14:paraId="5EAA35EA" w14:textId="2D2037AE" w:rsidR="009662CD" w:rsidRDefault="009662CD" w:rsidP="00241225">
      <w:pPr>
        <w:pStyle w:val="SingleTxtG"/>
      </w:pPr>
      <w:r>
        <w:t>14.</w:t>
      </w:r>
      <w:r>
        <w:tab/>
        <w:t xml:space="preserve">At the time of writing of this note, the combined effects of COVID-19 and liquidity crisis on the planned meetings of several ITC Working Parties are still unfolding but it is safe to conclude that they were severe. </w:t>
      </w:r>
    </w:p>
    <w:p w14:paraId="42E34313" w14:textId="1AC10E2B" w:rsidR="009662CD" w:rsidRPr="0018709F" w:rsidRDefault="009662CD" w:rsidP="00241225">
      <w:pPr>
        <w:pStyle w:val="SingleTxtG"/>
        <w:rPr>
          <w:spacing w:val="-4"/>
        </w:rPr>
      </w:pPr>
      <w:r w:rsidRPr="0018709F">
        <w:rPr>
          <w:spacing w:val="-4"/>
        </w:rPr>
        <w:t>15.</w:t>
      </w:r>
      <w:r w:rsidRPr="0018709F">
        <w:rPr>
          <w:spacing w:val="-4"/>
        </w:rPr>
        <w:tab/>
        <w:t>When considering combined formal (in-person and hybrid with interpretation) and informal meetings under special procedures (without interpretation), the implementation of planned meetings ranged from 35</w:t>
      </w:r>
      <w:r w:rsidR="00241225" w:rsidRPr="0018709F">
        <w:rPr>
          <w:spacing w:val="-4"/>
        </w:rPr>
        <w:t>–</w:t>
      </w:r>
      <w:r w:rsidRPr="0018709F">
        <w:rPr>
          <w:spacing w:val="-4"/>
        </w:rPr>
        <w:t xml:space="preserve">100 per cent among the various working parties (see table 1).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18709F" w14:paraId="20BAFFE0" w14:textId="77777777" w:rsidTr="00DB417A">
        <w:trPr>
          <w:jc w:val="center"/>
        </w:trPr>
        <w:tc>
          <w:tcPr>
            <w:tcW w:w="7654" w:type="dxa"/>
            <w:shd w:val="clear" w:color="auto" w:fill="auto"/>
            <w:tcMar>
              <w:left w:w="142" w:type="dxa"/>
              <w:right w:w="142" w:type="dxa"/>
            </w:tcMar>
          </w:tcPr>
          <w:p w14:paraId="3A2FFD58" w14:textId="17846D5E" w:rsidR="0018709F" w:rsidRDefault="0018709F" w:rsidP="0018709F">
            <w:pPr>
              <w:rPr>
                <w:b/>
                <w:bCs/>
              </w:rPr>
            </w:pPr>
            <w:r>
              <w:rPr>
                <w:b/>
                <w:bCs/>
              </w:rPr>
              <w:t>Box</w:t>
            </w:r>
          </w:p>
          <w:p w14:paraId="5E16EBFD" w14:textId="77777777" w:rsidR="0018709F" w:rsidRPr="00181903" w:rsidRDefault="0018709F" w:rsidP="0018709F">
            <w:pPr>
              <w:rPr>
                <w:b/>
                <w:bCs/>
              </w:rPr>
            </w:pPr>
            <w:r w:rsidRPr="00181903">
              <w:rPr>
                <w:b/>
                <w:bCs/>
              </w:rPr>
              <w:t>Working Party on General Safety Provisions (GRSG)</w:t>
            </w:r>
          </w:p>
          <w:p w14:paraId="30682CA4" w14:textId="77777777" w:rsidR="0018709F" w:rsidRDefault="0018709F" w:rsidP="0018709F">
            <w:r>
              <w:t>GRSG is a working party reporting to the World Forum for Harmonization of Vehicle Regulations, WP.29, which usually holds two sessions (April and October) with total seventeen half-days annually fully serviced with interpretation. Due to COVID-19 pandemic and the financial crisis in 2020 the April session had to be postponed to July 2020 and both sessions were held virtually and without interpretation. As delegations attending GRSG were coming from all continents, Contracting Parties requested the meetings to be organized during early afternoons, CET, thus further restricting the number of half days to eight.</w:t>
            </w:r>
          </w:p>
          <w:p w14:paraId="2C284A66" w14:textId="7004D4D2" w:rsidR="0018709F" w:rsidRDefault="0018709F" w:rsidP="0018709F">
            <w:r>
              <w:t xml:space="preserve">EXCOM considered such virtual meetings without interpretation as informal meetings and any substantive decisions would need to follow special proceedings as laid down by EXCOM Inf. doc. No. 2020/18. These special proceedings request a proposal by the Chair of GRSG on the proceedings for the upcoming session that was requested to be approved by the participating countries via a silence procedure of seventy-two hours prior to the meeting. Once approved the meeting was conducted accordingly. Following the meeting, a list of main decisions had to be circulated to all represented Contracting Parties to be adopted via a ten days silence procedure. EXCOM provisions requested that all </w:t>
            </w:r>
            <w:r>
              <w:lastRenderedPageBreak/>
              <w:t xml:space="preserve">documentation used for silence procedures needed to be made available in the three official languages. Translation of such documents were not covered by the 2020 budget and thus the section's staff needed to prepare them. </w:t>
            </w:r>
            <w:r w:rsidR="000558F9">
              <w:t>Finally</w:t>
            </w:r>
            <w:r>
              <w:t xml:space="preserve"> these meetings were not counted in statistics of meetings presented to EXCOM.</w:t>
            </w:r>
          </w:p>
        </w:tc>
      </w:tr>
      <w:tr w:rsidR="0018709F" w14:paraId="5EB5BF00" w14:textId="77777777" w:rsidTr="00DB417A">
        <w:trPr>
          <w:trHeight w:hRule="exact" w:val="20"/>
          <w:jc w:val="center"/>
        </w:trPr>
        <w:tc>
          <w:tcPr>
            <w:tcW w:w="7654" w:type="dxa"/>
            <w:shd w:val="clear" w:color="auto" w:fill="auto"/>
          </w:tcPr>
          <w:p w14:paraId="40F6FF87" w14:textId="77777777" w:rsidR="0018709F" w:rsidRDefault="0018709F" w:rsidP="006E5E26">
            <w:pPr>
              <w:spacing w:line="240" w:lineRule="auto"/>
            </w:pPr>
          </w:p>
        </w:tc>
      </w:tr>
    </w:tbl>
    <w:p w14:paraId="23910D6A" w14:textId="2C754EF9" w:rsidR="009662CD" w:rsidRPr="00771444" w:rsidRDefault="009662CD" w:rsidP="0018709F">
      <w:pPr>
        <w:pStyle w:val="SingleTxtG"/>
        <w:spacing w:before="240"/>
      </w:pPr>
      <w:r>
        <w:t>16.</w:t>
      </w:r>
      <w:r>
        <w:tab/>
        <w:t xml:space="preserve">Overall, the subprogramme as a whole is expected to implement </w:t>
      </w:r>
      <w:r w:rsidRPr="00771444">
        <w:t>approximately 62 per cent of planned meetings (see table 1, column (f)).</w:t>
      </w:r>
    </w:p>
    <w:p w14:paraId="0EBC695D" w14:textId="2F53A442" w:rsidR="009662CD" w:rsidRDefault="009662CD" w:rsidP="00241225">
      <w:pPr>
        <w:pStyle w:val="SingleTxtG"/>
      </w:pPr>
      <w:r>
        <w:t>17.</w:t>
      </w:r>
      <w:r>
        <w:tab/>
        <w:t xml:space="preserve">A key component however for the successful discharge of the responsibilities of the Committee and its subsidiary bodies is multilingualism and the ability to run meetings with full interpretation. When examined from this qualitative aspect, for some working parties, especially those that were scheduled to take place in the early stages of COVID-19 responses, the loss of interpretation reached 100 per cent (see table 1, column (e)). </w:t>
      </w:r>
      <w:r w:rsidR="005B3F65">
        <w:t xml:space="preserve">For an indicative </w:t>
      </w:r>
      <w:r w:rsidR="00B70FA4">
        <w:t xml:space="preserve">in-depth discussion of issues faced by the Committee’s subsidiary bodies, see also </w:t>
      </w:r>
      <w:r w:rsidR="007F682F">
        <w:t xml:space="preserve">the </w:t>
      </w:r>
      <w:r w:rsidR="00B70FA4">
        <w:t>Box.</w:t>
      </w:r>
    </w:p>
    <w:p w14:paraId="6D22BDB2" w14:textId="5BC05FAC" w:rsidR="009662CD" w:rsidRPr="00771444" w:rsidRDefault="009662CD" w:rsidP="00241225">
      <w:pPr>
        <w:pStyle w:val="SingleTxtG"/>
      </w:pPr>
      <w:r>
        <w:t>18.</w:t>
      </w:r>
      <w:r>
        <w:tab/>
      </w:r>
      <w:r w:rsidRPr="00771444">
        <w:t xml:space="preserve">Overall, only approximately 34 per cent of planned/budgeted meetings of the subprogramme as a whole are expected to be implemented in 2020 with full interpretation, either under physical/in-person or hybrid formats. </w:t>
      </w:r>
    </w:p>
    <w:p w14:paraId="68D4363F" w14:textId="218FFFA2" w:rsidR="009662CD" w:rsidRDefault="009662CD" w:rsidP="00241225">
      <w:pPr>
        <w:pStyle w:val="Heading1"/>
      </w:pPr>
      <w:r w:rsidRPr="0022584F">
        <w:t>Table</w:t>
      </w:r>
      <w:r>
        <w:t xml:space="preserve"> 1</w:t>
      </w:r>
      <w:r w:rsidRPr="0022584F">
        <w:t xml:space="preserve"> </w:t>
      </w:r>
    </w:p>
    <w:p w14:paraId="40971EF0" w14:textId="440FC071" w:rsidR="00181903" w:rsidRDefault="009662CD" w:rsidP="00C865AC">
      <w:pPr>
        <w:pStyle w:val="SingleTxtG"/>
        <w:keepNext/>
        <w:keepLines/>
        <w:ind w:left="562" w:right="1138" w:firstLine="562"/>
        <w:rPr>
          <w:b/>
          <w:bCs/>
        </w:rPr>
      </w:pPr>
      <w:r w:rsidRPr="0046036E">
        <w:rPr>
          <w:b/>
          <w:bCs/>
        </w:rPr>
        <w:t xml:space="preserve">Impacts of COVID-19 </w:t>
      </w:r>
      <w:r>
        <w:rPr>
          <w:b/>
          <w:bCs/>
        </w:rPr>
        <w:t xml:space="preserve">and the liquidity crisis </w:t>
      </w:r>
      <w:r w:rsidRPr="0046036E">
        <w:rPr>
          <w:b/>
          <w:bCs/>
        </w:rPr>
        <w:t xml:space="preserve">on meetings </w:t>
      </w:r>
      <w:r>
        <w:rPr>
          <w:b/>
          <w:bCs/>
        </w:rPr>
        <w:t xml:space="preserve">of </w:t>
      </w:r>
      <w:r w:rsidRPr="0046036E">
        <w:rPr>
          <w:b/>
          <w:bCs/>
        </w:rPr>
        <w:t>Working Parties</w:t>
      </w:r>
    </w:p>
    <w:tbl>
      <w:tblPr>
        <w:tblW w:w="7370" w:type="dxa"/>
        <w:tblInd w:w="1134" w:type="dxa"/>
        <w:tblLayout w:type="fixed"/>
        <w:tblCellMar>
          <w:left w:w="0" w:type="dxa"/>
          <w:right w:w="0" w:type="dxa"/>
        </w:tblCellMar>
        <w:tblLook w:val="04A0" w:firstRow="1" w:lastRow="0" w:firstColumn="1" w:lastColumn="0" w:noHBand="0" w:noVBand="1"/>
      </w:tblPr>
      <w:tblGrid>
        <w:gridCol w:w="1125"/>
        <w:gridCol w:w="645"/>
        <w:gridCol w:w="1077"/>
        <w:gridCol w:w="1077"/>
        <w:gridCol w:w="7"/>
        <w:gridCol w:w="1012"/>
        <w:gridCol w:w="7"/>
        <w:gridCol w:w="1206"/>
        <w:gridCol w:w="7"/>
        <w:gridCol w:w="1207"/>
      </w:tblGrid>
      <w:tr w:rsidR="003A7758" w:rsidRPr="003A7758" w14:paraId="644DAC61" w14:textId="77777777" w:rsidTr="006938B9">
        <w:trPr>
          <w:tblHeader/>
        </w:trPr>
        <w:tc>
          <w:tcPr>
            <w:tcW w:w="1300" w:type="dxa"/>
            <w:vMerge w:val="restart"/>
            <w:tcBorders>
              <w:top w:val="single" w:sz="4" w:space="0" w:color="auto"/>
              <w:bottom w:val="single" w:sz="12" w:space="0" w:color="auto"/>
            </w:tcBorders>
            <w:shd w:val="clear" w:color="auto" w:fill="auto"/>
            <w:vAlign w:val="bottom"/>
            <w:hideMark/>
          </w:tcPr>
          <w:p w14:paraId="008AAA11" w14:textId="77777777" w:rsidR="00181903" w:rsidRPr="003A7758" w:rsidRDefault="00181903" w:rsidP="003A7758">
            <w:pPr>
              <w:suppressAutoHyphens w:val="0"/>
              <w:spacing w:before="80" w:after="80" w:line="200" w:lineRule="exact"/>
              <w:rPr>
                <w:i/>
                <w:iCs/>
                <w:spacing w:val="4"/>
                <w:w w:val="103"/>
                <w:kern w:val="14"/>
                <w:sz w:val="16"/>
                <w:szCs w:val="16"/>
                <w:lang w:eastAsia="zh-CN"/>
              </w:rPr>
            </w:pPr>
            <w:r w:rsidRPr="003A7758">
              <w:rPr>
                <w:i/>
                <w:iCs/>
                <w:spacing w:val="4"/>
                <w:w w:val="103"/>
                <w:kern w:val="14"/>
                <w:sz w:val="16"/>
                <w:szCs w:val="16"/>
                <w:lang w:eastAsia="zh-CN"/>
              </w:rPr>
              <w:t> </w:t>
            </w:r>
          </w:p>
        </w:tc>
        <w:tc>
          <w:tcPr>
            <w:tcW w:w="743" w:type="dxa"/>
            <w:tcBorders>
              <w:top w:val="single" w:sz="4" w:space="0" w:color="auto"/>
              <w:bottom w:val="single" w:sz="4" w:space="0" w:color="auto"/>
            </w:tcBorders>
            <w:shd w:val="clear" w:color="auto" w:fill="auto"/>
            <w:noWrap/>
            <w:vAlign w:val="bottom"/>
            <w:hideMark/>
          </w:tcPr>
          <w:p w14:paraId="62AB0F96" w14:textId="77777777" w:rsidR="00181903" w:rsidRPr="003A7758" w:rsidRDefault="00181903" w:rsidP="003A7758">
            <w:pPr>
              <w:suppressAutoHyphens w:val="0"/>
              <w:spacing w:before="80" w:after="80" w:line="200" w:lineRule="exact"/>
              <w:rPr>
                <w:i/>
                <w:iCs/>
                <w:spacing w:val="4"/>
                <w:w w:val="103"/>
                <w:kern w:val="14"/>
                <w:sz w:val="16"/>
                <w:szCs w:val="16"/>
                <w:lang w:eastAsia="zh-CN"/>
              </w:rPr>
            </w:pPr>
          </w:p>
        </w:tc>
        <w:tc>
          <w:tcPr>
            <w:tcW w:w="2493" w:type="dxa"/>
            <w:gridSpan w:val="3"/>
            <w:tcBorders>
              <w:top w:val="single" w:sz="4" w:space="0" w:color="auto"/>
              <w:bottom w:val="single" w:sz="4" w:space="0" w:color="auto"/>
            </w:tcBorders>
            <w:shd w:val="clear" w:color="auto" w:fill="auto"/>
            <w:vAlign w:val="bottom"/>
            <w:hideMark/>
          </w:tcPr>
          <w:p w14:paraId="5781DD49" w14:textId="77777777" w:rsidR="00181903" w:rsidRPr="003A7758" w:rsidRDefault="00181903" w:rsidP="003A7758">
            <w:pPr>
              <w:suppressAutoHyphens w:val="0"/>
              <w:spacing w:before="80" w:after="80" w:line="200" w:lineRule="exact"/>
              <w:rPr>
                <w:bCs/>
                <w:i/>
                <w:iCs/>
                <w:spacing w:val="4"/>
                <w:w w:val="103"/>
                <w:kern w:val="14"/>
                <w:sz w:val="16"/>
                <w:szCs w:val="16"/>
                <w:lang w:eastAsia="zh-CN"/>
              </w:rPr>
            </w:pPr>
            <w:r w:rsidRPr="003A7758">
              <w:rPr>
                <w:bCs/>
                <w:i/>
                <w:iCs/>
                <w:spacing w:val="4"/>
                <w:w w:val="103"/>
                <w:kern w:val="14"/>
                <w:sz w:val="16"/>
                <w:szCs w:val="16"/>
                <w:lang w:eastAsia="zh-CN"/>
              </w:rPr>
              <w:t>2020 actual (est.)</w:t>
            </w:r>
          </w:p>
        </w:tc>
        <w:tc>
          <w:tcPr>
            <w:tcW w:w="1175" w:type="dxa"/>
            <w:gridSpan w:val="2"/>
            <w:tcBorders>
              <w:top w:val="single" w:sz="4" w:space="0" w:color="auto"/>
              <w:bottom w:val="single" w:sz="4" w:space="0" w:color="auto"/>
            </w:tcBorders>
            <w:shd w:val="clear" w:color="auto" w:fill="auto"/>
            <w:vAlign w:val="bottom"/>
            <w:hideMark/>
          </w:tcPr>
          <w:p w14:paraId="2C131F20" w14:textId="77777777" w:rsidR="00181903" w:rsidRPr="003A7758" w:rsidRDefault="00181903" w:rsidP="003A7758">
            <w:pPr>
              <w:suppressAutoHyphens w:val="0"/>
              <w:spacing w:before="80" w:after="80" w:line="200" w:lineRule="exact"/>
              <w:rPr>
                <w:bCs/>
                <w:i/>
                <w:iCs/>
                <w:spacing w:val="4"/>
                <w:w w:val="103"/>
                <w:kern w:val="14"/>
                <w:sz w:val="16"/>
                <w:szCs w:val="16"/>
                <w:lang w:eastAsia="zh-CN"/>
              </w:rPr>
            </w:pPr>
            <w:r w:rsidRPr="003A7758">
              <w:rPr>
                <w:bCs/>
                <w:i/>
                <w:iCs/>
                <w:spacing w:val="4"/>
                <w:w w:val="103"/>
                <w:kern w:val="14"/>
                <w:sz w:val="16"/>
                <w:szCs w:val="16"/>
                <w:lang w:eastAsia="zh-CN"/>
              </w:rPr>
              <w:t> </w:t>
            </w:r>
          </w:p>
        </w:tc>
        <w:tc>
          <w:tcPr>
            <w:tcW w:w="1400" w:type="dxa"/>
            <w:gridSpan w:val="2"/>
            <w:tcBorders>
              <w:top w:val="single" w:sz="4" w:space="0" w:color="auto"/>
              <w:bottom w:val="single" w:sz="4" w:space="0" w:color="auto"/>
            </w:tcBorders>
            <w:shd w:val="clear" w:color="auto" w:fill="auto"/>
            <w:vAlign w:val="bottom"/>
            <w:hideMark/>
          </w:tcPr>
          <w:p w14:paraId="749DCDC9" w14:textId="77777777" w:rsidR="00181903" w:rsidRPr="003A7758" w:rsidRDefault="00181903" w:rsidP="003A7758">
            <w:pPr>
              <w:suppressAutoHyphens w:val="0"/>
              <w:spacing w:before="80" w:after="80" w:line="200" w:lineRule="exact"/>
              <w:rPr>
                <w:bCs/>
                <w:i/>
                <w:iCs/>
                <w:spacing w:val="4"/>
                <w:w w:val="103"/>
                <w:kern w:val="14"/>
                <w:sz w:val="16"/>
                <w:szCs w:val="16"/>
                <w:lang w:eastAsia="zh-CN"/>
              </w:rPr>
            </w:pPr>
            <w:r w:rsidRPr="003A7758">
              <w:rPr>
                <w:bCs/>
                <w:i/>
                <w:iCs/>
                <w:spacing w:val="4"/>
                <w:w w:val="103"/>
                <w:kern w:val="14"/>
                <w:sz w:val="16"/>
                <w:szCs w:val="16"/>
                <w:lang w:eastAsia="zh-CN"/>
              </w:rPr>
              <w:t> </w:t>
            </w:r>
          </w:p>
        </w:tc>
        <w:tc>
          <w:tcPr>
            <w:tcW w:w="1393" w:type="dxa"/>
            <w:tcBorders>
              <w:top w:val="single" w:sz="4" w:space="0" w:color="auto"/>
              <w:bottom w:val="single" w:sz="4" w:space="0" w:color="auto"/>
            </w:tcBorders>
            <w:shd w:val="clear" w:color="auto" w:fill="auto"/>
            <w:vAlign w:val="bottom"/>
            <w:hideMark/>
          </w:tcPr>
          <w:p w14:paraId="64EC9CF1" w14:textId="77777777" w:rsidR="00181903" w:rsidRPr="003A7758" w:rsidRDefault="00181903" w:rsidP="003A7758">
            <w:pPr>
              <w:suppressAutoHyphens w:val="0"/>
              <w:spacing w:before="80" w:after="80" w:line="200" w:lineRule="exact"/>
              <w:rPr>
                <w:bCs/>
                <w:i/>
                <w:iCs/>
                <w:spacing w:val="4"/>
                <w:w w:val="103"/>
                <w:kern w:val="14"/>
                <w:sz w:val="16"/>
                <w:szCs w:val="16"/>
                <w:lang w:eastAsia="zh-CN"/>
              </w:rPr>
            </w:pPr>
            <w:r w:rsidRPr="003A7758">
              <w:rPr>
                <w:bCs/>
                <w:i/>
                <w:iCs/>
                <w:spacing w:val="4"/>
                <w:w w:val="103"/>
                <w:kern w:val="14"/>
                <w:sz w:val="16"/>
                <w:szCs w:val="16"/>
                <w:lang w:eastAsia="zh-CN"/>
              </w:rPr>
              <w:t> </w:t>
            </w:r>
          </w:p>
        </w:tc>
      </w:tr>
      <w:tr w:rsidR="003A7758" w:rsidRPr="003A7758" w14:paraId="5A0A9E0E" w14:textId="77777777" w:rsidTr="006938B9">
        <w:trPr>
          <w:tblHeader/>
        </w:trPr>
        <w:tc>
          <w:tcPr>
            <w:tcW w:w="1300" w:type="dxa"/>
            <w:vMerge/>
            <w:tcBorders>
              <w:top w:val="single" w:sz="12" w:space="0" w:color="auto"/>
              <w:bottom w:val="single" w:sz="12" w:space="0" w:color="auto"/>
            </w:tcBorders>
            <w:shd w:val="clear" w:color="auto" w:fill="auto"/>
            <w:vAlign w:val="bottom"/>
            <w:hideMark/>
          </w:tcPr>
          <w:p w14:paraId="12DAF57C" w14:textId="77777777" w:rsidR="00181903" w:rsidRPr="003A7758" w:rsidRDefault="00181903" w:rsidP="003A7758">
            <w:pPr>
              <w:suppressAutoHyphens w:val="0"/>
              <w:spacing w:before="80" w:after="80" w:line="200" w:lineRule="exact"/>
              <w:rPr>
                <w:i/>
                <w:iCs/>
                <w:spacing w:val="4"/>
                <w:w w:val="103"/>
                <w:kern w:val="14"/>
                <w:sz w:val="16"/>
                <w:szCs w:val="16"/>
                <w:lang w:eastAsia="zh-CN"/>
              </w:rPr>
            </w:pPr>
          </w:p>
        </w:tc>
        <w:tc>
          <w:tcPr>
            <w:tcW w:w="743" w:type="dxa"/>
            <w:tcBorders>
              <w:top w:val="single" w:sz="4" w:space="0" w:color="auto"/>
              <w:bottom w:val="single" w:sz="12" w:space="0" w:color="auto"/>
            </w:tcBorders>
            <w:shd w:val="clear" w:color="auto" w:fill="auto"/>
            <w:vAlign w:val="bottom"/>
            <w:hideMark/>
          </w:tcPr>
          <w:p w14:paraId="75084D44" w14:textId="77777777" w:rsidR="00181903" w:rsidRPr="003A7758" w:rsidRDefault="00181903" w:rsidP="006938B9">
            <w:pPr>
              <w:suppressAutoHyphens w:val="0"/>
              <w:spacing w:before="80" w:after="80" w:line="200" w:lineRule="exact"/>
              <w:jc w:val="right"/>
              <w:rPr>
                <w:bCs/>
                <w:i/>
                <w:iCs/>
                <w:spacing w:val="4"/>
                <w:w w:val="103"/>
                <w:kern w:val="14"/>
                <w:sz w:val="16"/>
                <w:szCs w:val="16"/>
                <w:lang w:eastAsia="zh-CN"/>
              </w:rPr>
            </w:pPr>
            <w:r w:rsidRPr="003A7758">
              <w:rPr>
                <w:bCs/>
                <w:i/>
                <w:iCs/>
                <w:spacing w:val="4"/>
                <w:w w:val="103"/>
                <w:kern w:val="14"/>
                <w:sz w:val="16"/>
                <w:szCs w:val="16"/>
                <w:lang w:eastAsia="zh-CN"/>
              </w:rPr>
              <w:t xml:space="preserve">2020 planned </w:t>
            </w:r>
            <w:r w:rsidRPr="003A7758">
              <w:rPr>
                <w:bCs/>
                <w:i/>
                <w:iCs/>
                <w:spacing w:val="4"/>
                <w:w w:val="103"/>
                <w:kern w:val="14"/>
                <w:sz w:val="16"/>
                <w:szCs w:val="16"/>
                <w:lang w:eastAsia="zh-CN"/>
              </w:rPr>
              <w:br/>
              <w:t>(a)</w:t>
            </w:r>
          </w:p>
        </w:tc>
        <w:tc>
          <w:tcPr>
            <w:tcW w:w="1243" w:type="dxa"/>
            <w:tcBorders>
              <w:top w:val="single" w:sz="4" w:space="0" w:color="auto"/>
              <w:bottom w:val="single" w:sz="12" w:space="0" w:color="auto"/>
            </w:tcBorders>
            <w:shd w:val="clear" w:color="auto" w:fill="auto"/>
            <w:vAlign w:val="bottom"/>
            <w:hideMark/>
          </w:tcPr>
          <w:p w14:paraId="5A8924E2" w14:textId="77777777" w:rsidR="00181903" w:rsidRPr="003A7758" w:rsidRDefault="00181903" w:rsidP="006938B9">
            <w:pPr>
              <w:suppressAutoHyphens w:val="0"/>
              <w:spacing w:before="80" w:after="80" w:line="200" w:lineRule="exact"/>
              <w:jc w:val="right"/>
              <w:rPr>
                <w:bCs/>
                <w:i/>
                <w:iCs/>
                <w:spacing w:val="4"/>
                <w:w w:val="103"/>
                <w:kern w:val="14"/>
                <w:sz w:val="16"/>
                <w:szCs w:val="16"/>
                <w:lang w:eastAsia="zh-CN"/>
              </w:rPr>
            </w:pPr>
            <w:r w:rsidRPr="003A7758">
              <w:rPr>
                <w:bCs/>
                <w:i/>
                <w:iCs/>
                <w:spacing w:val="4"/>
                <w:w w:val="103"/>
                <w:kern w:val="14"/>
                <w:sz w:val="16"/>
                <w:szCs w:val="16"/>
                <w:lang w:eastAsia="zh-CN"/>
              </w:rPr>
              <w:t>Implemented With interpretation</w:t>
            </w:r>
            <w:r w:rsidRPr="003A7758">
              <w:rPr>
                <w:bCs/>
                <w:i/>
                <w:iCs/>
                <w:spacing w:val="4"/>
                <w:w w:val="103"/>
                <w:kern w:val="14"/>
                <w:sz w:val="16"/>
                <w:szCs w:val="16"/>
                <w:lang w:eastAsia="zh-CN"/>
              </w:rPr>
              <w:br/>
              <w:t>(b)*</w:t>
            </w:r>
          </w:p>
        </w:tc>
        <w:tc>
          <w:tcPr>
            <w:tcW w:w="1243" w:type="dxa"/>
            <w:tcBorders>
              <w:top w:val="single" w:sz="4" w:space="0" w:color="auto"/>
              <w:bottom w:val="single" w:sz="12" w:space="0" w:color="auto"/>
            </w:tcBorders>
            <w:shd w:val="clear" w:color="auto" w:fill="auto"/>
            <w:vAlign w:val="bottom"/>
            <w:hideMark/>
          </w:tcPr>
          <w:p w14:paraId="5A58E39E" w14:textId="77777777" w:rsidR="00181903" w:rsidRPr="003A7758" w:rsidRDefault="00181903" w:rsidP="006938B9">
            <w:pPr>
              <w:suppressAutoHyphens w:val="0"/>
              <w:spacing w:before="80" w:after="80" w:line="200" w:lineRule="exact"/>
              <w:jc w:val="right"/>
              <w:rPr>
                <w:bCs/>
                <w:i/>
                <w:iCs/>
                <w:spacing w:val="4"/>
                <w:w w:val="103"/>
                <w:kern w:val="14"/>
                <w:sz w:val="16"/>
                <w:szCs w:val="16"/>
                <w:lang w:eastAsia="zh-CN"/>
              </w:rPr>
            </w:pPr>
            <w:r w:rsidRPr="003A7758">
              <w:rPr>
                <w:bCs/>
                <w:i/>
                <w:iCs/>
                <w:spacing w:val="4"/>
                <w:w w:val="103"/>
                <w:kern w:val="14"/>
                <w:sz w:val="16"/>
                <w:szCs w:val="16"/>
                <w:lang w:eastAsia="zh-CN"/>
              </w:rPr>
              <w:t>Implemented Without interpretation</w:t>
            </w:r>
            <w:r w:rsidRPr="003A7758">
              <w:rPr>
                <w:bCs/>
                <w:i/>
                <w:iCs/>
                <w:spacing w:val="4"/>
                <w:w w:val="103"/>
                <w:kern w:val="14"/>
                <w:sz w:val="16"/>
                <w:szCs w:val="16"/>
                <w:lang w:eastAsia="zh-CN"/>
              </w:rPr>
              <w:br/>
              <w:t>(c)*</w:t>
            </w:r>
          </w:p>
        </w:tc>
        <w:tc>
          <w:tcPr>
            <w:tcW w:w="1175" w:type="dxa"/>
            <w:gridSpan w:val="2"/>
            <w:tcBorders>
              <w:top w:val="single" w:sz="4" w:space="0" w:color="auto"/>
              <w:bottom w:val="single" w:sz="12" w:space="0" w:color="auto"/>
            </w:tcBorders>
            <w:shd w:val="clear" w:color="auto" w:fill="auto"/>
            <w:vAlign w:val="bottom"/>
            <w:hideMark/>
          </w:tcPr>
          <w:p w14:paraId="1F21055C" w14:textId="77777777" w:rsidR="00181903" w:rsidRPr="003A7758" w:rsidRDefault="00181903" w:rsidP="006938B9">
            <w:pPr>
              <w:suppressAutoHyphens w:val="0"/>
              <w:spacing w:before="80" w:after="80" w:line="200" w:lineRule="exact"/>
              <w:jc w:val="right"/>
              <w:rPr>
                <w:bCs/>
                <w:i/>
                <w:iCs/>
                <w:spacing w:val="4"/>
                <w:w w:val="103"/>
                <w:kern w:val="14"/>
                <w:sz w:val="16"/>
                <w:szCs w:val="16"/>
                <w:lang w:eastAsia="zh-CN"/>
              </w:rPr>
            </w:pPr>
            <w:r w:rsidRPr="003A7758">
              <w:rPr>
                <w:bCs/>
                <w:i/>
                <w:iCs/>
                <w:spacing w:val="4"/>
                <w:w w:val="103"/>
                <w:kern w:val="14"/>
                <w:sz w:val="16"/>
                <w:szCs w:val="16"/>
                <w:lang w:eastAsia="zh-CN"/>
              </w:rPr>
              <w:t>Total implemented in 2020</w:t>
            </w:r>
            <w:r w:rsidRPr="003A7758">
              <w:rPr>
                <w:bCs/>
                <w:i/>
                <w:iCs/>
                <w:spacing w:val="4"/>
                <w:w w:val="103"/>
                <w:kern w:val="14"/>
                <w:sz w:val="16"/>
                <w:szCs w:val="16"/>
                <w:lang w:eastAsia="zh-CN"/>
              </w:rPr>
              <w:br/>
              <w:t>(d)=(b)+(c)</w:t>
            </w:r>
          </w:p>
        </w:tc>
        <w:tc>
          <w:tcPr>
            <w:tcW w:w="1400" w:type="dxa"/>
            <w:gridSpan w:val="2"/>
            <w:tcBorders>
              <w:top w:val="single" w:sz="4" w:space="0" w:color="auto"/>
              <w:bottom w:val="single" w:sz="12" w:space="0" w:color="auto"/>
            </w:tcBorders>
            <w:shd w:val="clear" w:color="auto" w:fill="auto"/>
            <w:vAlign w:val="bottom"/>
            <w:hideMark/>
          </w:tcPr>
          <w:p w14:paraId="50D74F8C" w14:textId="52A77F54" w:rsidR="00181903" w:rsidRPr="003A7758" w:rsidRDefault="00181903" w:rsidP="006938B9">
            <w:pPr>
              <w:suppressAutoHyphens w:val="0"/>
              <w:spacing w:before="80" w:after="80" w:line="200" w:lineRule="exact"/>
              <w:jc w:val="right"/>
              <w:rPr>
                <w:bCs/>
                <w:i/>
                <w:iCs/>
                <w:spacing w:val="4"/>
                <w:w w:val="103"/>
                <w:kern w:val="14"/>
                <w:sz w:val="16"/>
                <w:szCs w:val="16"/>
                <w:lang w:eastAsia="zh-CN"/>
              </w:rPr>
            </w:pPr>
            <w:r w:rsidRPr="003A7758">
              <w:rPr>
                <w:bCs/>
                <w:i/>
                <w:iCs/>
                <w:spacing w:val="4"/>
                <w:w w:val="103"/>
                <w:kern w:val="14"/>
                <w:sz w:val="16"/>
                <w:szCs w:val="16"/>
                <w:lang w:eastAsia="zh-CN"/>
              </w:rPr>
              <w:t>Implementation with interpretation</w:t>
            </w:r>
            <w:r w:rsidRPr="003A7758">
              <w:rPr>
                <w:bCs/>
                <w:i/>
                <w:iCs/>
                <w:spacing w:val="4"/>
                <w:w w:val="103"/>
                <w:kern w:val="14"/>
                <w:sz w:val="16"/>
                <w:szCs w:val="16"/>
                <w:lang w:eastAsia="zh-CN"/>
              </w:rPr>
              <w:br/>
              <w:t>(e)=(b)/(a) (%)</w:t>
            </w:r>
          </w:p>
        </w:tc>
        <w:tc>
          <w:tcPr>
            <w:tcW w:w="1400" w:type="dxa"/>
            <w:gridSpan w:val="2"/>
            <w:tcBorders>
              <w:top w:val="single" w:sz="4" w:space="0" w:color="auto"/>
              <w:bottom w:val="single" w:sz="12" w:space="0" w:color="auto"/>
            </w:tcBorders>
            <w:shd w:val="clear" w:color="auto" w:fill="auto"/>
            <w:vAlign w:val="bottom"/>
            <w:hideMark/>
          </w:tcPr>
          <w:p w14:paraId="6F137F61" w14:textId="77777777" w:rsidR="00181903" w:rsidRPr="003A7758" w:rsidRDefault="00181903" w:rsidP="006938B9">
            <w:pPr>
              <w:suppressAutoHyphens w:val="0"/>
              <w:spacing w:before="80" w:after="80" w:line="200" w:lineRule="exact"/>
              <w:jc w:val="right"/>
              <w:rPr>
                <w:bCs/>
                <w:i/>
                <w:iCs/>
                <w:spacing w:val="4"/>
                <w:w w:val="103"/>
                <w:kern w:val="14"/>
                <w:sz w:val="16"/>
                <w:szCs w:val="16"/>
                <w:lang w:eastAsia="zh-CN"/>
              </w:rPr>
            </w:pPr>
            <w:r w:rsidRPr="003A7758">
              <w:rPr>
                <w:bCs/>
                <w:i/>
                <w:iCs/>
                <w:spacing w:val="4"/>
                <w:w w:val="103"/>
                <w:kern w:val="14"/>
                <w:sz w:val="16"/>
                <w:szCs w:val="16"/>
                <w:lang w:eastAsia="zh-CN"/>
              </w:rPr>
              <w:t>Implementation</w:t>
            </w:r>
            <w:r w:rsidRPr="003A7758">
              <w:rPr>
                <w:bCs/>
                <w:i/>
                <w:iCs/>
                <w:spacing w:val="4"/>
                <w:w w:val="103"/>
                <w:kern w:val="14"/>
                <w:sz w:val="16"/>
                <w:szCs w:val="16"/>
                <w:lang w:eastAsia="zh-CN"/>
              </w:rPr>
              <w:br/>
              <w:t>with and without interpretation (f)=(d)/(a) (%)</w:t>
            </w:r>
          </w:p>
        </w:tc>
      </w:tr>
      <w:tr w:rsidR="00D04AD8" w:rsidRPr="003A7758" w14:paraId="37ECE33B" w14:textId="77777777" w:rsidTr="006938B9">
        <w:tc>
          <w:tcPr>
            <w:tcW w:w="1300" w:type="dxa"/>
            <w:tcBorders>
              <w:top w:val="single" w:sz="12" w:space="0" w:color="auto"/>
            </w:tcBorders>
            <w:shd w:val="clear" w:color="auto" w:fill="auto"/>
            <w:hideMark/>
          </w:tcPr>
          <w:p w14:paraId="645E55A0" w14:textId="77777777" w:rsidR="00181903" w:rsidRPr="003A7758" w:rsidRDefault="00181903" w:rsidP="003A7758">
            <w:pPr>
              <w:suppressAutoHyphens w:val="0"/>
              <w:spacing w:before="40" w:after="40" w:line="220" w:lineRule="exact"/>
              <w:rPr>
                <w:b/>
                <w:bCs/>
                <w:sz w:val="18"/>
                <w:szCs w:val="16"/>
                <w:lang w:eastAsia="zh-CN"/>
              </w:rPr>
            </w:pPr>
            <w:r w:rsidRPr="003A7758">
              <w:rPr>
                <w:b/>
                <w:bCs/>
                <w:sz w:val="18"/>
                <w:szCs w:val="16"/>
                <w:lang w:eastAsia="zh-CN"/>
              </w:rPr>
              <w:t>A2. Substantive services for meetings (number of three-hour meetings eq.)</w:t>
            </w:r>
          </w:p>
        </w:tc>
        <w:tc>
          <w:tcPr>
            <w:tcW w:w="743" w:type="dxa"/>
            <w:tcBorders>
              <w:top w:val="single" w:sz="12" w:space="0" w:color="auto"/>
            </w:tcBorders>
            <w:shd w:val="clear" w:color="auto" w:fill="auto"/>
            <w:vAlign w:val="bottom"/>
            <w:hideMark/>
          </w:tcPr>
          <w:p w14:paraId="1207D377"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369</w:t>
            </w:r>
          </w:p>
        </w:tc>
        <w:tc>
          <w:tcPr>
            <w:tcW w:w="1243" w:type="dxa"/>
            <w:tcBorders>
              <w:top w:val="single" w:sz="12" w:space="0" w:color="auto"/>
            </w:tcBorders>
            <w:shd w:val="clear" w:color="auto" w:fill="auto"/>
            <w:vAlign w:val="bottom"/>
            <w:hideMark/>
          </w:tcPr>
          <w:p w14:paraId="514824C4"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124</w:t>
            </w:r>
          </w:p>
        </w:tc>
        <w:tc>
          <w:tcPr>
            <w:tcW w:w="1243" w:type="dxa"/>
            <w:tcBorders>
              <w:top w:val="single" w:sz="12" w:space="0" w:color="auto"/>
            </w:tcBorders>
            <w:shd w:val="clear" w:color="auto" w:fill="auto"/>
            <w:vAlign w:val="bottom"/>
            <w:hideMark/>
          </w:tcPr>
          <w:p w14:paraId="57B7574E"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106</w:t>
            </w:r>
          </w:p>
        </w:tc>
        <w:tc>
          <w:tcPr>
            <w:tcW w:w="1175" w:type="dxa"/>
            <w:gridSpan w:val="2"/>
            <w:tcBorders>
              <w:top w:val="single" w:sz="12" w:space="0" w:color="auto"/>
            </w:tcBorders>
            <w:shd w:val="clear" w:color="auto" w:fill="auto"/>
            <w:vAlign w:val="bottom"/>
            <w:hideMark/>
          </w:tcPr>
          <w:p w14:paraId="2F9D3EF4"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230</w:t>
            </w:r>
          </w:p>
        </w:tc>
        <w:tc>
          <w:tcPr>
            <w:tcW w:w="1400" w:type="dxa"/>
            <w:gridSpan w:val="2"/>
            <w:tcBorders>
              <w:top w:val="single" w:sz="12" w:space="0" w:color="auto"/>
            </w:tcBorders>
            <w:shd w:val="clear" w:color="auto" w:fill="auto"/>
            <w:vAlign w:val="bottom"/>
            <w:hideMark/>
          </w:tcPr>
          <w:p w14:paraId="3E84D488"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34%</w:t>
            </w:r>
          </w:p>
        </w:tc>
        <w:tc>
          <w:tcPr>
            <w:tcW w:w="1400" w:type="dxa"/>
            <w:gridSpan w:val="2"/>
            <w:tcBorders>
              <w:top w:val="single" w:sz="12" w:space="0" w:color="auto"/>
            </w:tcBorders>
            <w:shd w:val="clear" w:color="auto" w:fill="auto"/>
            <w:vAlign w:val="bottom"/>
            <w:hideMark/>
          </w:tcPr>
          <w:p w14:paraId="08DA4099"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62%</w:t>
            </w:r>
          </w:p>
        </w:tc>
      </w:tr>
      <w:tr w:rsidR="001655EC" w:rsidRPr="003A7758" w14:paraId="49A5FF12" w14:textId="77777777" w:rsidTr="006938B9">
        <w:tc>
          <w:tcPr>
            <w:tcW w:w="1300" w:type="dxa"/>
            <w:shd w:val="clear" w:color="auto" w:fill="auto"/>
            <w:hideMark/>
          </w:tcPr>
          <w:p w14:paraId="15D62A60" w14:textId="77777777" w:rsidR="00181903" w:rsidRPr="003A7758" w:rsidRDefault="00181903" w:rsidP="00D04AD8">
            <w:pPr>
              <w:suppressAutoHyphens w:val="0"/>
              <w:spacing w:before="80" w:after="80" w:line="220" w:lineRule="exact"/>
              <w:rPr>
                <w:b/>
                <w:bCs/>
                <w:sz w:val="18"/>
                <w:szCs w:val="16"/>
                <w:lang w:eastAsia="zh-CN"/>
              </w:rPr>
            </w:pPr>
            <w:r w:rsidRPr="003A7758">
              <w:rPr>
                <w:b/>
                <w:bCs/>
                <w:sz w:val="18"/>
                <w:szCs w:val="16"/>
                <w:lang w:eastAsia="zh-CN"/>
              </w:rPr>
              <w:t>ITC</w:t>
            </w:r>
          </w:p>
        </w:tc>
        <w:tc>
          <w:tcPr>
            <w:tcW w:w="743" w:type="dxa"/>
            <w:shd w:val="clear" w:color="auto" w:fill="auto"/>
            <w:vAlign w:val="bottom"/>
            <w:hideMark/>
          </w:tcPr>
          <w:p w14:paraId="5424537B" w14:textId="77777777" w:rsidR="00181903" w:rsidRPr="003A7758" w:rsidRDefault="00181903" w:rsidP="00D04AD8">
            <w:pPr>
              <w:suppressAutoHyphens w:val="0"/>
              <w:spacing w:before="80" w:after="80" w:line="220" w:lineRule="exact"/>
              <w:jc w:val="right"/>
              <w:rPr>
                <w:b/>
                <w:bCs/>
                <w:sz w:val="18"/>
                <w:szCs w:val="16"/>
                <w:lang w:eastAsia="zh-CN"/>
              </w:rPr>
            </w:pPr>
            <w:r w:rsidRPr="003A7758">
              <w:rPr>
                <w:b/>
                <w:bCs/>
                <w:sz w:val="18"/>
                <w:szCs w:val="16"/>
                <w:lang w:eastAsia="zh-CN"/>
              </w:rPr>
              <w:t>327</w:t>
            </w:r>
          </w:p>
        </w:tc>
        <w:tc>
          <w:tcPr>
            <w:tcW w:w="1243" w:type="dxa"/>
            <w:shd w:val="clear" w:color="auto" w:fill="auto"/>
            <w:vAlign w:val="bottom"/>
            <w:hideMark/>
          </w:tcPr>
          <w:p w14:paraId="10A36EC7" w14:textId="77777777" w:rsidR="00181903" w:rsidRPr="003A7758" w:rsidRDefault="00181903" w:rsidP="00D04AD8">
            <w:pPr>
              <w:suppressAutoHyphens w:val="0"/>
              <w:spacing w:before="80" w:after="80" w:line="220" w:lineRule="exact"/>
              <w:jc w:val="right"/>
              <w:rPr>
                <w:b/>
                <w:bCs/>
                <w:sz w:val="18"/>
                <w:szCs w:val="16"/>
                <w:lang w:eastAsia="zh-CN"/>
              </w:rPr>
            </w:pPr>
            <w:r w:rsidRPr="003A7758">
              <w:rPr>
                <w:b/>
                <w:bCs/>
                <w:sz w:val="18"/>
                <w:szCs w:val="16"/>
                <w:lang w:eastAsia="zh-CN"/>
              </w:rPr>
              <w:t>116</w:t>
            </w:r>
          </w:p>
        </w:tc>
        <w:tc>
          <w:tcPr>
            <w:tcW w:w="1243" w:type="dxa"/>
            <w:shd w:val="clear" w:color="auto" w:fill="auto"/>
            <w:vAlign w:val="bottom"/>
            <w:hideMark/>
          </w:tcPr>
          <w:p w14:paraId="68DD7AA5" w14:textId="77777777" w:rsidR="00181903" w:rsidRPr="003A7758" w:rsidRDefault="00181903" w:rsidP="00D04AD8">
            <w:pPr>
              <w:suppressAutoHyphens w:val="0"/>
              <w:spacing w:before="80" w:after="80" w:line="220" w:lineRule="exact"/>
              <w:jc w:val="right"/>
              <w:rPr>
                <w:b/>
                <w:bCs/>
                <w:sz w:val="18"/>
                <w:szCs w:val="16"/>
                <w:lang w:eastAsia="zh-CN"/>
              </w:rPr>
            </w:pPr>
            <w:r w:rsidRPr="003A7758">
              <w:rPr>
                <w:b/>
                <w:bCs/>
                <w:sz w:val="18"/>
                <w:szCs w:val="16"/>
                <w:lang w:eastAsia="zh-CN"/>
              </w:rPr>
              <w:t>95</w:t>
            </w:r>
          </w:p>
        </w:tc>
        <w:tc>
          <w:tcPr>
            <w:tcW w:w="1175" w:type="dxa"/>
            <w:gridSpan w:val="2"/>
            <w:shd w:val="clear" w:color="auto" w:fill="auto"/>
            <w:vAlign w:val="bottom"/>
            <w:hideMark/>
          </w:tcPr>
          <w:p w14:paraId="13B6E82E" w14:textId="77777777" w:rsidR="00181903" w:rsidRPr="003A7758" w:rsidRDefault="00181903" w:rsidP="00D04AD8">
            <w:pPr>
              <w:suppressAutoHyphens w:val="0"/>
              <w:spacing w:before="80" w:after="80" w:line="220" w:lineRule="exact"/>
              <w:jc w:val="right"/>
              <w:rPr>
                <w:b/>
                <w:bCs/>
                <w:sz w:val="18"/>
                <w:szCs w:val="16"/>
                <w:lang w:eastAsia="zh-CN"/>
              </w:rPr>
            </w:pPr>
            <w:r w:rsidRPr="003A7758">
              <w:rPr>
                <w:b/>
                <w:bCs/>
                <w:sz w:val="18"/>
                <w:szCs w:val="16"/>
                <w:lang w:eastAsia="zh-CN"/>
              </w:rPr>
              <w:t>211</w:t>
            </w:r>
          </w:p>
        </w:tc>
        <w:tc>
          <w:tcPr>
            <w:tcW w:w="1400" w:type="dxa"/>
            <w:gridSpan w:val="2"/>
            <w:shd w:val="clear" w:color="auto" w:fill="auto"/>
            <w:vAlign w:val="bottom"/>
            <w:hideMark/>
          </w:tcPr>
          <w:p w14:paraId="6AF5F730" w14:textId="77777777" w:rsidR="00181903" w:rsidRPr="003A7758" w:rsidRDefault="00181903" w:rsidP="00D04AD8">
            <w:pPr>
              <w:suppressAutoHyphens w:val="0"/>
              <w:spacing w:before="80" w:after="80" w:line="220" w:lineRule="exact"/>
              <w:jc w:val="right"/>
              <w:rPr>
                <w:b/>
                <w:bCs/>
                <w:sz w:val="18"/>
                <w:szCs w:val="16"/>
                <w:lang w:eastAsia="zh-CN"/>
              </w:rPr>
            </w:pPr>
            <w:r w:rsidRPr="003A7758">
              <w:rPr>
                <w:b/>
                <w:bCs/>
                <w:sz w:val="18"/>
                <w:szCs w:val="16"/>
                <w:lang w:eastAsia="zh-CN"/>
              </w:rPr>
              <w:t>35%</w:t>
            </w:r>
          </w:p>
        </w:tc>
        <w:tc>
          <w:tcPr>
            <w:tcW w:w="1400" w:type="dxa"/>
            <w:gridSpan w:val="2"/>
            <w:shd w:val="clear" w:color="auto" w:fill="auto"/>
            <w:vAlign w:val="bottom"/>
            <w:hideMark/>
          </w:tcPr>
          <w:p w14:paraId="7918DB67" w14:textId="77777777" w:rsidR="00181903" w:rsidRPr="003A7758" w:rsidRDefault="00181903" w:rsidP="00D04AD8">
            <w:pPr>
              <w:suppressAutoHyphens w:val="0"/>
              <w:spacing w:before="80" w:after="80" w:line="220" w:lineRule="exact"/>
              <w:jc w:val="right"/>
              <w:rPr>
                <w:b/>
                <w:bCs/>
                <w:sz w:val="18"/>
                <w:szCs w:val="16"/>
                <w:lang w:eastAsia="zh-CN"/>
              </w:rPr>
            </w:pPr>
            <w:r w:rsidRPr="003A7758">
              <w:rPr>
                <w:b/>
                <w:bCs/>
                <w:sz w:val="18"/>
                <w:szCs w:val="16"/>
                <w:lang w:eastAsia="zh-CN"/>
              </w:rPr>
              <w:t>65%</w:t>
            </w:r>
          </w:p>
        </w:tc>
      </w:tr>
      <w:tr w:rsidR="006938B9" w:rsidRPr="003A7758" w14:paraId="6A6BA4FA" w14:textId="77777777" w:rsidTr="006938B9">
        <w:tc>
          <w:tcPr>
            <w:tcW w:w="1300" w:type="dxa"/>
            <w:shd w:val="clear" w:color="auto" w:fill="auto"/>
            <w:hideMark/>
          </w:tcPr>
          <w:p w14:paraId="00372ABD" w14:textId="77777777"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Inland Transport Committee and Bureau</w:t>
            </w:r>
          </w:p>
        </w:tc>
        <w:tc>
          <w:tcPr>
            <w:tcW w:w="743" w:type="dxa"/>
            <w:shd w:val="clear" w:color="auto" w:fill="auto"/>
            <w:vAlign w:val="bottom"/>
            <w:hideMark/>
          </w:tcPr>
          <w:p w14:paraId="5F6F35ED"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16</w:t>
            </w:r>
          </w:p>
        </w:tc>
        <w:tc>
          <w:tcPr>
            <w:tcW w:w="1243" w:type="dxa"/>
            <w:shd w:val="clear" w:color="auto" w:fill="auto"/>
            <w:vAlign w:val="bottom"/>
            <w:hideMark/>
          </w:tcPr>
          <w:p w14:paraId="4874B7D0"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8</w:t>
            </w:r>
          </w:p>
        </w:tc>
        <w:tc>
          <w:tcPr>
            <w:tcW w:w="1243" w:type="dxa"/>
            <w:shd w:val="clear" w:color="auto" w:fill="auto"/>
            <w:vAlign w:val="bottom"/>
            <w:hideMark/>
          </w:tcPr>
          <w:p w14:paraId="40BC924F"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7</w:t>
            </w:r>
          </w:p>
        </w:tc>
        <w:tc>
          <w:tcPr>
            <w:tcW w:w="1175" w:type="dxa"/>
            <w:gridSpan w:val="2"/>
            <w:shd w:val="clear" w:color="auto" w:fill="auto"/>
            <w:vAlign w:val="bottom"/>
            <w:hideMark/>
          </w:tcPr>
          <w:p w14:paraId="1D45C22F"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15</w:t>
            </w:r>
          </w:p>
        </w:tc>
        <w:tc>
          <w:tcPr>
            <w:tcW w:w="1400" w:type="dxa"/>
            <w:gridSpan w:val="2"/>
            <w:shd w:val="clear" w:color="auto" w:fill="auto"/>
            <w:vAlign w:val="bottom"/>
            <w:hideMark/>
          </w:tcPr>
          <w:p w14:paraId="1837449E"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50%</w:t>
            </w:r>
          </w:p>
        </w:tc>
        <w:tc>
          <w:tcPr>
            <w:tcW w:w="1400" w:type="dxa"/>
            <w:gridSpan w:val="2"/>
            <w:shd w:val="clear" w:color="auto" w:fill="auto"/>
            <w:vAlign w:val="bottom"/>
            <w:hideMark/>
          </w:tcPr>
          <w:p w14:paraId="1B501613"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94%</w:t>
            </w:r>
          </w:p>
        </w:tc>
      </w:tr>
      <w:tr w:rsidR="006938B9" w:rsidRPr="003A7758" w14:paraId="3BFA4DA8" w14:textId="77777777" w:rsidTr="006938B9">
        <w:tc>
          <w:tcPr>
            <w:tcW w:w="1300" w:type="dxa"/>
            <w:shd w:val="clear" w:color="auto" w:fill="auto"/>
            <w:hideMark/>
          </w:tcPr>
          <w:p w14:paraId="3EA4EF00" w14:textId="77777777"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World Forum for Harmonization of Vehicle Regulations</w:t>
            </w:r>
          </w:p>
        </w:tc>
        <w:tc>
          <w:tcPr>
            <w:tcW w:w="743" w:type="dxa"/>
            <w:shd w:val="clear" w:color="auto" w:fill="auto"/>
            <w:vAlign w:val="bottom"/>
            <w:hideMark/>
          </w:tcPr>
          <w:p w14:paraId="5871A738"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111</w:t>
            </w:r>
          </w:p>
        </w:tc>
        <w:tc>
          <w:tcPr>
            <w:tcW w:w="1243" w:type="dxa"/>
            <w:shd w:val="clear" w:color="auto" w:fill="auto"/>
            <w:vAlign w:val="bottom"/>
            <w:hideMark/>
          </w:tcPr>
          <w:p w14:paraId="1B28EF7B"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34</w:t>
            </w:r>
          </w:p>
        </w:tc>
        <w:tc>
          <w:tcPr>
            <w:tcW w:w="1243" w:type="dxa"/>
            <w:shd w:val="clear" w:color="auto" w:fill="auto"/>
            <w:vAlign w:val="bottom"/>
            <w:hideMark/>
          </w:tcPr>
          <w:p w14:paraId="0C77F6E3"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40</w:t>
            </w:r>
          </w:p>
        </w:tc>
        <w:tc>
          <w:tcPr>
            <w:tcW w:w="1175" w:type="dxa"/>
            <w:gridSpan w:val="2"/>
            <w:shd w:val="clear" w:color="auto" w:fill="auto"/>
            <w:vAlign w:val="bottom"/>
            <w:hideMark/>
          </w:tcPr>
          <w:p w14:paraId="71471497"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74</w:t>
            </w:r>
          </w:p>
        </w:tc>
        <w:tc>
          <w:tcPr>
            <w:tcW w:w="1400" w:type="dxa"/>
            <w:gridSpan w:val="2"/>
            <w:shd w:val="clear" w:color="auto" w:fill="auto"/>
            <w:vAlign w:val="bottom"/>
            <w:hideMark/>
          </w:tcPr>
          <w:p w14:paraId="4EEDD28D"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31%</w:t>
            </w:r>
          </w:p>
        </w:tc>
        <w:tc>
          <w:tcPr>
            <w:tcW w:w="1400" w:type="dxa"/>
            <w:gridSpan w:val="2"/>
            <w:shd w:val="clear" w:color="auto" w:fill="auto"/>
            <w:vAlign w:val="bottom"/>
            <w:hideMark/>
          </w:tcPr>
          <w:p w14:paraId="14B34211"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67%</w:t>
            </w:r>
          </w:p>
        </w:tc>
      </w:tr>
      <w:tr w:rsidR="006938B9" w:rsidRPr="003A7758" w14:paraId="7AA171D6" w14:textId="77777777" w:rsidTr="006938B9">
        <w:tc>
          <w:tcPr>
            <w:tcW w:w="1300" w:type="dxa"/>
            <w:shd w:val="clear" w:color="auto" w:fill="auto"/>
            <w:hideMark/>
          </w:tcPr>
          <w:p w14:paraId="0C820AD0" w14:textId="4098B5FD"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Working Party on the Transport of Perishable Foodstuffs</w:t>
            </w:r>
          </w:p>
        </w:tc>
        <w:tc>
          <w:tcPr>
            <w:tcW w:w="743" w:type="dxa"/>
            <w:shd w:val="clear" w:color="auto" w:fill="auto"/>
            <w:vAlign w:val="bottom"/>
            <w:hideMark/>
          </w:tcPr>
          <w:p w14:paraId="73E58CCD" w14:textId="490B45BC"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8</w:t>
            </w:r>
          </w:p>
        </w:tc>
        <w:tc>
          <w:tcPr>
            <w:tcW w:w="1243" w:type="dxa"/>
            <w:shd w:val="clear" w:color="auto" w:fill="auto"/>
            <w:vAlign w:val="bottom"/>
            <w:hideMark/>
          </w:tcPr>
          <w:p w14:paraId="48577A00"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3</w:t>
            </w:r>
          </w:p>
        </w:tc>
        <w:tc>
          <w:tcPr>
            <w:tcW w:w="1243" w:type="dxa"/>
            <w:shd w:val="clear" w:color="auto" w:fill="auto"/>
            <w:vAlign w:val="bottom"/>
            <w:hideMark/>
          </w:tcPr>
          <w:p w14:paraId="5EF030A2"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5</w:t>
            </w:r>
          </w:p>
        </w:tc>
        <w:tc>
          <w:tcPr>
            <w:tcW w:w="1175" w:type="dxa"/>
            <w:gridSpan w:val="2"/>
            <w:shd w:val="clear" w:color="auto" w:fill="auto"/>
            <w:vAlign w:val="bottom"/>
            <w:hideMark/>
          </w:tcPr>
          <w:p w14:paraId="3F86A080"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8</w:t>
            </w:r>
          </w:p>
        </w:tc>
        <w:tc>
          <w:tcPr>
            <w:tcW w:w="1400" w:type="dxa"/>
            <w:gridSpan w:val="2"/>
            <w:shd w:val="clear" w:color="auto" w:fill="auto"/>
            <w:vAlign w:val="bottom"/>
            <w:hideMark/>
          </w:tcPr>
          <w:p w14:paraId="2AC82CB0"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38%</w:t>
            </w:r>
          </w:p>
        </w:tc>
        <w:tc>
          <w:tcPr>
            <w:tcW w:w="1400" w:type="dxa"/>
            <w:gridSpan w:val="2"/>
            <w:shd w:val="clear" w:color="auto" w:fill="auto"/>
            <w:vAlign w:val="bottom"/>
            <w:hideMark/>
          </w:tcPr>
          <w:p w14:paraId="5C671BC6"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100%</w:t>
            </w:r>
          </w:p>
        </w:tc>
      </w:tr>
      <w:tr w:rsidR="006938B9" w:rsidRPr="003A7758" w14:paraId="742E3D38" w14:textId="77777777" w:rsidTr="006938B9">
        <w:tc>
          <w:tcPr>
            <w:tcW w:w="1300" w:type="dxa"/>
            <w:shd w:val="clear" w:color="auto" w:fill="auto"/>
            <w:hideMark/>
          </w:tcPr>
          <w:p w14:paraId="1E992910" w14:textId="621B80D4"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Working Party on the Transport of Dangerous Goods</w:t>
            </w:r>
          </w:p>
        </w:tc>
        <w:tc>
          <w:tcPr>
            <w:tcW w:w="743" w:type="dxa"/>
            <w:shd w:val="clear" w:color="auto" w:fill="auto"/>
            <w:vAlign w:val="bottom"/>
            <w:hideMark/>
          </w:tcPr>
          <w:p w14:paraId="74C90A46"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58</w:t>
            </w:r>
          </w:p>
        </w:tc>
        <w:tc>
          <w:tcPr>
            <w:tcW w:w="1243" w:type="dxa"/>
            <w:shd w:val="clear" w:color="auto" w:fill="auto"/>
            <w:vAlign w:val="bottom"/>
            <w:hideMark/>
          </w:tcPr>
          <w:p w14:paraId="5F9C19DC"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19</w:t>
            </w:r>
          </w:p>
        </w:tc>
        <w:tc>
          <w:tcPr>
            <w:tcW w:w="1243" w:type="dxa"/>
            <w:shd w:val="clear" w:color="auto" w:fill="auto"/>
            <w:vAlign w:val="bottom"/>
            <w:hideMark/>
          </w:tcPr>
          <w:p w14:paraId="029905A3"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13</w:t>
            </w:r>
          </w:p>
        </w:tc>
        <w:tc>
          <w:tcPr>
            <w:tcW w:w="1175" w:type="dxa"/>
            <w:gridSpan w:val="2"/>
            <w:shd w:val="clear" w:color="auto" w:fill="auto"/>
            <w:vAlign w:val="bottom"/>
            <w:hideMark/>
          </w:tcPr>
          <w:p w14:paraId="4379E33B"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32</w:t>
            </w:r>
          </w:p>
        </w:tc>
        <w:tc>
          <w:tcPr>
            <w:tcW w:w="1400" w:type="dxa"/>
            <w:gridSpan w:val="2"/>
            <w:shd w:val="clear" w:color="auto" w:fill="auto"/>
            <w:vAlign w:val="bottom"/>
            <w:hideMark/>
          </w:tcPr>
          <w:p w14:paraId="360F1DF0"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33%</w:t>
            </w:r>
          </w:p>
        </w:tc>
        <w:tc>
          <w:tcPr>
            <w:tcW w:w="1400" w:type="dxa"/>
            <w:gridSpan w:val="2"/>
            <w:shd w:val="clear" w:color="auto" w:fill="auto"/>
            <w:vAlign w:val="bottom"/>
            <w:hideMark/>
          </w:tcPr>
          <w:p w14:paraId="7CFC3FF3"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55%</w:t>
            </w:r>
          </w:p>
        </w:tc>
      </w:tr>
      <w:tr w:rsidR="006938B9" w:rsidRPr="003A7758" w14:paraId="604F9597" w14:textId="77777777" w:rsidTr="006938B9">
        <w:tc>
          <w:tcPr>
            <w:tcW w:w="1300" w:type="dxa"/>
            <w:shd w:val="clear" w:color="auto" w:fill="auto"/>
            <w:hideMark/>
          </w:tcPr>
          <w:p w14:paraId="2CEF7592" w14:textId="16E7A12D"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Working Party on Transport Trends and Economics</w:t>
            </w:r>
          </w:p>
        </w:tc>
        <w:tc>
          <w:tcPr>
            <w:tcW w:w="743" w:type="dxa"/>
            <w:shd w:val="clear" w:color="auto" w:fill="auto"/>
            <w:vAlign w:val="bottom"/>
            <w:hideMark/>
          </w:tcPr>
          <w:p w14:paraId="797E2EFD"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32</w:t>
            </w:r>
          </w:p>
        </w:tc>
        <w:tc>
          <w:tcPr>
            <w:tcW w:w="1243" w:type="dxa"/>
            <w:shd w:val="clear" w:color="auto" w:fill="auto"/>
            <w:vAlign w:val="bottom"/>
            <w:hideMark/>
          </w:tcPr>
          <w:p w14:paraId="78DD8EA7"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5</w:t>
            </w:r>
          </w:p>
        </w:tc>
        <w:tc>
          <w:tcPr>
            <w:tcW w:w="1243" w:type="dxa"/>
            <w:shd w:val="clear" w:color="auto" w:fill="auto"/>
            <w:vAlign w:val="bottom"/>
            <w:hideMark/>
          </w:tcPr>
          <w:p w14:paraId="66B6887D"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7</w:t>
            </w:r>
          </w:p>
        </w:tc>
        <w:tc>
          <w:tcPr>
            <w:tcW w:w="1175" w:type="dxa"/>
            <w:gridSpan w:val="2"/>
            <w:shd w:val="clear" w:color="auto" w:fill="auto"/>
            <w:vAlign w:val="bottom"/>
            <w:hideMark/>
          </w:tcPr>
          <w:p w14:paraId="039F0BF0"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12</w:t>
            </w:r>
          </w:p>
        </w:tc>
        <w:tc>
          <w:tcPr>
            <w:tcW w:w="1400" w:type="dxa"/>
            <w:gridSpan w:val="2"/>
            <w:shd w:val="clear" w:color="auto" w:fill="auto"/>
            <w:vAlign w:val="bottom"/>
            <w:hideMark/>
          </w:tcPr>
          <w:p w14:paraId="0799B894"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16%</w:t>
            </w:r>
          </w:p>
        </w:tc>
        <w:tc>
          <w:tcPr>
            <w:tcW w:w="1400" w:type="dxa"/>
            <w:gridSpan w:val="2"/>
            <w:shd w:val="clear" w:color="auto" w:fill="auto"/>
            <w:vAlign w:val="bottom"/>
            <w:hideMark/>
          </w:tcPr>
          <w:p w14:paraId="2F4AB6B2"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38%</w:t>
            </w:r>
          </w:p>
        </w:tc>
      </w:tr>
      <w:tr w:rsidR="006938B9" w:rsidRPr="003A7758" w14:paraId="51016C38" w14:textId="77777777" w:rsidTr="006938B9">
        <w:tc>
          <w:tcPr>
            <w:tcW w:w="1300" w:type="dxa"/>
            <w:shd w:val="clear" w:color="auto" w:fill="auto"/>
            <w:hideMark/>
          </w:tcPr>
          <w:p w14:paraId="682AB445" w14:textId="465F6C9E"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lastRenderedPageBreak/>
              <w:t>Working Party on Transport Statistics</w:t>
            </w:r>
          </w:p>
        </w:tc>
        <w:tc>
          <w:tcPr>
            <w:tcW w:w="743" w:type="dxa"/>
            <w:shd w:val="clear" w:color="auto" w:fill="auto"/>
            <w:vAlign w:val="bottom"/>
            <w:hideMark/>
          </w:tcPr>
          <w:p w14:paraId="4952A2EB"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6</w:t>
            </w:r>
          </w:p>
        </w:tc>
        <w:tc>
          <w:tcPr>
            <w:tcW w:w="1243" w:type="dxa"/>
            <w:shd w:val="clear" w:color="auto" w:fill="auto"/>
            <w:vAlign w:val="bottom"/>
            <w:hideMark/>
          </w:tcPr>
          <w:p w14:paraId="0240E1C6"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0</w:t>
            </w:r>
          </w:p>
        </w:tc>
        <w:tc>
          <w:tcPr>
            <w:tcW w:w="1243" w:type="dxa"/>
            <w:shd w:val="clear" w:color="auto" w:fill="auto"/>
            <w:vAlign w:val="bottom"/>
            <w:hideMark/>
          </w:tcPr>
          <w:p w14:paraId="0E221896"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4</w:t>
            </w:r>
          </w:p>
        </w:tc>
        <w:tc>
          <w:tcPr>
            <w:tcW w:w="1175" w:type="dxa"/>
            <w:gridSpan w:val="2"/>
            <w:shd w:val="clear" w:color="auto" w:fill="auto"/>
            <w:vAlign w:val="bottom"/>
            <w:hideMark/>
          </w:tcPr>
          <w:p w14:paraId="4D15FA0D"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4</w:t>
            </w:r>
          </w:p>
        </w:tc>
        <w:tc>
          <w:tcPr>
            <w:tcW w:w="1400" w:type="dxa"/>
            <w:gridSpan w:val="2"/>
            <w:shd w:val="clear" w:color="auto" w:fill="auto"/>
            <w:vAlign w:val="bottom"/>
            <w:hideMark/>
          </w:tcPr>
          <w:p w14:paraId="5F26A11C"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0%</w:t>
            </w:r>
          </w:p>
        </w:tc>
        <w:tc>
          <w:tcPr>
            <w:tcW w:w="1400" w:type="dxa"/>
            <w:gridSpan w:val="2"/>
            <w:shd w:val="clear" w:color="auto" w:fill="auto"/>
            <w:vAlign w:val="bottom"/>
            <w:hideMark/>
          </w:tcPr>
          <w:p w14:paraId="67FF8796"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67%</w:t>
            </w:r>
          </w:p>
        </w:tc>
      </w:tr>
      <w:tr w:rsidR="006938B9" w:rsidRPr="003A7758" w14:paraId="564ED61B" w14:textId="77777777" w:rsidTr="006938B9">
        <w:tc>
          <w:tcPr>
            <w:tcW w:w="1300" w:type="dxa"/>
            <w:shd w:val="clear" w:color="auto" w:fill="auto"/>
            <w:hideMark/>
          </w:tcPr>
          <w:p w14:paraId="3EA17B4F" w14:textId="5CD888BD"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Working Party on Road Transport</w:t>
            </w:r>
          </w:p>
        </w:tc>
        <w:tc>
          <w:tcPr>
            <w:tcW w:w="743" w:type="dxa"/>
            <w:shd w:val="clear" w:color="auto" w:fill="auto"/>
            <w:vAlign w:val="bottom"/>
            <w:hideMark/>
          </w:tcPr>
          <w:p w14:paraId="54044CCE"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6</w:t>
            </w:r>
          </w:p>
        </w:tc>
        <w:tc>
          <w:tcPr>
            <w:tcW w:w="1243" w:type="dxa"/>
            <w:shd w:val="clear" w:color="auto" w:fill="auto"/>
            <w:vAlign w:val="bottom"/>
            <w:hideMark/>
          </w:tcPr>
          <w:p w14:paraId="44036323"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6</w:t>
            </w:r>
          </w:p>
        </w:tc>
        <w:tc>
          <w:tcPr>
            <w:tcW w:w="1243" w:type="dxa"/>
            <w:shd w:val="clear" w:color="auto" w:fill="auto"/>
            <w:vAlign w:val="bottom"/>
            <w:hideMark/>
          </w:tcPr>
          <w:p w14:paraId="50FF098F"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0</w:t>
            </w:r>
          </w:p>
        </w:tc>
        <w:tc>
          <w:tcPr>
            <w:tcW w:w="1175" w:type="dxa"/>
            <w:gridSpan w:val="2"/>
            <w:shd w:val="clear" w:color="auto" w:fill="auto"/>
            <w:vAlign w:val="bottom"/>
            <w:hideMark/>
          </w:tcPr>
          <w:p w14:paraId="631E969A"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6</w:t>
            </w:r>
          </w:p>
        </w:tc>
        <w:tc>
          <w:tcPr>
            <w:tcW w:w="1400" w:type="dxa"/>
            <w:gridSpan w:val="2"/>
            <w:shd w:val="clear" w:color="auto" w:fill="auto"/>
            <w:vAlign w:val="bottom"/>
            <w:hideMark/>
          </w:tcPr>
          <w:p w14:paraId="2784821D"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100%</w:t>
            </w:r>
          </w:p>
        </w:tc>
        <w:tc>
          <w:tcPr>
            <w:tcW w:w="1400" w:type="dxa"/>
            <w:gridSpan w:val="2"/>
            <w:shd w:val="clear" w:color="auto" w:fill="auto"/>
            <w:vAlign w:val="bottom"/>
            <w:hideMark/>
          </w:tcPr>
          <w:p w14:paraId="21806928"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100%</w:t>
            </w:r>
          </w:p>
        </w:tc>
      </w:tr>
      <w:tr w:rsidR="006938B9" w:rsidRPr="003A7758" w14:paraId="1463C6FB" w14:textId="77777777" w:rsidTr="006938B9">
        <w:tc>
          <w:tcPr>
            <w:tcW w:w="1300" w:type="dxa"/>
            <w:shd w:val="clear" w:color="auto" w:fill="auto"/>
            <w:hideMark/>
          </w:tcPr>
          <w:p w14:paraId="2978BAF4" w14:textId="77FCA3EB"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Global Forum for Road Traffic Safety</w:t>
            </w:r>
          </w:p>
        </w:tc>
        <w:tc>
          <w:tcPr>
            <w:tcW w:w="743" w:type="dxa"/>
            <w:shd w:val="clear" w:color="auto" w:fill="auto"/>
            <w:vAlign w:val="bottom"/>
            <w:hideMark/>
          </w:tcPr>
          <w:p w14:paraId="17A8E0C2"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14</w:t>
            </w:r>
          </w:p>
        </w:tc>
        <w:tc>
          <w:tcPr>
            <w:tcW w:w="1243" w:type="dxa"/>
            <w:shd w:val="clear" w:color="auto" w:fill="auto"/>
            <w:vAlign w:val="bottom"/>
            <w:hideMark/>
          </w:tcPr>
          <w:p w14:paraId="44C33C35"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14</w:t>
            </w:r>
          </w:p>
        </w:tc>
        <w:tc>
          <w:tcPr>
            <w:tcW w:w="1243" w:type="dxa"/>
            <w:shd w:val="clear" w:color="auto" w:fill="auto"/>
            <w:vAlign w:val="bottom"/>
            <w:hideMark/>
          </w:tcPr>
          <w:p w14:paraId="10E98CE8"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0</w:t>
            </w:r>
          </w:p>
        </w:tc>
        <w:tc>
          <w:tcPr>
            <w:tcW w:w="1175" w:type="dxa"/>
            <w:gridSpan w:val="2"/>
            <w:shd w:val="clear" w:color="auto" w:fill="auto"/>
            <w:vAlign w:val="bottom"/>
            <w:hideMark/>
          </w:tcPr>
          <w:p w14:paraId="6ACF56FA"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14</w:t>
            </w:r>
          </w:p>
        </w:tc>
        <w:tc>
          <w:tcPr>
            <w:tcW w:w="1400" w:type="dxa"/>
            <w:gridSpan w:val="2"/>
            <w:shd w:val="clear" w:color="auto" w:fill="auto"/>
            <w:vAlign w:val="bottom"/>
            <w:hideMark/>
          </w:tcPr>
          <w:p w14:paraId="2F48A597"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100%</w:t>
            </w:r>
          </w:p>
        </w:tc>
        <w:tc>
          <w:tcPr>
            <w:tcW w:w="1400" w:type="dxa"/>
            <w:gridSpan w:val="2"/>
            <w:shd w:val="clear" w:color="auto" w:fill="auto"/>
            <w:vAlign w:val="bottom"/>
            <w:hideMark/>
          </w:tcPr>
          <w:p w14:paraId="11055392"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100%</w:t>
            </w:r>
          </w:p>
        </w:tc>
      </w:tr>
      <w:tr w:rsidR="006938B9" w:rsidRPr="003A7758" w14:paraId="11AAD367" w14:textId="77777777" w:rsidTr="006938B9">
        <w:tc>
          <w:tcPr>
            <w:tcW w:w="1300" w:type="dxa"/>
            <w:shd w:val="clear" w:color="auto" w:fill="auto"/>
            <w:hideMark/>
          </w:tcPr>
          <w:p w14:paraId="52D554D6" w14:textId="0B2EDB01"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Working Party on Rail Transport</w:t>
            </w:r>
          </w:p>
        </w:tc>
        <w:tc>
          <w:tcPr>
            <w:tcW w:w="743" w:type="dxa"/>
            <w:shd w:val="clear" w:color="auto" w:fill="auto"/>
            <w:vAlign w:val="bottom"/>
            <w:hideMark/>
          </w:tcPr>
          <w:p w14:paraId="5D2484C9"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6</w:t>
            </w:r>
          </w:p>
        </w:tc>
        <w:tc>
          <w:tcPr>
            <w:tcW w:w="1243" w:type="dxa"/>
            <w:shd w:val="clear" w:color="auto" w:fill="auto"/>
            <w:vAlign w:val="bottom"/>
            <w:hideMark/>
          </w:tcPr>
          <w:p w14:paraId="5D06F433"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4</w:t>
            </w:r>
          </w:p>
        </w:tc>
        <w:tc>
          <w:tcPr>
            <w:tcW w:w="1243" w:type="dxa"/>
            <w:shd w:val="clear" w:color="auto" w:fill="auto"/>
            <w:vAlign w:val="bottom"/>
            <w:hideMark/>
          </w:tcPr>
          <w:p w14:paraId="6ED338EB"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2</w:t>
            </w:r>
          </w:p>
        </w:tc>
        <w:tc>
          <w:tcPr>
            <w:tcW w:w="1175" w:type="dxa"/>
            <w:gridSpan w:val="2"/>
            <w:shd w:val="clear" w:color="auto" w:fill="auto"/>
            <w:vAlign w:val="bottom"/>
            <w:hideMark/>
          </w:tcPr>
          <w:p w14:paraId="383B7AE5"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6</w:t>
            </w:r>
          </w:p>
        </w:tc>
        <w:tc>
          <w:tcPr>
            <w:tcW w:w="1400" w:type="dxa"/>
            <w:gridSpan w:val="2"/>
            <w:shd w:val="clear" w:color="auto" w:fill="auto"/>
            <w:vAlign w:val="bottom"/>
            <w:hideMark/>
          </w:tcPr>
          <w:p w14:paraId="5CE66FD7"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67%</w:t>
            </w:r>
          </w:p>
        </w:tc>
        <w:tc>
          <w:tcPr>
            <w:tcW w:w="1400" w:type="dxa"/>
            <w:gridSpan w:val="2"/>
            <w:shd w:val="clear" w:color="auto" w:fill="auto"/>
            <w:vAlign w:val="bottom"/>
            <w:hideMark/>
          </w:tcPr>
          <w:p w14:paraId="0F5D8458"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100%</w:t>
            </w:r>
          </w:p>
        </w:tc>
      </w:tr>
      <w:tr w:rsidR="006938B9" w:rsidRPr="003A7758" w14:paraId="414DFA09" w14:textId="77777777" w:rsidTr="006938B9">
        <w:tc>
          <w:tcPr>
            <w:tcW w:w="1300" w:type="dxa"/>
            <w:shd w:val="clear" w:color="auto" w:fill="auto"/>
            <w:hideMark/>
          </w:tcPr>
          <w:p w14:paraId="617CC911" w14:textId="7DBA5DE7"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Working Party on Intermodal Transport and Logistics</w:t>
            </w:r>
          </w:p>
        </w:tc>
        <w:tc>
          <w:tcPr>
            <w:tcW w:w="743" w:type="dxa"/>
            <w:shd w:val="clear" w:color="auto" w:fill="auto"/>
            <w:vAlign w:val="bottom"/>
            <w:hideMark/>
          </w:tcPr>
          <w:p w14:paraId="0B3A894A"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6</w:t>
            </w:r>
          </w:p>
        </w:tc>
        <w:tc>
          <w:tcPr>
            <w:tcW w:w="1243" w:type="dxa"/>
            <w:shd w:val="clear" w:color="auto" w:fill="auto"/>
            <w:vAlign w:val="bottom"/>
            <w:hideMark/>
          </w:tcPr>
          <w:p w14:paraId="5FB195E0"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2</w:t>
            </w:r>
          </w:p>
        </w:tc>
        <w:tc>
          <w:tcPr>
            <w:tcW w:w="1243" w:type="dxa"/>
            <w:shd w:val="clear" w:color="auto" w:fill="auto"/>
            <w:vAlign w:val="bottom"/>
            <w:hideMark/>
          </w:tcPr>
          <w:p w14:paraId="3ACFA2D8"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4</w:t>
            </w:r>
          </w:p>
        </w:tc>
        <w:tc>
          <w:tcPr>
            <w:tcW w:w="1175" w:type="dxa"/>
            <w:gridSpan w:val="2"/>
            <w:shd w:val="clear" w:color="auto" w:fill="auto"/>
            <w:vAlign w:val="bottom"/>
            <w:hideMark/>
          </w:tcPr>
          <w:p w14:paraId="4AA70498"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6</w:t>
            </w:r>
          </w:p>
        </w:tc>
        <w:tc>
          <w:tcPr>
            <w:tcW w:w="1400" w:type="dxa"/>
            <w:gridSpan w:val="2"/>
            <w:shd w:val="clear" w:color="auto" w:fill="auto"/>
            <w:vAlign w:val="bottom"/>
            <w:hideMark/>
          </w:tcPr>
          <w:p w14:paraId="04682A0B"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33%</w:t>
            </w:r>
          </w:p>
        </w:tc>
        <w:tc>
          <w:tcPr>
            <w:tcW w:w="1400" w:type="dxa"/>
            <w:gridSpan w:val="2"/>
            <w:shd w:val="clear" w:color="auto" w:fill="auto"/>
            <w:vAlign w:val="bottom"/>
            <w:hideMark/>
          </w:tcPr>
          <w:p w14:paraId="2B218DE9"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100%</w:t>
            </w:r>
          </w:p>
        </w:tc>
      </w:tr>
      <w:tr w:rsidR="006938B9" w:rsidRPr="003A7758" w14:paraId="1EA43373" w14:textId="77777777" w:rsidTr="006938B9">
        <w:tc>
          <w:tcPr>
            <w:tcW w:w="1300" w:type="dxa"/>
            <w:shd w:val="clear" w:color="auto" w:fill="auto"/>
            <w:hideMark/>
          </w:tcPr>
          <w:p w14:paraId="677E15AA" w14:textId="0044A649"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Working Party on Inland Water Transport</w:t>
            </w:r>
          </w:p>
        </w:tc>
        <w:tc>
          <w:tcPr>
            <w:tcW w:w="743" w:type="dxa"/>
            <w:shd w:val="clear" w:color="auto" w:fill="auto"/>
            <w:vAlign w:val="bottom"/>
            <w:hideMark/>
          </w:tcPr>
          <w:p w14:paraId="6B121843"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18</w:t>
            </w:r>
          </w:p>
        </w:tc>
        <w:tc>
          <w:tcPr>
            <w:tcW w:w="1243" w:type="dxa"/>
            <w:shd w:val="clear" w:color="auto" w:fill="auto"/>
            <w:vAlign w:val="bottom"/>
            <w:hideMark/>
          </w:tcPr>
          <w:p w14:paraId="3039A5B2"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8</w:t>
            </w:r>
          </w:p>
        </w:tc>
        <w:tc>
          <w:tcPr>
            <w:tcW w:w="1243" w:type="dxa"/>
            <w:shd w:val="clear" w:color="auto" w:fill="auto"/>
            <w:vAlign w:val="bottom"/>
            <w:hideMark/>
          </w:tcPr>
          <w:p w14:paraId="2E96721C"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9</w:t>
            </w:r>
          </w:p>
        </w:tc>
        <w:tc>
          <w:tcPr>
            <w:tcW w:w="1175" w:type="dxa"/>
            <w:gridSpan w:val="2"/>
            <w:shd w:val="clear" w:color="auto" w:fill="auto"/>
            <w:vAlign w:val="bottom"/>
            <w:hideMark/>
          </w:tcPr>
          <w:p w14:paraId="5CA46AD8"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17</w:t>
            </w:r>
          </w:p>
        </w:tc>
        <w:tc>
          <w:tcPr>
            <w:tcW w:w="1400" w:type="dxa"/>
            <w:gridSpan w:val="2"/>
            <w:shd w:val="clear" w:color="auto" w:fill="auto"/>
            <w:vAlign w:val="bottom"/>
            <w:hideMark/>
          </w:tcPr>
          <w:p w14:paraId="2AA3D608"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44%</w:t>
            </w:r>
          </w:p>
        </w:tc>
        <w:tc>
          <w:tcPr>
            <w:tcW w:w="1400" w:type="dxa"/>
            <w:gridSpan w:val="2"/>
            <w:shd w:val="clear" w:color="auto" w:fill="auto"/>
            <w:vAlign w:val="bottom"/>
            <w:hideMark/>
          </w:tcPr>
          <w:p w14:paraId="6A56CA85"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94%</w:t>
            </w:r>
          </w:p>
        </w:tc>
      </w:tr>
      <w:tr w:rsidR="006938B9" w:rsidRPr="003A7758" w14:paraId="05EA3DAF" w14:textId="77777777" w:rsidTr="006938B9">
        <w:tc>
          <w:tcPr>
            <w:tcW w:w="1300" w:type="dxa"/>
            <w:shd w:val="clear" w:color="auto" w:fill="auto"/>
            <w:hideMark/>
          </w:tcPr>
          <w:p w14:paraId="1C56822B" w14:textId="5AF9276A"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Working Party on Customs Questions affecting Transport</w:t>
            </w:r>
          </w:p>
        </w:tc>
        <w:tc>
          <w:tcPr>
            <w:tcW w:w="743" w:type="dxa"/>
            <w:shd w:val="clear" w:color="auto" w:fill="auto"/>
            <w:vAlign w:val="bottom"/>
            <w:hideMark/>
          </w:tcPr>
          <w:p w14:paraId="3DCC78B9"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46</w:t>
            </w:r>
          </w:p>
        </w:tc>
        <w:tc>
          <w:tcPr>
            <w:tcW w:w="1243" w:type="dxa"/>
            <w:shd w:val="clear" w:color="auto" w:fill="auto"/>
            <w:vAlign w:val="bottom"/>
            <w:hideMark/>
          </w:tcPr>
          <w:p w14:paraId="68402786"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13</w:t>
            </w:r>
          </w:p>
        </w:tc>
        <w:tc>
          <w:tcPr>
            <w:tcW w:w="1243" w:type="dxa"/>
            <w:shd w:val="clear" w:color="auto" w:fill="auto"/>
            <w:vAlign w:val="bottom"/>
            <w:hideMark/>
          </w:tcPr>
          <w:p w14:paraId="0039231D"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4</w:t>
            </w:r>
          </w:p>
        </w:tc>
        <w:tc>
          <w:tcPr>
            <w:tcW w:w="1175" w:type="dxa"/>
            <w:gridSpan w:val="2"/>
            <w:shd w:val="clear" w:color="auto" w:fill="auto"/>
            <w:vAlign w:val="bottom"/>
            <w:hideMark/>
          </w:tcPr>
          <w:p w14:paraId="2B04C470"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17</w:t>
            </w:r>
          </w:p>
        </w:tc>
        <w:tc>
          <w:tcPr>
            <w:tcW w:w="1400" w:type="dxa"/>
            <w:gridSpan w:val="2"/>
            <w:shd w:val="clear" w:color="auto" w:fill="auto"/>
            <w:vAlign w:val="bottom"/>
            <w:hideMark/>
          </w:tcPr>
          <w:p w14:paraId="70F0B94E"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28%</w:t>
            </w:r>
          </w:p>
        </w:tc>
        <w:tc>
          <w:tcPr>
            <w:tcW w:w="1400" w:type="dxa"/>
            <w:gridSpan w:val="2"/>
            <w:shd w:val="clear" w:color="auto" w:fill="auto"/>
            <w:vAlign w:val="bottom"/>
            <w:hideMark/>
          </w:tcPr>
          <w:p w14:paraId="5E01CB89"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37%</w:t>
            </w:r>
          </w:p>
        </w:tc>
      </w:tr>
      <w:tr w:rsidR="001655EC" w:rsidRPr="003A7758" w14:paraId="58D53017" w14:textId="77777777" w:rsidTr="006938B9">
        <w:tc>
          <w:tcPr>
            <w:tcW w:w="1300" w:type="dxa"/>
            <w:shd w:val="clear" w:color="auto" w:fill="auto"/>
            <w:hideMark/>
          </w:tcPr>
          <w:p w14:paraId="064D202B" w14:textId="4C51AC27" w:rsidR="00181903" w:rsidRPr="00D262AC" w:rsidRDefault="00181903" w:rsidP="003A7758">
            <w:pPr>
              <w:suppressAutoHyphens w:val="0"/>
              <w:spacing w:before="40" w:after="40" w:line="220" w:lineRule="exact"/>
              <w:rPr>
                <w:b/>
                <w:bCs/>
                <w:sz w:val="18"/>
                <w:szCs w:val="16"/>
                <w:lang w:eastAsia="zh-CN"/>
              </w:rPr>
            </w:pPr>
            <w:r w:rsidRPr="00D262AC">
              <w:rPr>
                <w:b/>
                <w:bCs/>
                <w:sz w:val="18"/>
                <w:szCs w:val="16"/>
                <w:lang w:eastAsia="zh-CN"/>
              </w:rPr>
              <w:t>ECOSOC</w:t>
            </w:r>
          </w:p>
        </w:tc>
        <w:tc>
          <w:tcPr>
            <w:tcW w:w="743" w:type="dxa"/>
            <w:shd w:val="clear" w:color="auto" w:fill="auto"/>
            <w:vAlign w:val="bottom"/>
            <w:hideMark/>
          </w:tcPr>
          <w:p w14:paraId="57D7D0EF"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40</w:t>
            </w:r>
          </w:p>
        </w:tc>
        <w:tc>
          <w:tcPr>
            <w:tcW w:w="1243" w:type="dxa"/>
            <w:shd w:val="clear" w:color="auto" w:fill="auto"/>
            <w:vAlign w:val="bottom"/>
            <w:hideMark/>
          </w:tcPr>
          <w:p w14:paraId="0D774D53"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8</w:t>
            </w:r>
          </w:p>
        </w:tc>
        <w:tc>
          <w:tcPr>
            <w:tcW w:w="1243" w:type="dxa"/>
            <w:shd w:val="clear" w:color="auto" w:fill="auto"/>
            <w:vAlign w:val="bottom"/>
            <w:hideMark/>
          </w:tcPr>
          <w:p w14:paraId="34DE1D3B"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9</w:t>
            </w:r>
          </w:p>
        </w:tc>
        <w:tc>
          <w:tcPr>
            <w:tcW w:w="1175" w:type="dxa"/>
            <w:gridSpan w:val="2"/>
            <w:shd w:val="clear" w:color="auto" w:fill="auto"/>
            <w:vAlign w:val="bottom"/>
            <w:hideMark/>
          </w:tcPr>
          <w:p w14:paraId="48141D20"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17</w:t>
            </w:r>
          </w:p>
        </w:tc>
        <w:tc>
          <w:tcPr>
            <w:tcW w:w="1400" w:type="dxa"/>
            <w:gridSpan w:val="2"/>
            <w:shd w:val="clear" w:color="auto" w:fill="auto"/>
            <w:vAlign w:val="bottom"/>
            <w:hideMark/>
          </w:tcPr>
          <w:p w14:paraId="46AE3369"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20%</w:t>
            </w:r>
          </w:p>
        </w:tc>
        <w:tc>
          <w:tcPr>
            <w:tcW w:w="1400" w:type="dxa"/>
            <w:gridSpan w:val="2"/>
            <w:shd w:val="clear" w:color="auto" w:fill="auto"/>
            <w:vAlign w:val="bottom"/>
            <w:hideMark/>
          </w:tcPr>
          <w:p w14:paraId="23F7145E"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43%</w:t>
            </w:r>
          </w:p>
        </w:tc>
      </w:tr>
      <w:tr w:rsidR="006938B9" w:rsidRPr="003A7758" w14:paraId="7314410C" w14:textId="77777777" w:rsidTr="006938B9">
        <w:tc>
          <w:tcPr>
            <w:tcW w:w="1300" w:type="dxa"/>
            <w:shd w:val="clear" w:color="auto" w:fill="auto"/>
            <w:hideMark/>
          </w:tcPr>
          <w:p w14:paraId="05A2C950" w14:textId="2CF59AD5"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ECOSOC Committee of Experts on TDG and on GHS</w:t>
            </w:r>
          </w:p>
        </w:tc>
        <w:tc>
          <w:tcPr>
            <w:tcW w:w="743" w:type="dxa"/>
            <w:shd w:val="clear" w:color="auto" w:fill="auto"/>
            <w:vAlign w:val="bottom"/>
            <w:hideMark/>
          </w:tcPr>
          <w:p w14:paraId="5111A534"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w:t>
            </w:r>
          </w:p>
        </w:tc>
        <w:tc>
          <w:tcPr>
            <w:tcW w:w="1243" w:type="dxa"/>
            <w:shd w:val="clear" w:color="auto" w:fill="auto"/>
            <w:vAlign w:val="bottom"/>
            <w:hideMark/>
          </w:tcPr>
          <w:p w14:paraId="2CFB9D00"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w:t>
            </w:r>
          </w:p>
        </w:tc>
        <w:tc>
          <w:tcPr>
            <w:tcW w:w="1243" w:type="dxa"/>
            <w:shd w:val="clear" w:color="auto" w:fill="auto"/>
            <w:vAlign w:val="bottom"/>
            <w:hideMark/>
          </w:tcPr>
          <w:p w14:paraId="4BC2CC0F"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0</w:t>
            </w:r>
          </w:p>
        </w:tc>
        <w:tc>
          <w:tcPr>
            <w:tcW w:w="1175" w:type="dxa"/>
            <w:gridSpan w:val="2"/>
            <w:shd w:val="clear" w:color="auto" w:fill="auto"/>
            <w:vAlign w:val="bottom"/>
            <w:hideMark/>
          </w:tcPr>
          <w:p w14:paraId="0B1B4B19"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w:t>
            </w:r>
          </w:p>
        </w:tc>
        <w:tc>
          <w:tcPr>
            <w:tcW w:w="1400" w:type="dxa"/>
            <w:gridSpan w:val="2"/>
            <w:shd w:val="clear" w:color="auto" w:fill="auto"/>
            <w:vAlign w:val="bottom"/>
            <w:hideMark/>
          </w:tcPr>
          <w:p w14:paraId="311CA3EC"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100%</w:t>
            </w:r>
          </w:p>
        </w:tc>
        <w:tc>
          <w:tcPr>
            <w:tcW w:w="1400" w:type="dxa"/>
            <w:gridSpan w:val="2"/>
            <w:shd w:val="clear" w:color="auto" w:fill="auto"/>
            <w:vAlign w:val="bottom"/>
            <w:hideMark/>
          </w:tcPr>
          <w:p w14:paraId="32C96429"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100%</w:t>
            </w:r>
          </w:p>
        </w:tc>
      </w:tr>
      <w:tr w:rsidR="006938B9" w:rsidRPr="003A7758" w14:paraId="4DD69629" w14:textId="77777777" w:rsidTr="006938B9">
        <w:tc>
          <w:tcPr>
            <w:tcW w:w="1300" w:type="dxa"/>
            <w:shd w:val="clear" w:color="auto" w:fill="auto"/>
            <w:hideMark/>
          </w:tcPr>
          <w:p w14:paraId="6B10667D" w14:textId="565F4F61"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ECOSOC Subcommittee of Experts on TDG</w:t>
            </w:r>
          </w:p>
        </w:tc>
        <w:tc>
          <w:tcPr>
            <w:tcW w:w="743" w:type="dxa"/>
            <w:shd w:val="clear" w:color="auto" w:fill="auto"/>
            <w:vAlign w:val="bottom"/>
            <w:hideMark/>
          </w:tcPr>
          <w:p w14:paraId="6F38B06F"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29</w:t>
            </w:r>
          </w:p>
        </w:tc>
        <w:tc>
          <w:tcPr>
            <w:tcW w:w="1243" w:type="dxa"/>
            <w:shd w:val="clear" w:color="auto" w:fill="auto"/>
            <w:vAlign w:val="bottom"/>
            <w:hideMark/>
          </w:tcPr>
          <w:p w14:paraId="6CD5893C"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5</w:t>
            </w:r>
          </w:p>
        </w:tc>
        <w:tc>
          <w:tcPr>
            <w:tcW w:w="1243" w:type="dxa"/>
            <w:shd w:val="clear" w:color="auto" w:fill="auto"/>
            <w:vAlign w:val="bottom"/>
            <w:hideMark/>
          </w:tcPr>
          <w:p w14:paraId="56FEA6D3"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7</w:t>
            </w:r>
          </w:p>
        </w:tc>
        <w:tc>
          <w:tcPr>
            <w:tcW w:w="1175" w:type="dxa"/>
            <w:gridSpan w:val="2"/>
            <w:shd w:val="clear" w:color="auto" w:fill="auto"/>
            <w:vAlign w:val="bottom"/>
            <w:hideMark/>
          </w:tcPr>
          <w:p w14:paraId="0252D961"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12</w:t>
            </w:r>
          </w:p>
        </w:tc>
        <w:tc>
          <w:tcPr>
            <w:tcW w:w="1400" w:type="dxa"/>
            <w:gridSpan w:val="2"/>
            <w:shd w:val="clear" w:color="auto" w:fill="auto"/>
            <w:vAlign w:val="bottom"/>
            <w:hideMark/>
          </w:tcPr>
          <w:p w14:paraId="3F6A00DB"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17%</w:t>
            </w:r>
          </w:p>
        </w:tc>
        <w:tc>
          <w:tcPr>
            <w:tcW w:w="1400" w:type="dxa"/>
            <w:gridSpan w:val="2"/>
            <w:shd w:val="clear" w:color="auto" w:fill="auto"/>
            <w:vAlign w:val="bottom"/>
            <w:hideMark/>
          </w:tcPr>
          <w:p w14:paraId="60AFA840"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41%</w:t>
            </w:r>
          </w:p>
        </w:tc>
      </w:tr>
      <w:tr w:rsidR="006938B9" w:rsidRPr="003A7758" w14:paraId="26E39D73" w14:textId="77777777" w:rsidTr="006938B9">
        <w:tc>
          <w:tcPr>
            <w:tcW w:w="1300" w:type="dxa"/>
            <w:shd w:val="clear" w:color="auto" w:fill="auto"/>
            <w:hideMark/>
          </w:tcPr>
          <w:p w14:paraId="3C4B86D9" w14:textId="583684AC"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ECOSOC Subcommittee of Experts on GHS</w:t>
            </w:r>
          </w:p>
        </w:tc>
        <w:tc>
          <w:tcPr>
            <w:tcW w:w="743" w:type="dxa"/>
            <w:shd w:val="clear" w:color="auto" w:fill="auto"/>
            <w:vAlign w:val="bottom"/>
            <w:hideMark/>
          </w:tcPr>
          <w:p w14:paraId="38811883"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10</w:t>
            </w:r>
          </w:p>
        </w:tc>
        <w:tc>
          <w:tcPr>
            <w:tcW w:w="1243" w:type="dxa"/>
            <w:shd w:val="clear" w:color="auto" w:fill="auto"/>
            <w:vAlign w:val="bottom"/>
            <w:hideMark/>
          </w:tcPr>
          <w:p w14:paraId="4B961FB9"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2</w:t>
            </w:r>
          </w:p>
        </w:tc>
        <w:tc>
          <w:tcPr>
            <w:tcW w:w="1243" w:type="dxa"/>
            <w:shd w:val="clear" w:color="auto" w:fill="auto"/>
            <w:vAlign w:val="bottom"/>
            <w:hideMark/>
          </w:tcPr>
          <w:p w14:paraId="594BD6A5"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2</w:t>
            </w:r>
          </w:p>
        </w:tc>
        <w:tc>
          <w:tcPr>
            <w:tcW w:w="1175" w:type="dxa"/>
            <w:gridSpan w:val="2"/>
            <w:shd w:val="clear" w:color="auto" w:fill="auto"/>
            <w:vAlign w:val="bottom"/>
            <w:hideMark/>
          </w:tcPr>
          <w:p w14:paraId="4D765AFF"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4</w:t>
            </w:r>
          </w:p>
        </w:tc>
        <w:tc>
          <w:tcPr>
            <w:tcW w:w="1400" w:type="dxa"/>
            <w:gridSpan w:val="2"/>
            <w:shd w:val="clear" w:color="auto" w:fill="auto"/>
            <w:vAlign w:val="bottom"/>
            <w:hideMark/>
          </w:tcPr>
          <w:p w14:paraId="508DC76C"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20%</w:t>
            </w:r>
          </w:p>
        </w:tc>
        <w:tc>
          <w:tcPr>
            <w:tcW w:w="1400" w:type="dxa"/>
            <w:gridSpan w:val="2"/>
            <w:shd w:val="clear" w:color="auto" w:fill="auto"/>
            <w:vAlign w:val="bottom"/>
            <w:hideMark/>
          </w:tcPr>
          <w:p w14:paraId="6A284B74"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40%</w:t>
            </w:r>
          </w:p>
        </w:tc>
      </w:tr>
      <w:tr w:rsidR="001655EC" w:rsidRPr="003A7758" w14:paraId="400ECF48" w14:textId="77777777" w:rsidTr="006938B9">
        <w:tc>
          <w:tcPr>
            <w:tcW w:w="1300" w:type="dxa"/>
            <w:shd w:val="clear" w:color="auto" w:fill="auto"/>
            <w:hideMark/>
          </w:tcPr>
          <w:p w14:paraId="051C055F" w14:textId="2FD36865" w:rsidR="00181903" w:rsidRPr="00D262AC" w:rsidRDefault="00181903" w:rsidP="003A7758">
            <w:pPr>
              <w:suppressAutoHyphens w:val="0"/>
              <w:spacing w:before="40" w:after="40" w:line="220" w:lineRule="exact"/>
              <w:rPr>
                <w:b/>
                <w:bCs/>
                <w:sz w:val="18"/>
                <w:szCs w:val="16"/>
                <w:lang w:eastAsia="zh-CN"/>
              </w:rPr>
            </w:pPr>
            <w:r w:rsidRPr="00D262AC">
              <w:rPr>
                <w:b/>
                <w:bCs/>
                <w:sz w:val="18"/>
                <w:szCs w:val="16"/>
                <w:lang w:eastAsia="zh-CN"/>
              </w:rPr>
              <w:t>THE PEP</w:t>
            </w:r>
          </w:p>
        </w:tc>
        <w:tc>
          <w:tcPr>
            <w:tcW w:w="743" w:type="dxa"/>
            <w:shd w:val="clear" w:color="auto" w:fill="auto"/>
            <w:vAlign w:val="bottom"/>
            <w:hideMark/>
          </w:tcPr>
          <w:p w14:paraId="1F06B0A8"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2</w:t>
            </w:r>
          </w:p>
        </w:tc>
        <w:tc>
          <w:tcPr>
            <w:tcW w:w="1243" w:type="dxa"/>
            <w:shd w:val="clear" w:color="auto" w:fill="auto"/>
            <w:vAlign w:val="bottom"/>
            <w:hideMark/>
          </w:tcPr>
          <w:p w14:paraId="5EB3D7C6"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0</w:t>
            </w:r>
          </w:p>
        </w:tc>
        <w:tc>
          <w:tcPr>
            <w:tcW w:w="1243" w:type="dxa"/>
            <w:shd w:val="clear" w:color="auto" w:fill="auto"/>
            <w:vAlign w:val="bottom"/>
            <w:hideMark/>
          </w:tcPr>
          <w:p w14:paraId="3469B05B"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2</w:t>
            </w:r>
          </w:p>
        </w:tc>
        <w:tc>
          <w:tcPr>
            <w:tcW w:w="1175" w:type="dxa"/>
            <w:gridSpan w:val="2"/>
            <w:shd w:val="clear" w:color="auto" w:fill="auto"/>
            <w:vAlign w:val="bottom"/>
            <w:hideMark/>
          </w:tcPr>
          <w:p w14:paraId="559F5C56"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2</w:t>
            </w:r>
          </w:p>
        </w:tc>
        <w:tc>
          <w:tcPr>
            <w:tcW w:w="1400" w:type="dxa"/>
            <w:gridSpan w:val="2"/>
            <w:shd w:val="clear" w:color="auto" w:fill="auto"/>
            <w:vAlign w:val="bottom"/>
            <w:hideMark/>
          </w:tcPr>
          <w:p w14:paraId="5DA641CE"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0%</w:t>
            </w:r>
          </w:p>
        </w:tc>
        <w:tc>
          <w:tcPr>
            <w:tcW w:w="1400" w:type="dxa"/>
            <w:gridSpan w:val="2"/>
            <w:shd w:val="clear" w:color="auto" w:fill="auto"/>
            <w:vAlign w:val="bottom"/>
            <w:hideMark/>
          </w:tcPr>
          <w:p w14:paraId="4E37719F" w14:textId="77777777" w:rsidR="00181903" w:rsidRPr="00D262AC" w:rsidRDefault="00181903" w:rsidP="003A7758">
            <w:pPr>
              <w:suppressAutoHyphens w:val="0"/>
              <w:spacing w:before="40" w:after="40" w:line="220" w:lineRule="exact"/>
              <w:jc w:val="right"/>
              <w:rPr>
                <w:b/>
                <w:bCs/>
                <w:sz w:val="18"/>
                <w:szCs w:val="16"/>
                <w:lang w:eastAsia="zh-CN"/>
              </w:rPr>
            </w:pPr>
            <w:r w:rsidRPr="00D262AC">
              <w:rPr>
                <w:b/>
                <w:bCs/>
                <w:sz w:val="18"/>
                <w:szCs w:val="16"/>
                <w:lang w:eastAsia="zh-CN"/>
              </w:rPr>
              <w:t>100%</w:t>
            </w:r>
          </w:p>
        </w:tc>
      </w:tr>
      <w:tr w:rsidR="006938B9" w:rsidRPr="003A7758" w14:paraId="6E74AF58" w14:textId="77777777" w:rsidTr="006938B9">
        <w:tc>
          <w:tcPr>
            <w:tcW w:w="1300" w:type="dxa"/>
            <w:shd w:val="clear" w:color="auto" w:fill="auto"/>
            <w:hideMark/>
          </w:tcPr>
          <w:p w14:paraId="1332D3ED" w14:textId="32FC6BCB" w:rsidR="00181903" w:rsidRPr="003A7758" w:rsidRDefault="00181903" w:rsidP="003A7758">
            <w:pPr>
              <w:suppressAutoHyphens w:val="0"/>
              <w:spacing w:before="40" w:after="40" w:line="220" w:lineRule="exact"/>
              <w:rPr>
                <w:sz w:val="18"/>
                <w:szCs w:val="16"/>
                <w:lang w:eastAsia="zh-CN"/>
              </w:rPr>
            </w:pPr>
            <w:r w:rsidRPr="003A7758">
              <w:rPr>
                <w:sz w:val="18"/>
                <w:szCs w:val="16"/>
                <w:lang w:eastAsia="zh-CN"/>
              </w:rPr>
              <w:t>High-level Meeting on Transport, Health and Environment</w:t>
            </w:r>
          </w:p>
        </w:tc>
        <w:tc>
          <w:tcPr>
            <w:tcW w:w="743" w:type="dxa"/>
            <w:shd w:val="clear" w:color="auto" w:fill="auto"/>
            <w:vAlign w:val="bottom"/>
            <w:hideMark/>
          </w:tcPr>
          <w:p w14:paraId="1FF8EB9D"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2</w:t>
            </w:r>
          </w:p>
        </w:tc>
        <w:tc>
          <w:tcPr>
            <w:tcW w:w="1243" w:type="dxa"/>
            <w:shd w:val="clear" w:color="auto" w:fill="auto"/>
            <w:vAlign w:val="bottom"/>
            <w:hideMark/>
          </w:tcPr>
          <w:p w14:paraId="2B73A893"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0</w:t>
            </w:r>
          </w:p>
        </w:tc>
        <w:tc>
          <w:tcPr>
            <w:tcW w:w="1243" w:type="dxa"/>
            <w:shd w:val="clear" w:color="auto" w:fill="auto"/>
            <w:vAlign w:val="bottom"/>
            <w:hideMark/>
          </w:tcPr>
          <w:p w14:paraId="0F16CE45"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2</w:t>
            </w:r>
          </w:p>
        </w:tc>
        <w:tc>
          <w:tcPr>
            <w:tcW w:w="1175" w:type="dxa"/>
            <w:gridSpan w:val="2"/>
            <w:shd w:val="clear" w:color="auto" w:fill="auto"/>
            <w:vAlign w:val="bottom"/>
            <w:hideMark/>
          </w:tcPr>
          <w:p w14:paraId="78F3EFC0" w14:textId="77777777" w:rsidR="00181903" w:rsidRPr="003A7758" w:rsidRDefault="00181903" w:rsidP="003A7758">
            <w:pPr>
              <w:suppressAutoHyphens w:val="0"/>
              <w:spacing w:before="40" w:after="40" w:line="220" w:lineRule="exact"/>
              <w:jc w:val="right"/>
              <w:rPr>
                <w:sz w:val="18"/>
                <w:szCs w:val="16"/>
                <w:lang w:eastAsia="zh-CN"/>
              </w:rPr>
            </w:pPr>
            <w:r w:rsidRPr="003A7758">
              <w:rPr>
                <w:sz w:val="18"/>
                <w:szCs w:val="16"/>
                <w:lang w:eastAsia="zh-CN"/>
              </w:rPr>
              <w:t>2</w:t>
            </w:r>
          </w:p>
        </w:tc>
        <w:tc>
          <w:tcPr>
            <w:tcW w:w="1400" w:type="dxa"/>
            <w:gridSpan w:val="2"/>
            <w:shd w:val="clear" w:color="auto" w:fill="auto"/>
            <w:vAlign w:val="bottom"/>
            <w:hideMark/>
          </w:tcPr>
          <w:p w14:paraId="41418BEA"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0%</w:t>
            </w:r>
          </w:p>
        </w:tc>
        <w:tc>
          <w:tcPr>
            <w:tcW w:w="1400" w:type="dxa"/>
            <w:gridSpan w:val="2"/>
            <w:shd w:val="clear" w:color="auto" w:fill="auto"/>
            <w:vAlign w:val="bottom"/>
            <w:hideMark/>
          </w:tcPr>
          <w:p w14:paraId="0AA170E5" w14:textId="77777777" w:rsidR="00181903" w:rsidRPr="003A7758" w:rsidRDefault="00181903" w:rsidP="003A7758">
            <w:pPr>
              <w:suppressAutoHyphens w:val="0"/>
              <w:spacing w:before="40" w:after="40" w:line="220" w:lineRule="exact"/>
              <w:jc w:val="right"/>
              <w:rPr>
                <w:b/>
                <w:bCs/>
                <w:sz w:val="18"/>
                <w:szCs w:val="16"/>
                <w:lang w:eastAsia="zh-CN"/>
              </w:rPr>
            </w:pPr>
            <w:r w:rsidRPr="003A7758">
              <w:rPr>
                <w:b/>
                <w:bCs/>
                <w:sz w:val="18"/>
                <w:szCs w:val="16"/>
                <w:lang w:eastAsia="zh-CN"/>
              </w:rPr>
              <w:t>100%</w:t>
            </w:r>
          </w:p>
        </w:tc>
      </w:tr>
      <w:tr w:rsidR="006938B9" w:rsidRPr="003A7758" w14:paraId="1BA79059" w14:textId="77777777" w:rsidTr="006938B9">
        <w:tc>
          <w:tcPr>
            <w:tcW w:w="1300" w:type="dxa"/>
            <w:tcBorders>
              <w:bottom w:val="single" w:sz="12" w:space="0" w:color="auto"/>
            </w:tcBorders>
            <w:shd w:val="clear" w:color="auto" w:fill="auto"/>
          </w:tcPr>
          <w:p w14:paraId="0D77BEFA" w14:textId="177479A8" w:rsidR="001655EC" w:rsidRPr="003A7758" w:rsidRDefault="001655EC" w:rsidP="003A7758">
            <w:pPr>
              <w:suppressAutoHyphens w:val="0"/>
              <w:spacing w:before="40" w:after="40" w:line="220" w:lineRule="exact"/>
              <w:rPr>
                <w:sz w:val="18"/>
                <w:szCs w:val="16"/>
                <w:lang w:eastAsia="zh-CN"/>
              </w:rPr>
            </w:pPr>
          </w:p>
        </w:tc>
        <w:tc>
          <w:tcPr>
            <w:tcW w:w="743" w:type="dxa"/>
            <w:tcBorders>
              <w:bottom w:val="single" w:sz="12" w:space="0" w:color="auto"/>
            </w:tcBorders>
            <w:shd w:val="clear" w:color="auto" w:fill="auto"/>
            <w:vAlign w:val="bottom"/>
          </w:tcPr>
          <w:p w14:paraId="45E647F9" w14:textId="77777777" w:rsidR="001655EC" w:rsidRPr="003A7758" w:rsidRDefault="001655EC" w:rsidP="003A7758">
            <w:pPr>
              <w:suppressAutoHyphens w:val="0"/>
              <w:spacing w:before="40" w:after="40" w:line="220" w:lineRule="exact"/>
              <w:jc w:val="right"/>
              <w:rPr>
                <w:sz w:val="18"/>
                <w:szCs w:val="16"/>
                <w:lang w:eastAsia="zh-CN"/>
              </w:rPr>
            </w:pPr>
          </w:p>
        </w:tc>
        <w:tc>
          <w:tcPr>
            <w:tcW w:w="1243" w:type="dxa"/>
            <w:tcBorders>
              <w:bottom w:val="single" w:sz="12" w:space="0" w:color="auto"/>
            </w:tcBorders>
            <w:shd w:val="clear" w:color="auto" w:fill="auto"/>
            <w:vAlign w:val="bottom"/>
          </w:tcPr>
          <w:p w14:paraId="2E63FC6A" w14:textId="77777777" w:rsidR="001655EC" w:rsidRPr="003A7758" w:rsidRDefault="001655EC" w:rsidP="003A7758">
            <w:pPr>
              <w:suppressAutoHyphens w:val="0"/>
              <w:spacing w:before="40" w:after="40" w:line="220" w:lineRule="exact"/>
              <w:jc w:val="right"/>
              <w:rPr>
                <w:sz w:val="18"/>
                <w:szCs w:val="16"/>
                <w:lang w:eastAsia="zh-CN"/>
              </w:rPr>
            </w:pPr>
          </w:p>
        </w:tc>
        <w:tc>
          <w:tcPr>
            <w:tcW w:w="1243" w:type="dxa"/>
            <w:tcBorders>
              <w:bottom w:val="single" w:sz="12" w:space="0" w:color="auto"/>
            </w:tcBorders>
            <w:shd w:val="clear" w:color="auto" w:fill="auto"/>
            <w:vAlign w:val="bottom"/>
          </w:tcPr>
          <w:p w14:paraId="4CD749FF" w14:textId="77777777" w:rsidR="001655EC" w:rsidRPr="003A7758" w:rsidRDefault="001655EC" w:rsidP="003A7758">
            <w:pPr>
              <w:suppressAutoHyphens w:val="0"/>
              <w:spacing w:before="40" w:after="40" w:line="220" w:lineRule="exact"/>
              <w:jc w:val="right"/>
              <w:rPr>
                <w:sz w:val="18"/>
                <w:szCs w:val="16"/>
                <w:lang w:eastAsia="zh-CN"/>
              </w:rPr>
            </w:pPr>
          </w:p>
        </w:tc>
        <w:tc>
          <w:tcPr>
            <w:tcW w:w="1175" w:type="dxa"/>
            <w:gridSpan w:val="2"/>
            <w:tcBorders>
              <w:bottom w:val="single" w:sz="12" w:space="0" w:color="auto"/>
            </w:tcBorders>
            <w:shd w:val="clear" w:color="auto" w:fill="auto"/>
            <w:vAlign w:val="bottom"/>
          </w:tcPr>
          <w:p w14:paraId="7A3E8D28" w14:textId="77777777" w:rsidR="001655EC" w:rsidRPr="003A7758" w:rsidRDefault="001655EC" w:rsidP="003A7758">
            <w:pPr>
              <w:suppressAutoHyphens w:val="0"/>
              <w:spacing w:before="40" w:after="40" w:line="220" w:lineRule="exact"/>
              <w:jc w:val="right"/>
              <w:rPr>
                <w:sz w:val="18"/>
                <w:szCs w:val="16"/>
                <w:lang w:eastAsia="zh-CN"/>
              </w:rPr>
            </w:pPr>
          </w:p>
        </w:tc>
        <w:tc>
          <w:tcPr>
            <w:tcW w:w="1400" w:type="dxa"/>
            <w:gridSpan w:val="2"/>
            <w:tcBorders>
              <w:bottom w:val="single" w:sz="12" w:space="0" w:color="auto"/>
            </w:tcBorders>
            <w:shd w:val="clear" w:color="auto" w:fill="auto"/>
            <w:vAlign w:val="bottom"/>
          </w:tcPr>
          <w:p w14:paraId="4CBA2959" w14:textId="77777777" w:rsidR="001655EC" w:rsidRPr="003A7758" w:rsidRDefault="001655EC" w:rsidP="003A7758">
            <w:pPr>
              <w:suppressAutoHyphens w:val="0"/>
              <w:spacing w:before="40" w:after="40" w:line="220" w:lineRule="exact"/>
              <w:jc w:val="right"/>
              <w:rPr>
                <w:sz w:val="18"/>
                <w:szCs w:val="16"/>
                <w:lang w:eastAsia="zh-CN"/>
              </w:rPr>
            </w:pPr>
          </w:p>
        </w:tc>
        <w:tc>
          <w:tcPr>
            <w:tcW w:w="1400" w:type="dxa"/>
            <w:gridSpan w:val="2"/>
            <w:tcBorders>
              <w:bottom w:val="single" w:sz="12" w:space="0" w:color="auto"/>
            </w:tcBorders>
            <w:shd w:val="clear" w:color="auto" w:fill="auto"/>
            <w:vAlign w:val="bottom"/>
          </w:tcPr>
          <w:p w14:paraId="1CD111E0" w14:textId="77777777" w:rsidR="001655EC" w:rsidRPr="003A7758" w:rsidRDefault="001655EC" w:rsidP="003A7758">
            <w:pPr>
              <w:suppressAutoHyphens w:val="0"/>
              <w:spacing w:before="40" w:after="40" w:line="220" w:lineRule="exact"/>
              <w:jc w:val="right"/>
              <w:rPr>
                <w:sz w:val="18"/>
                <w:szCs w:val="16"/>
                <w:lang w:eastAsia="zh-CN"/>
              </w:rPr>
            </w:pPr>
          </w:p>
        </w:tc>
      </w:tr>
    </w:tbl>
    <w:p w14:paraId="06833031" w14:textId="53CEBE43" w:rsidR="009662CD" w:rsidRPr="001655EC" w:rsidRDefault="001655EC" w:rsidP="00D04AD8">
      <w:pPr>
        <w:pStyle w:val="SingleTxtG"/>
        <w:keepNext/>
        <w:keepLines/>
        <w:spacing w:after="0" w:line="220" w:lineRule="exact"/>
        <w:ind w:right="0" w:firstLine="170"/>
        <w:jc w:val="left"/>
        <w:rPr>
          <w:b/>
          <w:bCs/>
          <w:sz w:val="18"/>
        </w:rPr>
      </w:pPr>
      <w:r w:rsidRPr="001655EC">
        <w:rPr>
          <w:sz w:val="18"/>
          <w:szCs w:val="16"/>
          <w:lang w:eastAsia="zh-CN"/>
        </w:rPr>
        <w:t>* Best annual estimates as of 22 December 2020</w:t>
      </w:r>
    </w:p>
    <w:p w14:paraId="41F10887" w14:textId="666E27F7" w:rsidR="009662CD" w:rsidRPr="0044264B" w:rsidRDefault="009662CD" w:rsidP="006C0C13">
      <w:pPr>
        <w:pStyle w:val="H23G"/>
      </w:pPr>
      <w:bookmarkStart w:id="1" w:name="_Hlk42791676"/>
      <w:r w:rsidRPr="0044264B">
        <w:tab/>
        <w:t>2.</w:t>
      </w:r>
      <w:r w:rsidRPr="0044264B">
        <w:tab/>
        <w:t>Impact</w:t>
      </w:r>
      <w:r>
        <w:t>s</w:t>
      </w:r>
      <w:r w:rsidRPr="0044264B">
        <w:t xml:space="preserve"> on </w:t>
      </w:r>
      <w:r>
        <w:t xml:space="preserve">meetings </w:t>
      </w:r>
      <w:r w:rsidRPr="0044264B">
        <w:t>of Teams of Specialists (Groups of Experts)</w:t>
      </w:r>
    </w:p>
    <w:p w14:paraId="56E10C64" w14:textId="4660E803" w:rsidR="009662CD" w:rsidRDefault="009662CD" w:rsidP="00D04AD8">
      <w:pPr>
        <w:pStyle w:val="SingleTxtG"/>
        <w:rPr>
          <w:b/>
          <w:bCs/>
          <w:sz w:val="24"/>
          <w:szCs w:val="24"/>
        </w:rPr>
      </w:pPr>
      <w:r>
        <w:t>19.</w:t>
      </w:r>
      <w:r>
        <w:tab/>
        <w:t xml:space="preserve">The impacts of COVID-19 on the work of Groups of Experts are treated separately in this document, due to the finite mandates of these bodies. Table 2 summarizes the known </w:t>
      </w:r>
      <w:r>
        <w:lastRenderedPageBreak/>
        <w:t>impacts on their planned meetings in 2020. According to table 2, less than 30 per cent of meetings planned under the workplans of the Groups of Experts were implemented.</w:t>
      </w:r>
    </w:p>
    <w:p w14:paraId="12A54102" w14:textId="097A8442" w:rsidR="009662CD" w:rsidRDefault="009662CD" w:rsidP="009662CD">
      <w:pPr>
        <w:pStyle w:val="Heading1"/>
      </w:pPr>
      <w:r w:rsidRPr="0022584F">
        <w:t>Table 2</w:t>
      </w:r>
    </w:p>
    <w:p w14:paraId="68BB93AF" w14:textId="77777777" w:rsidR="009662CD" w:rsidRPr="0046036E" w:rsidRDefault="009662CD" w:rsidP="009662CD">
      <w:pPr>
        <w:pStyle w:val="SingleTxtG"/>
        <w:ind w:left="567" w:firstLine="567"/>
        <w:rPr>
          <w:b/>
          <w:bCs/>
        </w:rPr>
      </w:pPr>
      <w:r w:rsidRPr="0046036E">
        <w:rPr>
          <w:b/>
          <w:bCs/>
        </w:rPr>
        <w:t xml:space="preserve">Impacts of COVID-19 </w:t>
      </w:r>
      <w:r>
        <w:rPr>
          <w:b/>
          <w:bCs/>
        </w:rPr>
        <w:t xml:space="preserve">and the liquidity crisis </w:t>
      </w:r>
      <w:r w:rsidRPr="0046036E">
        <w:rPr>
          <w:b/>
          <w:bCs/>
        </w:rPr>
        <w:t>on meetings of Groups of Experts</w:t>
      </w:r>
    </w:p>
    <w:tbl>
      <w:tblPr>
        <w:tblW w:w="7370" w:type="dxa"/>
        <w:tblInd w:w="1134" w:type="dxa"/>
        <w:tblLayout w:type="fixed"/>
        <w:tblCellMar>
          <w:left w:w="0" w:type="dxa"/>
          <w:right w:w="0" w:type="dxa"/>
        </w:tblCellMar>
        <w:tblLook w:val="04A0" w:firstRow="1" w:lastRow="0" w:firstColumn="1" w:lastColumn="0" w:noHBand="0" w:noVBand="1"/>
      </w:tblPr>
      <w:tblGrid>
        <w:gridCol w:w="3315"/>
        <w:gridCol w:w="972"/>
        <w:gridCol w:w="915"/>
        <w:gridCol w:w="945"/>
        <w:gridCol w:w="1223"/>
      </w:tblGrid>
      <w:tr w:rsidR="00D04AD8" w:rsidRPr="00D04AD8" w14:paraId="04EFADB6" w14:textId="77777777" w:rsidTr="006938B9">
        <w:trPr>
          <w:tblHeader/>
        </w:trPr>
        <w:tc>
          <w:tcPr>
            <w:tcW w:w="3828" w:type="dxa"/>
            <w:tcBorders>
              <w:top w:val="single" w:sz="4" w:space="0" w:color="auto"/>
              <w:bottom w:val="single" w:sz="12" w:space="0" w:color="auto"/>
            </w:tcBorders>
            <w:shd w:val="clear" w:color="auto" w:fill="auto"/>
            <w:vAlign w:val="bottom"/>
            <w:hideMark/>
          </w:tcPr>
          <w:p w14:paraId="33D60C42" w14:textId="77777777" w:rsidR="00181903" w:rsidRPr="00D04AD8" w:rsidRDefault="00181903" w:rsidP="00D04AD8">
            <w:pPr>
              <w:suppressAutoHyphens w:val="0"/>
              <w:spacing w:before="80" w:after="80" w:line="200" w:lineRule="exact"/>
              <w:rPr>
                <w:bCs/>
                <w:i/>
                <w:iCs/>
                <w:spacing w:val="4"/>
                <w:w w:val="103"/>
                <w:kern w:val="14"/>
                <w:sz w:val="16"/>
                <w:szCs w:val="18"/>
                <w:lang w:eastAsia="zh-CN"/>
              </w:rPr>
            </w:pPr>
            <w:bookmarkStart w:id="2" w:name="_Hlk42850313"/>
            <w:r w:rsidRPr="00D04AD8">
              <w:rPr>
                <w:bCs/>
                <w:i/>
                <w:iCs/>
                <w:spacing w:val="4"/>
                <w:w w:val="103"/>
                <w:kern w:val="14"/>
                <w:sz w:val="16"/>
                <w:szCs w:val="18"/>
                <w:lang w:eastAsia="zh-CN"/>
              </w:rPr>
              <w:t>Group of Experts meetings</w:t>
            </w:r>
          </w:p>
        </w:tc>
        <w:tc>
          <w:tcPr>
            <w:tcW w:w="1121" w:type="dxa"/>
            <w:tcBorders>
              <w:top w:val="single" w:sz="4" w:space="0" w:color="auto"/>
              <w:bottom w:val="single" w:sz="12" w:space="0" w:color="auto"/>
            </w:tcBorders>
            <w:shd w:val="clear" w:color="auto" w:fill="auto"/>
            <w:vAlign w:val="bottom"/>
            <w:hideMark/>
          </w:tcPr>
          <w:p w14:paraId="35A10A15" w14:textId="77777777" w:rsidR="00181903" w:rsidRPr="00D04AD8" w:rsidRDefault="00181903" w:rsidP="006938B9">
            <w:pPr>
              <w:suppressAutoHyphens w:val="0"/>
              <w:spacing w:before="80" w:after="80" w:line="200" w:lineRule="exact"/>
              <w:jc w:val="right"/>
              <w:rPr>
                <w:bCs/>
                <w:i/>
                <w:iCs/>
                <w:spacing w:val="4"/>
                <w:w w:val="103"/>
                <w:kern w:val="14"/>
                <w:sz w:val="16"/>
                <w:szCs w:val="14"/>
                <w:lang w:eastAsia="zh-CN"/>
              </w:rPr>
            </w:pPr>
            <w:r w:rsidRPr="00D04AD8">
              <w:rPr>
                <w:bCs/>
                <w:i/>
                <w:iCs/>
                <w:spacing w:val="4"/>
                <w:w w:val="103"/>
                <w:kern w:val="14"/>
                <w:sz w:val="16"/>
                <w:szCs w:val="14"/>
                <w:lang w:eastAsia="zh-CN"/>
              </w:rPr>
              <w:t>2020 planned (a)</w:t>
            </w:r>
          </w:p>
        </w:tc>
        <w:tc>
          <w:tcPr>
            <w:tcW w:w="1055" w:type="dxa"/>
            <w:tcBorders>
              <w:top w:val="single" w:sz="4" w:space="0" w:color="auto"/>
              <w:bottom w:val="single" w:sz="12" w:space="0" w:color="auto"/>
            </w:tcBorders>
            <w:shd w:val="clear" w:color="auto" w:fill="auto"/>
            <w:vAlign w:val="bottom"/>
            <w:hideMark/>
          </w:tcPr>
          <w:p w14:paraId="7E0C93C1" w14:textId="77777777" w:rsidR="00181903" w:rsidRPr="00D04AD8" w:rsidRDefault="00181903" w:rsidP="006938B9">
            <w:pPr>
              <w:suppressAutoHyphens w:val="0"/>
              <w:spacing w:before="80" w:after="80" w:line="200" w:lineRule="exact"/>
              <w:jc w:val="right"/>
              <w:rPr>
                <w:bCs/>
                <w:i/>
                <w:iCs/>
                <w:spacing w:val="4"/>
                <w:w w:val="103"/>
                <w:kern w:val="14"/>
                <w:sz w:val="16"/>
                <w:szCs w:val="14"/>
                <w:lang w:eastAsia="zh-CN"/>
              </w:rPr>
            </w:pPr>
            <w:r w:rsidRPr="00D04AD8">
              <w:rPr>
                <w:bCs/>
                <w:i/>
                <w:iCs/>
                <w:spacing w:val="4"/>
                <w:w w:val="103"/>
                <w:kern w:val="14"/>
                <w:sz w:val="16"/>
                <w:szCs w:val="14"/>
                <w:lang w:eastAsia="zh-CN"/>
              </w:rPr>
              <w:t>2020 actual (b)</w:t>
            </w:r>
          </w:p>
        </w:tc>
        <w:tc>
          <w:tcPr>
            <w:tcW w:w="1089" w:type="dxa"/>
            <w:tcBorders>
              <w:top w:val="single" w:sz="4" w:space="0" w:color="auto"/>
              <w:bottom w:val="single" w:sz="12" w:space="0" w:color="auto"/>
            </w:tcBorders>
            <w:shd w:val="clear" w:color="auto" w:fill="auto"/>
            <w:vAlign w:val="bottom"/>
            <w:hideMark/>
          </w:tcPr>
          <w:p w14:paraId="438D41EF" w14:textId="77777777" w:rsidR="00181903" w:rsidRPr="00D04AD8" w:rsidRDefault="00181903" w:rsidP="006938B9">
            <w:pPr>
              <w:suppressAutoHyphens w:val="0"/>
              <w:spacing w:before="80" w:after="80" w:line="200" w:lineRule="exact"/>
              <w:jc w:val="right"/>
              <w:rPr>
                <w:bCs/>
                <w:i/>
                <w:iCs/>
                <w:spacing w:val="4"/>
                <w:w w:val="103"/>
                <w:kern w:val="14"/>
                <w:sz w:val="16"/>
                <w:szCs w:val="14"/>
                <w:lang w:eastAsia="zh-CN"/>
              </w:rPr>
            </w:pPr>
            <w:r w:rsidRPr="00D04AD8">
              <w:rPr>
                <w:bCs/>
                <w:i/>
                <w:iCs/>
                <w:spacing w:val="4"/>
                <w:w w:val="103"/>
                <w:kern w:val="14"/>
                <w:sz w:val="16"/>
                <w:szCs w:val="14"/>
                <w:lang w:eastAsia="zh-CN"/>
              </w:rPr>
              <w:t>Difference (c)=(b)-(a)</w:t>
            </w:r>
          </w:p>
        </w:tc>
        <w:tc>
          <w:tcPr>
            <w:tcW w:w="1411" w:type="dxa"/>
            <w:tcBorders>
              <w:top w:val="single" w:sz="4" w:space="0" w:color="auto"/>
              <w:bottom w:val="single" w:sz="12" w:space="0" w:color="auto"/>
            </w:tcBorders>
            <w:shd w:val="clear" w:color="auto" w:fill="auto"/>
            <w:vAlign w:val="bottom"/>
            <w:hideMark/>
          </w:tcPr>
          <w:p w14:paraId="1D273A2E" w14:textId="77777777" w:rsidR="00181903" w:rsidRPr="00D04AD8" w:rsidRDefault="00181903" w:rsidP="006938B9">
            <w:pPr>
              <w:suppressAutoHyphens w:val="0"/>
              <w:spacing w:before="80" w:after="80" w:line="200" w:lineRule="exact"/>
              <w:jc w:val="right"/>
              <w:rPr>
                <w:bCs/>
                <w:i/>
                <w:iCs/>
                <w:spacing w:val="4"/>
                <w:w w:val="103"/>
                <w:kern w:val="14"/>
                <w:sz w:val="16"/>
                <w:szCs w:val="14"/>
                <w:lang w:eastAsia="zh-CN"/>
              </w:rPr>
            </w:pPr>
            <w:r w:rsidRPr="00D04AD8">
              <w:rPr>
                <w:bCs/>
                <w:i/>
                <w:iCs/>
                <w:spacing w:val="4"/>
                <w:w w:val="103"/>
                <w:kern w:val="14"/>
                <w:sz w:val="16"/>
                <w:szCs w:val="14"/>
                <w:lang w:eastAsia="zh-CN"/>
              </w:rPr>
              <w:t>Per cent implemented</w:t>
            </w:r>
          </w:p>
        </w:tc>
      </w:tr>
      <w:tr w:rsidR="00D04AD8" w:rsidRPr="00D04AD8" w14:paraId="2540EE32" w14:textId="77777777" w:rsidTr="006938B9">
        <w:tc>
          <w:tcPr>
            <w:tcW w:w="3828" w:type="dxa"/>
            <w:tcBorders>
              <w:top w:val="single" w:sz="12" w:space="0" w:color="auto"/>
            </w:tcBorders>
            <w:shd w:val="clear" w:color="auto" w:fill="auto"/>
            <w:hideMark/>
          </w:tcPr>
          <w:p w14:paraId="79E7DF07" w14:textId="77777777" w:rsidR="00181903" w:rsidRPr="004D6687" w:rsidRDefault="00181903" w:rsidP="00D04AD8">
            <w:pPr>
              <w:suppressAutoHyphens w:val="0"/>
              <w:spacing w:before="40" w:after="40" w:line="220" w:lineRule="exact"/>
              <w:rPr>
                <w:sz w:val="18"/>
                <w:szCs w:val="17"/>
                <w:lang w:eastAsia="zh-CN"/>
              </w:rPr>
            </w:pPr>
            <w:r w:rsidRPr="004D6687">
              <w:rPr>
                <w:sz w:val="18"/>
                <w:szCs w:val="17"/>
                <w:lang w:eastAsia="zh-CN"/>
              </w:rPr>
              <w:t>Group of Experts on assessment of climate change impacts and adaptation for inland transport (WP.5/GE.3)</w:t>
            </w:r>
          </w:p>
        </w:tc>
        <w:tc>
          <w:tcPr>
            <w:tcW w:w="1121" w:type="dxa"/>
            <w:tcBorders>
              <w:top w:val="single" w:sz="12" w:space="0" w:color="auto"/>
            </w:tcBorders>
            <w:shd w:val="clear" w:color="auto" w:fill="auto"/>
            <w:vAlign w:val="bottom"/>
            <w:hideMark/>
          </w:tcPr>
          <w:p w14:paraId="4F640D6C"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8</w:t>
            </w:r>
          </w:p>
        </w:tc>
        <w:tc>
          <w:tcPr>
            <w:tcW w:w="1055" w:type="dxa"/>
            <w:tcBorders>
              <w:top w:val="single" w:sz="12" w:space="0" w:color="auto"/>
            </w:tcBorders>
            <w:shd w:val="clear" w:color="auto" w:fill="auto"/>
            <w:vAlign w:val="bottom"/>
            <w:hideMark/>
          </w:tcPr>
          <w:p w14:paraId="4C63C811"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4</w:t>
            </w:r>
          </w:p>
        </w:tc>
        <w:tc>
          <w:tcPr>
            <w:tcW w:w="1089" w:type="dxa"/>
            <w:tcBorders>
              <w:top w:val="single" w:sz="12" w:space="0" w:color="auto"/>
            </w:tcBorders>
            <w:shd w:val="clear" w:color="auto" w:fill="auto"/>
            <w:vAlign w:val="bottom"/>
            <w:hideMark/>
          </w:tcPr>
          <w:p w14:paraId="2AFF1A3B"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-4</w:t>
            </w:r>
          </w:p>
        </w:tc>
        <w:tc>
          <w:tcPr>
            <w:tcW w:w="1411" w:type="dxa"/>
            <w:tcBorders>
              <w:top w:val="single" w:sz="12" w:space="0" w:color="auto"/>
            </w:tcBorders>
            <w:shd w:val="clear" w:color="auto" w:fill="auto"/>
            <w:vAlign w:val="bottom"/>
            <w:hideMark/>
          </w:tcPr>
          <w:p w14:paraId="179E0C0C"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50%</w:t>
            </w:r>
          </w:p>
        </w:tc>
      </w:tr>
      <w:tr w:rsidR="00D04AD8" w:rsidRPr="00D04AD8" w14:paraId="0AD04611" w14:textId="77777777" w:rsidTr="006938B9">
        <w:tc>
          <w:tcPr>
            <w:tcW w:w="3828" w:type="dxa"/>
            <w:shd w:val="clear" w:color="auto" w:fill="auto"/>
            <w:hideMark/>
          </w:tcPr>
          <w:p w14:paraId="46FEB2BB" w14:textId="77777777" w:rsidR="00181903" w:rsidRPr="004D6687" w:rsidRDefault="00181903" w:rsidP="00D04AD8">
            <w:pPr>
              <w:suppressAutoHyphens w:val="0"/>
              <w:spacing w:before="40" w:after="40" w:line="220" w:lineRule="exact"/>
              <w:rPr>
                <w:sz w:val="18"/>
                <w:szCs w:val="17"/>
                <w:lang w:eastAsia="zh-CN"/>
              </w:rPr>
            </w:pPr>
            <w:r w:rsidRPr="004D6687">
              <w:rPr>
                <w:sz w:val="18"/>
                <w:szCs w:val="17"/>
                <w:lang w:eastAsia="zh-CN"/>
              </w:rPr>
              <w:t>Group of Experts towards Unified Railway Law (SC.2/GEURL) (expires in 2020)</w:t>
            </w:r>
          </w:p>
        </w:tc>
        <w:tc>
          <w:tcPr>
            <w:tcW w:w="1121" w:type="dxa"/>
            <w:shd w:val="clear" w:color="auto" w:fill="auto"/>
            <w:vAlign w:val="bottom"/>
            <w:hideMark/>
          </w:tcPr>
          <w:p w14:paraId="341B7D1C"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12</w:t>
            </w:r>
          </w:p>
        </w:tc>
        <w:tc>
          <w:tcPr>
            <w:tcW w:w="1055" w:type="dxa"/>
            <w:shd w:val="clear" w:color="auto" w:fill="auto"/>
            <w:vAlign w:val="bottom"/>
            <w:hideMark/>
          </w:tcPr>
          <w:p w14:paraId="1D9B7876"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3</w:t>
            </w:r>
          </w:p>
        </w:tc>
        <w:tc>
          <w:tcPr>
            <w:tcW w:w="1089" w:type="dxa"/>
            <w:shd w:val="clear" w:color="auto" w:fill="auto"/>
            <w:vAlign w:val="bottom"/>
            <w:hideMark/>
          </w:tcPr>
          <w:p w14:paraId="7068FFCF"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-9</w:t>
            </w:r>
          </w:p>
        </w:tc>
        <w:tc>
          <w:tcPr>
            <w:tcW w:w="1411" w:type="dxa"/>
            <w:shd w:val="clear" w:color="auto" w:fill="auto"/>
            <w:vAlign w:val="bottom"/>
            <w:hideMark/>
          </w:tcPr>
          <w:p w14:paraId="072AAA34"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25%</w:t>
            </w:r>
          </w:p>
        </w:tc>
      </w:tr>
      <w:tr w:rsidR="00D04AD8" w:rsidRPr="00D04AD8" w14:paraId="54C10D5E" w14:textId="77777777" w:rsidTr="006938B9">
        <w:tc>
          <w:tcPr>
            <w:tcW w:w="3828" w:type="dxa"/>
            <w:shd w:val="clear" w:color="auto" w:fill="auto"/>
            <w:hideMark/>
          </w:tcPr>
          <w:p w14:paraId="731C9DFD" w14:textId="77777777" w:rsidR="00181903" w:rsidRPr="004D6687" w:rsidRDefault="00181903" w:rsidP="00D04AD8">
            <w:pPr>
              <w:suppressAutoHyphens w:val="0"/>
              <w:spacing w:before="40" w:after="40" w:line="220" w:lineRule="exact"/>
              <w:rPr>
                <w:sz w:val="18"/>
                <w:szCs w:val="17"/>
                <w:lang w:eastAsia="zh-CN"/>
              </w:rPr>
            </w:pPr>
            <w:r w:rsidRPr="004D6687">
              <w:rPr>
                <w:sz w:val="18"/>
                <w:szCs w:val="17"/>
                <w:lang w:eastAsia="zh-CN"/>
              </w:rPr>
              <w:t>Group of Experts on Benchmarking of Transport Infrastructure Construction Costs (WP.5/GE.4)</w:t>
            </w:r>
          </w:p>
        </w:tc>
        <w:tc>
          <w:tcPr>
            <w:tcW w:w="1121" w:type="dxa"/>
            <w:shd w:val="clear" w:color="auto" w:fill="auto"/>
            <w:vAlign w:val="bottom"/>
            <w:hideMark/>
          </w:tcPr>
          <w:p w14:paraId="2BE5EC5F"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4</w:t>
            </w:r>
          </w:p>
        </w:tc>
        <w:tc>
          <w:tcPr>
            <w:tcW w:w="1055" w:type="dxa"/>
            <w:shd w:val="clear" w:color="auto" w:fill="auto"/>
            <w:vAlign w:val="bottom"/>
            <w:hideMark/>
          </w:tcPr>
          <w:p w14:paraId="2EA9BCEC"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0</w:t>
            </w:r>
          </w:p>
        </w:tc>
        <w:tc>
          <w:tcPr>
            <w:tcW w:w="1089" w:type="dxa"/>
            <w:shd w:val="clear" w:color="auto" w:fill="auto"/>
            <w:vAlign w:val="bottom"/>
            <w:hideMark/>
          </w:tcPr>
          <w:p w14:paraId="40C17D5B"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-4</w:t>
            </w:r>
          </w:p>
        </w:tc>
        <w:tc>
          <w:tcPr>
            <w:tcW w:w="1411" w:type="dxa"/>
            <w:shd w:val="clear" w:color="auto" w:fill="auto"/>
            <w:vAlign w:val="bottom"/>
            <w:hideMark/>
          </w:tcPr>
          <w:p w14:paraId="59F2DACF"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0%</w:t>
            </w:r>
          </w:p>
        </w:tc>
      </w:tr>
      <w:tr w:rsidR="00D04AD8" w:rsidRPr="00D04AD8" w14:paraId="13BF0AA8" w14:textId="77777777" w:rsidTr="006938B9">
        <w:tc>
          <w:tcPr>
            <w:tcW w:w="3828" w:type="dxa"/>
            <w:shd w:val="clear" w:color="auto" w:fill="auto"/>
            <w:hideMark/>
          </w:tcPr>
          <w:p w14:paraId="0D2AA4A5" w14:textId="77777777" w:rsidR="00181903" w:rsidRPr="004D6687" w:rsidRDefault="00181903" w:rsidP="00D04AD8">
            <w:pPr>
              <w:suppressAutoHyphens w:val="0"/>
              <w:spacing w:before="40" w:after="40" w:line="220" w:lineRule="exact"/>
              <w:rPr>
                <w:sz w:val="18"/>
                <w:szCs w:val="17"/>
                <w:lang w:eastAsia="zh-CN"/>
              </w:rPr>
            </w:pPr>
            <w:r w:rsidRPr="004D6687">
              <w:rPr>
                <w:sz w:val="18"/>
                <w:szCs w:val="17"/>
                <w:lang w:eastAsia="zh-CN"/>
              </w:rPr>
              <w:t>Group of Experts on Road Signs and Signals (expires in 2020)</w:t>
            </w:r>
          </w:p>
        </w:tc>
        <w:tc>
          <w:tcPr>
            <w:tcW w:w="1121" w:type="dxa"/>
            <w:shd w:val="clear" w:color="auto" w:fill="auto"/>
            <w:vAlign w:val="bottom"/>
            <w:hideMark/>
          </w:tcPr>
          <w:p w14:paraId="37FB0B15"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2</w:t>
            </w:r>
          </w:p>
        </w:tc>
        <w:tc>
          <w:tcPr>
            <w:tcW w:w="1055" w:type="dxa"/>
            <w:shd w:val="clear" w:color="auto" w:fill="auto"/>
            <w:vAlign w:val="bottom"/>
            <w:hideMark/>
          </w:tcPr>
          <w:p w14:paraId="34E506DC"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0</w:t>
            </w:r>
          </w:p>
        </w:tc>
        <w:tc>
          <w:tcPr>
            <w:tcW w:w="1089" w:type="dxa"/>
            <w:shd w:val="clear" w:color="auto" w:fill="auto"/>
            <w:vAlign w:val="bottom"/>
            <w:hideMark/>
          </w:tcPr>
          <w:p w14:paraId="514504C8"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-2</w:t>
            </w:r>
          </w:p>
        </w:tc>
        <w:tc>
          <w:tcPr>
            <w:tcW w:w="1411" w:type="dxa"/>
            <w:shd w:val="clear" w:color="auto" w:fill="auto"/>
            <w:vAlign w:val="bottom"/>
            <w:hideMark/>
          </w:tcPr>
          <w:p w14:paraId="5FD544D8"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0%</w:t>
            </w:r>
          </w:p>
        </w:tc>
      </w:tr>
      <w:tr w:rsidR="00D04AD8" w:rsidRPr="00D04AD8" w14:paraId="2A574A84" w14:textId="77777777" w:rsidTr="006938B9">
        <w:tc>
          <w:tcPr>
            <w:tcW w:w="3828" w:type="dxa"/>
            <w:shd w:val="clear" w:color="auto" w:fill="auto"/>
            <w:hideMark/>
          </w:tcPr>
          <w:p w14:paraId="23088FFF" w14:textId="77777777" w:rsidR="00181903" w:rsidRPr="004D6687" w:rsidRDefault="00181903" w:rsidP="00D04AD8">
            <w:pPr>
              <w:suppressAutoHyphens w:val="0"/>
              <w:spacing w:before="40" w:after="40" w:line="220" w:lineRule="exact"/>
              <w:rPr>
                <w:sz w:val="18"/>
                <w:szCs w:val="17"/>
                <w:lang w:eastAsia="zh-CN"/>
              </w:rPr>
            </w:pPr>
            <w:r w:rsidRPr="004D6687">
              <w:rPr>
                <w:sz w:val="18"/>
                <w:szCs w:val="17"/>
                <w:lang w:eastAsia="zh-CN"/>
              </w:rPr>
              <w:t>Group of Experts on AETR</w:t>
            </w:r>
          </w:p>
        </w:tc>
        <w:tc>
          <w:tcPr>
            <w:tcW w:w="1121" w:type="dxa"/>
            <w:shd w:val="clear" w:color="auto" w:fill="auto"/>
            <w:vAlign w:val="bottom"/>
            <w:hideMark/>
          </w:tcPr>
          <w:p w14:paraId="1A88EF9F"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3</w:t>
            </w:r>
          </w:p>
        </w:tc>
        <w:tc>
          <w:tcPr>
            <w:tcW w:w="1055" w:type="dxa"/>
            <w:shd w:val="clear" w:color="auto" w:fill="auto"/>
            <w:vAlign w:val="bottom"/>
            <w:hideMark/>
          </w:tcPr>
          <w:p w14:paraId="125D7344"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2</w:t>
            </w:r>
          </w:p>
        </w:tc>
        <w:tc>
          <w:tcPr>
            <w:tcW w:w="1089" w:type="dxa"/>
            <w:shd w:val="clear" w:color="auto" w:fill="auto"/>
            <w:vAlign w:val="bottom"/>
            <w:hideMark/>
          </w:tcPr>
          <w:p w14:paraId="261BBCA4"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-1</w:t>
            </w:r>
          </w:p>
        </w:tc>
        <w:tc>
          <w:tcPr>
            <w:tcW w:w="1411" w:type="dxa"/>
            <w:shd w:val="clear" w:color="auto" w:fill="auto"/>
            <w:vAlign w:val="bottom"/>
            <w:hideMark/>
          </w:tcPr>
          <w:p w14:paraId="11209741"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67%</w:t>
            </w:r>
          </w:p>
        </w:tc>
      </w:tr>
      <w:tr w:rsidR="00D04AD8" w:rsidRPr="00D04AD8" w14:paraId="7F6B6352" w14:textId="77777777" w:rsidTr="006938B9">
        <w:tc>
          <w:tcPr>
            <w:tcW w:w="3828" w:type="dxa"/>
            <w:tcBorders>
              <w:bottom w:val="single" w:sz="4" w:space="0" w:color="auto"/>
            </w:tcBorders>
            <w:shd w:val="clear" w:color="auto" w:fill="auto"/>
            <w:hideMark/>
          </w:tcPr>
          <w:p w14:paraId="71D282BE" w14:textId="77777777" w:rsidR="00181903" w:rsidRPr="004D6687" w:rsidRDefault="00181903" w:rsidP="00D04AD8">
            <w:pPr>
              <w:suppressAutoHyphens w:val="0"/>
              <w:spacing w:before="40" w:after="40" w:line="220" w:lineRule="exact"/>
              <w:rPr>
                <w:sz w:val="18"/>
                <w:szCs w:val="17"/>
                <w:lang w:eastAsia="zh-CN"/>
              </w:rPr>
            </w:pPr>
            <w:r w:rsidRPr="004D6687">
              <w:rPr>
                <w:sz w:val="18"/>
                <w:szCs w:val="17"/>
                <w:lang w:eastAsia="zh-CN"/>
              </w:rPr>
              <w:t>Group of Experts on the Permanent Identification of Railway Rolling Stock</w:t>
            </w:r>
          </w:p>
        </w:tc>
        <w:tc>
          <w:tcPr>
            <w:tcW w:w="1121" w:type="dxa"/>
            <w:tcBorders>
              <w:bottom w:val="single" w:sz="4" w:space="0" w:color="auto"/>
            </w:tcBorders>
            <w:shd w:val="clear" w:color="auto" w:fill="auto"/>
            <w:vAlign w:val="bottom"/>
            <w:hideMark/>
          </w:tcPr>
          <w:p w14:paraId="33EE963B"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12</w:t>
            </w:r>
          </w:p>
        </w:tc>
        <w:tc>
          <w:tcPr>
            <w:tcW w:w="1055" w:type="dxa"/>
            <w:tcBorders>
              <w:bottom w:val="single" w:sz="4" w:space="0" w:color="auto"/>
            </w:tcBorders>
            <w:shd w:val="clear" w:color="auto" w:fill="auto"/>
            <w:vAlign w:val="bottom"/>
            <w:hideMark/>
          </w:tcPr>
          <w:p w14:paraId="63061BCA"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3</w:t>
            </w:r>
          </w:p>
        </w:tc>
        <w:tc>
          <w:tcPr>
            <w:tcW w:w="1089" w:type="dxa"/>
            <w:tcBorders>
              <w:bottom w:val="single" w:sz="4" w:space="0" w:color="auto"/>
            </w:tcBorders>
            <w:shd w:val="clear" w:color="auto" w:fill="auto"/>
            <w:vAlign w:val="bottom"/>
            <w:hideMark/>
          </w:tcPr>
          <w:p w14:paraId="7C6503B9"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-9</w:t>
            </w:r>
          </w:p>
        </w:tc>
        <w:tc>
          <w:tcPr>
            <w:tcW w:w="1411" w:type="dxa"/>
            <w:tcBorders>
              <w:bottom w:val="single" w:sz="4" w:space="0" w:color="auto"/>
            </w:tcBorders>
            <w:shd w:val="clear" w:color="auto" w:fill="auto"/>
            <w:vAlign w:val="bottom"/>
            <w:hideMark/>
          </w:tcPr>
          <w:p w14:paraId="4A4CCD43" w14:textId="77777777" w:rsidR="00181903" w:rsidRPr="00D04AD8" w:rsidRDefault="00181903" w:rsidP="00D04AD8">
            <w:pPr>
              <w:suppressAutoHyphens w:val="0"/>
              <w:spacing w:before="40" w:after="40" w:line="220" w:lineRule="exact"/>
              <w:jc w:val="right"/>
              <w:rPr>
                <w:sz w:val="18"/>
                <w:szCs w:val="24"/>
                <w:lang w:eastAsia="zh-CN"/>
              </w:rPr>
            </w:pPr>
            <w:r w:rsidRPr="00D04AD8">
              <w:rPr>
                <w:sz w:val="18"/>
                <w:szCs w:val="24"/>
                <w:lang w:eastAsia="zh-CN"/>
              </w:rPr>
              <w:t>25%</w:t>
            </w:r>
          </w:p>
        </w:tc>
      </w:tr>
      <w:tr w:rsidR="00D04AD8" w:rsidRPr="00D04AD8" w14:paraId="56900E67" w14:textId="77777777" w:rsidTr="006938B9">
        <w:tc>
          <w:tcPr>
            <w:tcW w:w="3828" w:type="dxa"/>
            <w:tcBorders>
              <w:top w:val="single" w:sz="4" w:space="0" w:color="auto"/>
              <w:bottom w:val="single" w:sz="12" w:space="0" w:color="auto"/>
            </w:tcBorders>
            <w:shd w:val="clear" w:color="auto" w:fill="auto"/>
            <w:hideMark/>
          </w:tcPr>
          <w:p w14:paraId="55CE34C7" w14:textId="16760421" w:rsidR="00181903" w:rsidRPr="004D6687" w:rsidRDefault="00181903" w:rsidP="00D04AD8">
            <w:pPr>
              <w:suppressAutoHyphens w:val="0"/>
              <w:spacing w:before="80" w:after="80" w:line="220" w:lineRule="exact"/>
              <w:ind w:left="283"/>
              <w:rPr>
                <w:b/>
                <w:sz w:val="18"/>
                <w:lang w:eastAsia="zh-CN"/>
              </w:rPr>
            </w:pPr>
            <w:r w:rsidRPr="004D6687">
              <w:rPr>
                <w:b/>
                <w:sz w:val="18"/>
                <w:lang w:eastAsia="zh-CN"/>
              </w:rPr>
              <w:t>T</w:t>
            </w:r>
            <w:r w:rsidR="004D6687" w:rsidRPr="004D6687">
              <w:rPr>
                <w:b/>
                <w:sz w:val="18"/>
                <w:lang w:eastAsia="zh-CN"/>
              </w:rPr>
              <w:t>otal</w:t>
            </w:r>
          </w:p>
        </w:tc>
        <w:tc>
          <w:tcPr>
            <w:tcW w:w="1121" w:type="dxa"/>
            <w:tcBorders>
              <w:top w:val="single" w:sz="4" w:space="0" w:color="auto"/>
              <w:bottom w:val="single" w:sz="12" w:space="0" w:color="auto"/>
            </w:tcBorders>
            <w:shd w:val="clear" w:color="auto" w:fill="auto"/>
            <w:vAlign w:val="bottom"/>
            <w:hideMark/>
          </w:tcPr>
          <w:p w14:paraId="62CB9706" w14:textId="77777777" w:rsidR="00181903" w:rsidRPr="004D6687" w:rsidRDefault="00181903" w:rsidP="00D04AD8">
            <w:pPr>
              <w:suppressAutoHyphens w:val="0"/>
              <w:spacing w:before="80" w:after="80" w:line="220" w:lineRule="exact"/>
              <w:jc w:val="right"/>
              <w:rPr>
                <w:b/>
                <w:sz w:val="18"/>
                <w:szCs w:val="24"/>
                <w:lang w:eastAsia="zh-CN"/>
              </w:rPr>
            </w:pPr>
            <w:r w:rsidRPr="004D6687">
              <w:rPr>
                <w:b/>
                <w:sz w:val="18"/>
                <w:szCs w:val="24"/>
                <w:lang w:eastAsia="zh-CN"/>
              </w:rPr>
              <w:t>41</w:t>
            </w:r>
          </w:p>
        </w:tc>
        <w:tc>
          <w:tcPr>
            <w:tcW w:w="1055" w:type="dxa"/>
            <w:tcBorders>
              <w:top w:val="single" w:sz="4" w:space="0" w:color="auto"/>
              <w:bottom w:val="single" w:sz="12" w:space="0" w:color="auto"/>
            </w:tcBorders>
            <w:shd w:val="clear" w:color="auto" w:fill="auto"/>
            <w:vAlign w:val="bottom"/>
            <w:hideMark/>
          </w:tcPr>
          <w:p w14:paraId="376DAE20" w14:textId="77777777" w:rsidR="00181903" w:rsidRPr="004D6687" w:rsidRDefault="00181903" w:rsidP="00D04AD8">
            <w:pPr>
              <w:suppressAutoHyphens w:val="0"/>
              <w:spacing w:before="80" w:after="80" w:line="220" w:lineRule="exact"/>
              <w:jc w:val="right"/>
              <w:rPr>
                <w:b/>
                <w:sz w:val="18"/>
                <w:szCs w:val="24"/>
                <w:lang w:eastAsia="zh-CN"/>
              </w:rPr>
            </w:pPr>
            <w:r w:rsidRPr="004D6687">
              <w:rPr>
                <w:b/>
                <w:sz w:val="18"/>
                <w:szCs w:val="24"/>
                <w:lang w:eastAsia="zh-CN"/>
              </w:rPr>
              <w:t>12</w:t>
            </w:r>
          </w:p>
        </w:tc>
        <w:tc>
          <w:tcPr>
            <w:tcW w:w="1089" w:type="dxa"/>
            <w:tcBorders>
              <w:top w:val="single" w:sz="4" w:space="0" w:color="auto"/>
              <w:bottom w:val="single" w:sz="12" w:space="0" w:color="auto"/>
            </w:tcBorders>
            <w:shd w:val="clear" w:color="auto" w:fill="auto"/>
            <w:vAlign w:val="bottom"/>
            <w:hideMark/>
          </w:tcPr>
          <w:p w14:paraId="05BDDF84" w14:textId="77777777" w:rsidR="00181903" w:rsidRPr="004D6687" w:rsidRDefault="00181903" w:rsidP="00D04AD8">
            <w:pPr>
              <w:suppressAutoHyphens w:val="0"/>
              <w:spacing w:before="80" w:after="80" w:line="220" w:lineRule="exact"/>
              <w:jc w:val="right"/>
              <w:rPr>
                <w:b/>
                <w:sz w:val="18"/>
                <w:szCs w:val="24"/>
                <w:lang w:eastAsia="zh-CN"/>
              </w:rPr>
            </w:pPr>
            <w:r w:rsidRPr="004D6687">
              <w:rPr>
                <w:b/>
                <w:sz w:val="18"/>
                <w:szCs w:val="24"/>
                <w:lang w:eastAsia="zh-CN"/>
              </w:rPr>
              <w:t>-29</w:t>
            </w:r>
          </w:p>
        </w:tc>
        <w:tc>
          <w:tcPr>
            <w:tcW w:w="1411" w:type="dxa"/>
            <w:tcBorders>
              <w:top w:val="single" w:sz="4" w:space="0" w:color="auto"/>
              <w:bottom w:val="single" w:sz="12" w:space="0" w:color="auto"/>
            </w:tcBorders>
            <w:shd w:val="clear" w:color="auto" w:fill="auto"/>
            <w:vAlign w:val="bottom"/>
            <w:hideMark/>
          </w:tcPr>
          <w:p w14:paraId="60346EEB" w14:textId="77777777" w:rsidR="00181903" w:rsidRPr="004D6687" w:rsidRDefault="00181903" w:rsidP="00D04AD8">
            <w:pPr>
              <w:suppressAutoHyphens w:val="0"/>
              <w:spacing w:before="80" w:after="80" w:line="220" w:lineRule="exact"/>
              <w:jc w:val="right"/>
              <w:rPr>
                <w:b/>
                <w:sz w:val="18"/>
                <w:szCs w:val="24"/>
                <w:lang w:eastAsia="zh-CN"/>
              </w:rPr>
            </w:pPr>
            <w:r w:rsidRPr="004D6687">
              <w:rPr>
                <w:b/>
                <w:sz w:val="18"/>
                <w:szCs w:val="24"/>
                <w:lang w:eastAsia="zh-CN"/>
              </w:rPr>
              <w:t>29%</w:t>
            </w:r>
          </w:p>
        </w:tc>
      </w:tr>
    </w:tbl>
    <w:p w14:paraId="53A82403" w14:textId="77777777" w:rsidR="009662CD" w:rsidRDefault="009662CD" w:rsidP="009662CD">
      <w:pPr>
        <w:pStyle w:val="H1G"/>
      </w:pPr>
      <w:r>
        <w:tab/>
        <w:t>B</w:t>
      </w:r>
      <w:r w:rsidRPr="00855DF5">
        <w:t>.</w:t>
      </w:r>
      <w:r w:rsidRPr="00855DF5">
        <w:tab/>
        <w:t xml:space="preserve">Impacts on </w:t>
      </w:r>
      <w:r>
        <w:t xml:space="preserve">documents </w:t>
      </w:r>
    </w:p>
    <w:p w14:paraId="747A7A07" w14:textId="7A931A7E" w:rsidR="009662CD" w:rsidRDefault="009662CD" w:rsidP="004D6687">
      <w:pPr>
        <w:pStyle w:val="SingleTxtG"/>
      </w:pPr>
      <w:r>
        <w:t>20.</w:t>
      </w:r>
      <w:r>
        <w:tab/>
        <w:t>At the time of writing of this note, the combined effects of COVID-19 and the liquidity crisis on the delivery of documents is expected to be critical</w:t>
      </w:r>
      <w:r w:rsidRPr="00FC71A4">
        <w:t xml:space="preserve"> </w:t>
      </w:r>
      <w:r w:rsidRPr="00F217ED">
        <w:t>for intergovernmental bodies whose mission is to update and develop legally binding instruments that make inland transport systems worldwide safer, more efficient and more environmentally friendly</w:t>
      </w:r>
      <w:r>
        <w:t>.</w:t>
      </w:r>
      <w:r w:rsidR="00DB417A">
        <w:t xml:space="preserve"> </w:t>
      </w:r>
    </w:p>
    <w:p w14:paraId="19A850D0" w14:textId="77777777" w:rsidR="009662CD" w:rsidRDefault="009662CD" w:rsidP="004D6687">
      <w:pPr>
        <w:pStyle w:val="SingleTxtG"/>
      </w:pPr>
      <w:r>
        <w:t>21.</w:t>
      </w:r>
      <w:r>
        <w:tab/>
      </w:r>
      <w:r w:rsidRPr="00F217ED">
        <w:t xml:space="preserve">In particular, </w:t>
      </w:r>
      <w:r>
        <w:t xml:space="preserve">due to the severe restrictions in the organization of meetings under the programme of work of the Committee, with </w:t>
      </w:r>
      <w:r w:rsidRPr="00F217ED">
        <w:t>only about 62 per cent of planned meetings implemented in 2020 and only 34 per cent of total</w:t>
      </w:r>
      <w:r>
        <w:t xml:space="preserve"> </w:t>
      </w:r>
      <w:r w:rsidRPr="00F217ED">
        <w:t>with interpretation services. Furthermore, the continued vacancy of a P4 position due to liquidity constraints has further impaired delivery of documentation in one of the highest impact regulatory areas of the subprogramme, vehicle regulations</w:t>
      </w:r>
      <w:r>
        <w:t xml:space="preserve">. </w:t>
      </w:r>
    </w:p>
    <w:p w14:paraId="6930EF30" w14:textId="0D67D63D" w:rsidR="009662CD" w:rsidRDefault="009662CD" w:rsidP="004D6687">
      <w:pPr>
        <w:pStyle w:val="SingleTxtG"/>
      </w:pPr>
      <w:r>
        <w:t>22.</w:t>
      </w:r>
      <w:r>
        <w:tab/>
      </w:r>
      <w:r w:rsidRPr="00F217ED">
        <w:t>Th</w:t>
      </w:r>
      <w:r>
        <w:t xml:space="preserve">ese combined dynamics </w:t>
      </w:r>
      <w:r w:rsidRPr="002F220D">
        <w:rPr>
          <w:b/>
          <w:bCs/>
        </w:rPr>
        <w:t>slowed the normative functions</w:t>
      </w:r>
      <w:r w:rsidRPr="00F217ED">
        <w:t xml:space="preserve"> of the Inland Transport Committee</w:t>
      </w:r>
      <w:r>
        <w:t>,</w:t>
      </w:r>
      <w:r w:rsidRPr="00F217ED">
        <w:t xml:space="preserve"> its subsidiary bodies</w:t>
      </w:r>
      <w:r>
        <w:t xml:space="preserve"> and the transport subprogramme as a whole</w:t>
      </w:r>
      <w:r w:rsidRPr="00F217ED">
        <w:t xml:space="preserve">, who </w:t>
      </w:r>
      <w:r>
        <w:t xml:space="preserve">are </w:t>
      </w:r>
      <w:r w:rsidRPr="002F220D">
        <w:rPr>
          <w:b/>
          <w:bCs/>
        </w:rPr>
        <w:t>expected to issue only about 62 per cent of planned documentation</w:t>
      </w:r>
      <w:r w:rsidRPr="00F217ED">
        <w:t xml:space="preserve"> required for the updating of legal instruments, and often had to delay decision-making that has been postponed to 2021</w:t>
      </w:r>
      <w:r>
        <w:t xml:space="preserve"> (see table 3)</w:t>
      </w:r>
      <w:r w:rsidRPr="00F217ED">
        <w:t>.</w:t>
      </w:r>
      <w:r>
        <w:t xml:space="preserve"> </w:t>
      </w:r>
    </w:p>
    <w:p w14:paraId="1554E40D" w14:textId="7FDBF181" w:rsidR="009662CD" w:rsidRDefault="009662CD" w:rsidP="009662CD">
      <w:pPr>
        <w:pStyle w:val="Heading1"/>
        <w:keepNext/>
        <w:keepLines/>
      </w:pPr>
      <w:r w:rsidRPr="0022584F">
        <w:t>Table</w:t>
      </w:r>
      <w:r>
        <w:t xml:space="preserve"> 3</w:t>
      </w:r>
      <w:r w:rsidRPr="0022584F">
        <w:t xml:space="preserve"> </w:t>
      </w:r>
    </w:p>
    <w:p w14:paraId="74BD7181" w14:textId="77777777" w:rsidR="009662CD" w:rsidRDefault="009662CD" w:rsidP="009662CD">
      <w:pPr>
        <w:pStyle w:val="SingleTxtG"/>
        <w:keepNext/>
        <w:keepLines/>
        <w:ind w:left="562" w:right="1138" w:firstLine="562"/>
      </w:pPr>
      <w:r w:rsidRPr="0046036E">
        <w:rPr>
          <w:b/>
          <w:bCs/>
        </w:rPr>
        <w:t xml:space="preserve">Impacts of COVID-19 </w:t>
      </w:r>
      <w:r>
        <w:rPr>
          <w:b/>
          <w:bCs/>
        </w:rPr>
        <w:t xml:space="preserve">and the liquidity crisis </w:t>
      </w:r>
      <w:r w:rsidRPr="0046036E">
        <w:rPr>
          <w:b/>
          <w:bCs/>
        </w:rPr>
        <w:t xml:space="preserve">on </w:t>
      </w:r>
      <w:r>
        <w:rPr>
          <w:b/>
          <w:bCs/>
        </w:rPr>
        <w:t>transport subprogramme documents</w:t>
      </w:r>
    </w:p>
    <w:tbl>
      <w:tblPr>
        <w:tblW w:w="7370" w:type="dxa"/>
        <w:tblInd w:w="1134" w:type="dxa"/>
        <w:tblLayout w:type="fixed"/>
        <w:tblCellMar>
          <w:left w:w="0" w:type="dxa"/>
          <w:right w:w="0" w:type="dxa"/>
        </w:tblCellMar>
        <w:tblLook w:val="04A0" w:firstRow="1" w:lastRow="0" w:firstColumn="1" w:lastColumn="0" w:noHBand="0" w:noVBand="1"/>
      </w:tblPr>
      <w:tblGrid>
        <w:gridCol w:w="2703"/>
        <w:gridCol w:w="1379"/>
        <w:gridCol w:w="1525"/>
        <w:gridCol w:w="1763"/>
      </w:tblGrid>
      <w:tr w:rsidR="006938B9" w:rsidRPr="006938B9" w14:paraId="3D4DF87F" w14:textId="77777777" w:rsidTr="006938B9">
        <w:trPr>
          <w:tblHeader/>
        </w:trPr>
        <w:tc>
          <w:tcPr>
            <w:tcW w:w="2703" w:type="dxa"/>
            <w:tcBorders>
              <w:top w:val="single" w:sz="4" w:space="0" w:color="auto"/>
              <w:bottom w:val="single" w:sz="12" w:space="0" w:color="auto"/>
            </w:tcBorders>
            <w:shd w:val="clear" w:color="auto" w:fill="auto"/>
            <w:vAlign w:val="bottom"/>
            <w:hideMark/>
          </w:tcPr>
          <w:p w14:paraId="563A1C0D" w14:textId="77777777" w:rsidR="00EB10E2" w:rsidRPr="006938B9" w:rsidRDefault="00EB10E2" w:rsidP="00D60D9C">
            <w:pPr>
              <w:suppressAutoHyphens w:val="0"/>
              <w:spacing w:before="80" w:after="80" w:line="200" w:lineRule="exact"/>
              <w:jc w:val="right"/>
              <w:rPr>
                <w:i/>
                <w:iCs/>
                <w:spacing w:val="4"/>
                <w:w w:val="103"/>
                <w:kern w:val="14"/>
                <w:sz w:val="16"/>
                <w:lang w:eastAsia="zh-CN"/>
              </w:rPr>
            </w:pPr>
            <w:r w:rsidRPr="006938B9">
              <w:rPr>
                <w:i/>
                <w:iCs/>
                <w:spacing w:val="4"/>
                <w:w w:val="103"/>
                <w:kern w:val="14"/>
                <w:sz w:val="16"/>
                <w:lang w:eastAsia="zh-CN"/>
              </w:rPr>
              <w:t> </w:t>
            </w:r>
          </w:p>
        </w:tc>
        <w:tc>
          <w:tcPr>
            <w:tcW w:w="1379" w:type="dxa"/>
            <w:tcBorders>
              <w:top w:val="single" w:sz="4" w:space="0" w:color="auto"/>
              <w:bottom w:val="single" w:sz="12" w:space="0" w:color="auto"/>
            </w:tcBorders>
            <w:shd w:val="clear" w:color="auto" w:fill="auto"/>
            <w:vAlign w:val="bottom"/>
            <w:hideMark/>
          </w:tcPr>
          <w:p w14:paraId="0E530B13" w14:textId="77777777" w:rsidR="00EB10E2" w:rsidRPr="006938B9" w:rsidRDefault="00EB10E2" w:rsidP="00D60D9C">
            <w:pPr>
              <w:suppressAutoHyphens w:val="0"/>
              <w:spacing w:before="80" w:after="80" w:line="200" w:lineRule="exact"/>
              <w:jc w:val="right"/>
              <w:rPr>
                <w:bCs/>
                <w:i/>
                <w:iCs/>
                <w:spacing w:val="4"/>
                <w:w w:val="103"/>
                <w:kern w:val="14"/>
                <w:sz w:val="16"/>
                <w:lang w:eastAsia="zh-CN"/>
              </w:rPr>
            </w:pPr>
            <w:r w:rsidRPr="006938B9">
              <w:rPr>
                <w:bCs/>
                <w:i/>
                <w:iCs/>
                <w:spacing w:val="4"/>
                <w:w w:val="103"/>
                <w:kern w:val="14"/>
                <w:sz w:val="16"/>
                <w:lang w:eastAsia="zh-CN"/>
              </w:rPr>
              <w:t xml:space="preserve">2020 planned </w:t>
            </w:r>
            <w:r w:rsidRPr="006938B9">
              <w:rPr>
                <w:bCs/>
                <w:i/>
                <w:iCs/>
                <w:spacing w:val="4"/>
                <w:w w:val="103"/>
                <w:kern w:val="14"/>
                <w:sz w:val="16"/>
                <w:lang w:eastAsia="zh-CN"/>
              </w:rPr>
              <w:br/>
              <w:t>(a)</w:t>
            </w:r>
          </w:p>
        </w:tc>
        <w:tc>
          <w:tcPr>
            <w:tcW w:w="1525" w:type="dxa"/>
            <w:tcBorders>
              <w:top w:val="single" w:sz="4" w:space="0" w:color="auto"/>
              <w:bottom w:val="single" w:sz="12" w:space="0" w:color="auto"/>
            </w:tcBorders>
            <w:shd w:val="clear" w:color="auto" w:fill="auto"/>
            <w:vAlign w:val="bottom"/>
            <w:hideMark/>
          </w:tcPr>
          <w:p w14:paraId="22DC7E0B" w14:textId="77777777" w:rsidR="00EB10E2" w:rsidRPr="006938B9" w:rsidRDefault="00EB10E2" w:rsidP="00D60D9C">
            <w:pPr>
              <w:suppressAutoHyphens w:val="0"/>
              <w:spacing w:before="80" w:after="80" w:line="200" w:lineRule="exact"/>
              <w:jc w:val="right"/>
              <w:rPr>
                <w:bCs/>
                <w:i/>
                <w:iCs/>
                <w:spacing w:val="4"/>
                <w:w w:val="103"/>
                <w:kern w:val="14"/>
                <w:sz w:val="16"/>
                <w:lang w:eastAsia="zh-CN"/>
              </w:rPr>
            </w:pPr>
            <w:r w:rsidRPr="006938B9">
              <w:rPr>
                <w:bCs/>
                <w:i/>
                <w:iCs/>
                <w:spacing w:val="4"/>
                <w:w w:val="103"/>
                <w:kern w:val="14"/>
                <w:sz w:val="16"/>
                <w:lang w:eastAsia="zh-CN"/>
              </w:rPr>
              <w:t>2020 actual (est.)</w:t>
            </w:r>
            <w:r w:rsidRPr="006938B9">
              <w:rPr>
                <w:bCs/>
                <w:i/>
                <w:iCs/>
                <w:spacing w:val="4"/>
                <w:w w:val="103"/>
                <w:kern w:val="14"/>
                <w:sz w:val="16"/>
                <w:lang w:eastAsia="zh-CN"/>
              </w:rPr>
              <w:br/>
              <w:t>(b)</w:t>
            </w:r>
          </w:p>
        </w:tc>
        <w:tc>
          <w:tcPr>
            <w:tcW w:w="1763" w:type="dxa"/>
            <w:tcBorders>
              <w:top w:val="single" w:sz="4" w:space="0" w:color="auto"/>
              <w:bottom w:val="single" w:sz="12" w:space="0" w:color="auto"/>
            </w:tcBorders>
            <w:shd w:val="clear" w:color="auto" w:fill="auto"/>
            <w:vAlign w:val="bottom"/>
            <w:hideMark/>
          </w:tcPr>
          <w:p w14:paraId="7FDC30ED" w14:textId="77777777" w:rsidR="00EB10E2" w:rsidRPr="006938B9" w:rsidRDefault="00EB10E2" w:rsidP="00D60D9C">
            <w:pPr>
              <w:suppressAutoHyphens w:val="0"/>
              <w:spacing w:before="80" w:after="80" w:line="200" w:lineRule="exact"/>
              <w:jc w:val="right"/>
              <w:rPr>
                <w:bCs/>
                <w:i/>
                <w:iCs/>
                <w:spacing w:val="4"/>
                <w:w w:val="103"/>
                <w:kern w:val="14"/>
                <w:sz w:val="16"/>
                <w:lang w:eastAsia="zh-CN"/>
              </w:rPr>
            </w:pPr>
            <w:r w:rsidRPr="006938B9">
              <w:rPr>
                <w:bCs/>
                <w:i/>
                <w:iCs/>
                <w:spacing w:val="4"/>
                <w:w w:val="103"/>
                <w:kern w:val="14"/>
                <w:sz w:val="16"/>
                <w:lang w:eastAsia="zh-CN"/>
              </w:rPr>
              <w:t>Implementation</w:t>
            </w:r>
            <w:r w:rsidRPr="006938B9">
              <w:rPr>
                <w:bCs/>
                <w:i/>
                <w:iCs/>
                <w:spacing w:val="4"/>
                <w:w w:val="103"/>
                <w:kern w:val="14"/>
                <w:sz w:val="16"/>
                <w:lang w:eastAsia="zh-CN"/>
              </w:rPr>
              <w:br/>
              <w:t>(c)=(b)/(a) (%)</w:t>
            </w:r>
          </w:p>
        </w:tc>
      </w:tr>
      <w:tr w:rsidR="006938B9" w:rsidRPr="006938B9" w14:paraId="30D4DA13" w14:textId="77777777" w:rsidTr="006938B9">
        <w:tc>
          <w:tcPr>
            <w:tcW w:w="2703" w:type="dxa"/>
            <w:tcBorders>
              <w:top w:val="single" w:sz="12" w:space="0" w:color="auto"/>
            </w:tcBorders>
            <w:shd w:val="clear" w:color="auto" w:fill="auto"/>
            <w:hideMark/>
          </w:tcPr>
          <w:p w14:paraId="7342F879" w14:textId="77777777" w:rsidR="00EB10E2" w:rsidRPr="006938B9" w:rsidRDefault="00EB10E2" w:rsidP="006938B9">
            <w:pPr>
              <w:suppressAutoHyphens w:val="0"/>
              <w:spacing w:before="40" w:after="40" w:line="220" w:lineRule="exact"/>
              <w:rPr>
                <w:b/>
                <w:bCs/>
                <w:sz w:val="18"/>
                <w:lang w:eastAsia="zh-CN"/>
              </w:rPr>
            </w:pPr>
            <w:r w:rsidRPr="006938B9">
              <w:rPr>
                <w:b/>
                <w:bCs/>
                <w:sz w:val="18"/>
                <w:lang w:eastAsia="zh-CN"/>
              </w:rPr>
              <w:t>A1. Parliamentary documentation (number of documents)</w:t>
            </w:r>
          </w:p>
        </w:tc>
        <w:tc>
          <w:tcPr>
            <w:tcW w:w="1379" w:type="dxa"/>
            <w:tcBorders>
              <w:top w:val="single" w:sz="12" w:space="0" w:color="auto"/>
            </w:tcBorders>
            <w:shd w:val="clear" w:color="auto" w:fill="auto"/>
            <w:vAlign w:val="bottom"/>
            <w:hideMark/>
          </w:tcPr>
          <w:p w14:paraId="6B434014"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1660</w:t>
            </w:r>
          </w:p>
        </w:tc>
        <w:tc>
          <w:tcPr>
            <w:tcW w:w="1525" w:type="dxa"/>
            <w:tcBorders>
              <w:top w:val="single" w:sz="12" w:space="0" w:color="auto"/>
            </w:tcBorders>
            <w:shd w:val="clear" w:color="auto" w:fill="auto"/>
            <w:vAlign w:val="bottom"/>
            <w:hideMark/>
          </w:tcPr>
          <w:p w14:paraId="0DFE1E81"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1015</w:t>
            </w:r>
          </w:p>
        </w:tc>
        <w:tc>
          <w:tcPr>
            <w:tcW w:w="1763" w:type="dxa"/>
            <w:tcBorders>
              <w:top w:val="single" w:sz="12" w:space="0" w:color="auto"/>
            </w:tcBorders>
            <w:shd w:val="clear" w:color="auto" w:fill="auto"/>
            <w:vAlign w:val="bottom"/>
            <w:hideMark/>
          </w:tcPr>
          <w:p w14:paraId="68E4E93E"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61%</w:t>
            </w:r>
          </w:p>
        </w:tc>
      </w:tr>
      <w:tr w:rsidR="006938B9" w:rsidRPr="006938B9" w14:paraId="6184F43D" w14:textId="77777777" w:rsidTr="006938B9">
        <w:tc>
          <w:tcPr>
            <w:tcW w:w="2703" w:type="dxa"/>
            <w:shd w:val="clear" w:color="auto" w:fill="auto"/>
            <w:hideMark/>
          </w:tcPr>
          <w:p w14:paraId="70BEC99D" w14:textId="77777777" w:rsidR="00EB10E2" w:rsidRPr="006938B9" w:rsidRDefault="00EB10E2" w:rsidP="006938B9">
            <w:pPr>
              <w:suppressAutoHyphens w:val="0"/>
              <w:spacing w:before="40" w:after="40" w:line="220" w:lineRule="exact"/>
              <w:rPr>
                <w:b/>
                <w:bCs/>
                <w:sz w:val="18"/>
                <w:lang w:eastAsia="zh-CN"/>
              </w:rPr>
            </w:pPr>
            <w:r w:rsidRPr="006938B9">
              <w:rPr>
                <w:b/>
                <w:bCs/>
                <w:sz w:val="18"/>
                <w:lang w:eastAsia="zh-CN"/>
              </w:rPr>
              <w:t>ITC</w:t>
            </w:r>
          </w:p>
        </w:tc>
        <w:tc>
          <w:tcPr>
            <w:tcW w:w="1379" w:type="dxa"/>
            <w:shd w:val="clear" w:color="auto" w:fill="auto"/>
            <w:vAlign w:val="bottom"/>
            <w:hideMark/>
          </w:tcPr>
          <w:p w14:paraId="62498D82"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1331</w:t>
            </w:r>
          </w:p>
        </w:tc>
        <w:tc>
          <w:tcPr>
            <w:tcW w:w="1525" w:type="dxa"/>
            <w:shd w:val="clear" w:color="auto" w:fill="auto"/>
            <w:vAlign w:val="bottom"/>
            <w:hideMark/>
          </w:tcPr>
          <w:p w14:paraId="3AC6AFA2"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882</w:t>
            </w:r>
          </w:p>
        </w:tc>
        <w:tc>
          <w:tcPr>
            <w:tcW w:w="1763" w:type="dxa"/>
            <w:shd w:val="clear" w:color="auto" w:fill="auto"/>
            <w:vAlign w:val="bottom"/>
            <w:hideMark/>
          </w:tcPr>
          <w:p w14:paraId="734CB9E8"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66%</w:t>
            </w:r>
          </w:p>
        </w:tc>
      </w:tr>
      <w:tr w:rsidR="006938B9" w:rsidRPr="006938B9" w14:paraId="15A36898" w14:textId="77777777" w:rsidTr="006938B9">
        <w:tc>
          <w:tcPr>
            <w:tcW w:w="2703" w:type="dxa"/>
            <w:shd w:val="clear" w:color="auto" w:fill="auto"/>
            <w:hideMark/>
          </w:tcPr>
          <w:p w14:paraId="449AA4D9"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Inland Transport Committee and Bureau</w:t>
            </w:r>
          </w:p>
        </w:tc>
        <w:tc>
          <w:tcPr>
            <w:tcW w:w="1379" w:type="dxa"/>
            <w:shd w:val="clear" w:color="auto" w:fill="auto"/>
            <w:vAlign w:val="bottom"/>
            <w:hideMark/>
          </w:tcPr>
          <w:p w14:paraId="7BB2E6C1"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31</w:t>
            </w:r>
          </w:p>
        </w:tc>
        <w:tc>
          <w:tcPr>
            <w:tcW w:w="1525" w:type="dxa"/>
            <w:shd w:val="clear" w:color="auto" w:fill="auto"/>
            <w:vAlign w:val="bottom"/>
            <w:hideMark/>
          </w:tcPr>
          <w:p w14:paraId="194B76B9"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31</w:t>
            </w:r>
          </w:p>
        </w:tc>
        <w:tc>
          <w:tcPr>
            <w:tcW w:w="1763" w:type="dxa"/>
            <w:shd w:val="clear" w:color="auto" w:fill="auto"/>
            <w:vAlign w:val="bottom"/>
            <w:hideMark/>
          </w:tcPr>
          <w:p w14:paraId="7F164D60"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100%</w:t>
            </w:r>
          </w:p>
        </w:tc>
      </w:tr>
      <w:tr w:rsidR="006938B9" w:rsidRPr="006938B9" w14:paraId="4EC91781" w14:textId="77777777" w:rsidTr="006938B9">
        <w:tc>
          <w:tcPr>
            <w:tcW w:w="2703" w:type="dxa"/>
            <w:shd w:val="clear" w:color="auto" w:fill="auto"/>
            <w:hideMark/>
          </w:tcPr>
          <w:p w14:paraId="38F0477E"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World Forum for Harmonization of Vehicle Regulations</w:t>
            </w:r>
          </w:p>
        </w:tc>
        <w:tc>
          <w:tcPr>
            <w:tcW w:w="1379" w:type="dxa"/>
            <w:shd w:val="clear" w:color="auto" w:fill="auto"/>
            <w:vAlign w:val="bottom"/>
            <w:hideMark/>
          </w:tcPr>
          <w:p w14:paraId="74F3700E"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840</w:t>
            </w:r>
          </w:p>
        </w:tc>
        <w:tc>
          <w:tcPr>
            <w:tcW w:w="1525" w:type="dxa"/>
            <w:shd w:val="clear" w:color="auto" w:fill="auto"/>
            <w:vAlign w:val="bottom"/>
            <w:hideMark/>
          </w:tcPr>
          <w:p w14:paraId="3A1ECDA3"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501</w:t>
            </w:r>
          </w:p>
        </w:tc>
        <w:tc>
          <w:tcPr>
            <w:tcW w:w="1763" w:type="dxa"/>
            <w:shd w:val="clear" w:color="auto" w:fill="auto"/>
            <w:vAlign w:val="bottom"/>
            <w:hideMark/>
          </w:tcPr>
          <w:p w14:paraId="4AC3A621"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60%</w:t>
            </w:r>
          </w:p>
        </w:tc>
      </w:tr>
      <w:tr w:rsidR="006938B9" w:rsidRPr="006938B9" w14:paraId="1A36742C" w14:textId="77777777" w:rsidTr="006938B9">
        <w:tc>
          <w:tcPr>
            <w:tcW w:w="2703" w:type="dxa"/>
            <w:shd w:val="clear" w:color="auto" w:fill="auto"/>
            <w:hideMark/>
          </w:tcPr>
          <w:p w14:paraId="13978FB3"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Working Party on the Transport of Perishable Foodstuffs</w:t>
            </w:r>
          </w:p>
        </w:tc>
        <w:tc>
          <w:tcPr>
            <w:tcW w:w="1379" w:type="dxa"/>
            <w:shd w:val="clear" w:color="auto" w:fill="auto"/>
            <w:vAlign w:val="bottom"/>
            <w:hideMark/>
          </w:tcPr>
          <w:p w14:paraId="387085B8"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33</w:t>
            </w:r>
          </w:p>
        </w:tc>
        <w:tc>
          <w:tcPr>
            <w:tcW w:w="1525" w:type="dxa"/>
            <w:shd w:val="clear" w:color="auto" w:fill="auto"/>
            <w:vAlign w:val="bottom"/>
            <w:hideMark/>
          </w:tcPr>
          <w:p w14:paraId="4FC6A674"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28</w:t>
            </w:r>
          </w:p>
        </w:tc>
        <w:tc>
          <w:tcPr>
            <w:tcW w:w="1763" w:type="dxa"/>
            <w:shd w:val="clear" w:color="auto" w:fill="auto"/>
            <w:vAlign w:val="bottom"/>
            <w:hideMark/>
          </w:tcPr>
          <w:p w14:paraId="12EC9C57"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85%</w:t>
            </w:r>
          </w:p>
        </w:tc>
      </w:tr>
      <w:tr w:rsidR="006938B9" w:rsidRPr="006938B9" w14:paraId="334B579A" w14:textId="77777777" w:rsidTr="006938B9">
        <w:tc>
          <w:tcPr>
            <w:tcW w:w="2703" w:type="dxa"/>
            <w:shd w:val="clear" w:color="auto" w:fill="auto"/>
            <w:hideMark/>
          </w:tcPr>
          <w:p w14:paraId="36138929"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lastRenderedPageBreak/>
              <w:t>Working Party on the Transport of Dangerous Goods</w:t>
            </w:r>
          </w:p>
        </w:tc>
        <w:tc>
          <w:tcPr>
            <w:tcW w:w="1379" w:type="dxa"/>
            <w:shd w:val="clear" w:color="auto" w:fill="auto"/>
            <w:vAlign w:val="bottom"/>
            <w:hideMark/>
          </w:tcPr>
          <w:p w14:paraId="2681C72F"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214</w:t>
            </w:r>
          </w:p>
        </w:tc>
        <w:tc>
          <w:tcPr>
            <w:tcW w:w="1525" w:type="dxa"/>
            <w:shd w:val="clear" w:color="auto" w:fill="auto"/>
            <w:vAlign w:val="bottom"/>
            <w:hideMark/>
          </w:tcPr>
          <w:p w14:paraId="5BC30F05"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146</w:t>
            </w:r>
          </w:p>
        </w:tc>
        <w:tc>
          <w:tcPr>
            <w:tcW w:w="1763" w:type="dxa"/>
            <w:shd w:val="clear" w:color="auto" w:fill="auto"/>
            <w:vAlign w:val="bottom"/>
            <w:hideMark/>
          </w:tcPr>
          <w:p w14:paraId="65240E74"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68%</w:t>
            </w:r>
          </w:p>
        </w:tc>
      </w:tr>
      <w:tr w:rsidR="006938B9" w:rsidRPr="006938B9" w14:paraId="53DAC882" w14:textId="77777777" w:rsidTr="006938B9">
        <w:tc>
          <w:tcPr>
            <w:tcW w:w="2703" w:type="dxa"/>
            <w:shd w:val="clear" w:color="auto" w:fill="auto"/>
            <w:hideMark/>
          </w:tcPr>
          <w:p w14:paraId="6C6C7227"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Working Party on Transport Trends and Economics</w:t>
            </w:r>
          </w:p>
        </w:tc>
        <w:tc>
          <w:tcPr>
            <w:tcW w:w="1379" w:type="dxa"/>
            <w:shd w:val="clear" w:color="auto" w:fill="auto"/>
            <w:vAlign w:val="bottom"/>
            <w:hideMark/>
          </w:tcPr>
          <w:p w14:paraId="17643FC0"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32</w:t>
            </w:r>
          </w:p>
        </w:tc>
        <w:tc>
          <w:tcPr>
            <w:tcW w:w="1525" w:type="dxa"/>
            <w:shd w:val="clear" w:color="auto" w:fill="auto"/>
            <w:vAlign w:val="bottom"/>
            <w:hideMark/>
          </w:tcPr>
          <w:p w14:paraId="7BEE6CB5"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20</w:t>
            </w:r>
          </w:p>
        </w:tc>
        <w:tc>
          <w:tcPr>
            <w:tcW w:w="1763" w:type="dxa"/>
            <w:shd w:val="clear" w:color="auto" w:fill="auto"/>
            <w:vAlign w:val="bottom"/>
            <w:hideMark/>
          </w:tcPr>
          <w:p w14:paraId="04CD524B"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63%</w:t>
            </w:r>
          </w:p>
        </w:tc>
      </w:tr>
      <w:tr w:rsidR="006938B9" w:rsidRPr="006938B9" w14:paraId="0C38C510" w14:textId="77777777" w:rsidTr="006938B9">
        <w:tc>
          <w:tcPr>
            <w:tcW w:w="2703" w:type="dxa"/>
            <w:shd w:val="clear" w:color="auto" w:fill="auto"/>
            <w:hideMark/>
          </w:tcPr>
          <w:p w14:paraId="0B4B0516"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Working Party on Transport Statistics</w:t>
            </w:r>
          </w:p>
        </w:tc>
        <w:tc>
          <w:tcPr>
            <w:tcW w:w="1379" w:type="dxa"/>
            <w:shd w:val="clear" w:color="auto" w:fill="auto"/>
            <w:vAlign w:val="bottom"/>
            <w:hideMark/>
          </w:tcPr>
          <w:p w14:paraId="580ED902"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14</w:t>
            </w:r>
          </w:p>
        </w:tc>
        <w:tc>
          <w:tcPr>
            <w:tcW w:w="1525" w:type="dxa"/>
            <w:shd w:val="clear" w:color="auto" w:fill="auto"/>
            <w:vAlign w:val="bottom"/>
            <w:hideMark/>
          </w:tcPr>
          <w:p w14:paraId="4CA80E86"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14</w:t>
            </w:r>
          </w:p>
        </w:tc>
        <w:tc>
          <w:tcPr>
            <w:tcW w:w="1763" w:type="dxa"/>
            <w:shd w:val="clear" w:color="auto" w:fill="auto"/>
            <w:vAlign w:val="bottom"/>
            <w:hideMark/>
          </w:tcPr>
          <w:p w14:paraId="6641FAA0"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100%</w:t>
            </w:r>
          </w:p>
        </w:tc>
      </w:tr>
      <w:tr w:rsidR="006938B9" w:rsidRPr="006938B9" w14:paraId="2A5774D9" w14:textId="77777777" w:rsidTr="006938B9">
        <w:tc>
          <w:tcPr>
            <w:tcW w:w="2703" w:type="dxa"/>
            <w:shd w:val="clear" w:color="auto" w:fill="auto"/>
            <w:hideMark/>
          </w:tcPr>
          <w:p w14:paraId="78ECB0BB"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Working Party on Road Transport</w:t>
            </w:r>
          </w:p>
        </w:tc>
        <w:tc>
          <w:tcPr>
            <w:tcW w:w="1379" w:type="dxa"/>
            <w:shd w:val="clear" w:color="auto" w:fill="auto"/>
            <w:vAlign w:val="bottom"/>
            <w:hideMark/>
          </w:tcPr>
          <w:p w14:paraId="2B44DF6F"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10</w:t>
            </w:r>
          </w:p>
        </w:tc>
        <w:tc>
          <w:tcPr>
            <w:tcW w:w="1525" w:type="dxa"/>
            <w:shd w:val="clear" w:color="auto" w:fill="auto"/>
            <w:vAlign w:val="bottom"/>
            <w:hideMark/>
          </w:tcPr>
          <w:p w14:paraId="0C3C7593"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11</w:t>
            </w:r>
          </w:p>
        </w:tc>
        <w:tc>
          <w:tcPr>
            <w:tcW w:w="1763" w:type="dxa"/>
            <w:shd w:val="clear" w:color="auto" w:fill="auto"/>
            <w:vAlign w:val="bottom"/>
            <w:hideMark/>
          </w:tcPr>
          <w:p w14:paraId="0677507D"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110%</w:t>
            </w:r>
          </w:p>
        </w:tc>
      </w:tr>
      <w:tr w:rsidR="006938B9" w:rsidRPr="006938B9" w14:paraId="3B948596" w14:textId="77777777" w:rsidTr="006938B9">
        <w:tc>
          <w:tcPr>
            <w:tcW w:w="2703" w:type="dxa"/>
            <w:shd w:val="clear" w:color="auto" w:fill="auto"/>
            <w:hideMark/>
          </w:tcPr>
          <w:p w14:paraId="782A6D77"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Global Forum for Road Traffic Safety</w:t>
            </w:r>
          </w:p>
        </w:tc>
        <w:tc>
          <w:tcPr>
            <w:tcW w:w="1379" w:type="dxa"/>
            <w:shd w:val="clear" w:color="auto" w:fill="auto"/>
            <w:vAlign w:val="bottom"/>
            <w:hideMark/>
          </w:tcPr>
          <w:p w14:paraId="0EB656C2"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16</w:t>
            </w:r>
          </w:p>
        </w:tc>
        <w:tc>
          <w:tcPr>
            <w:tcW w:w="1525" w:type="dxa"/>
            <w:shd w:val="clear" w:color="auto" w:fill="auto"/>
            <w:vAlign w:val="bottom"/>
            <w:hideMark/>
          </w:tcPr>
          <w:p w14:paraId="042B12F1"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16</w:t>
            </w:r>
          </w:p>
        </w:tc>
        <w:tc>
          <w:tcPr>
            <w:tcW w:w="1763" w:type="dxa"/>
            <w:shd w:val="clear" w:color="auto" w:fill="auto"/>
            <w:vAlign w:val="bottom"/>
            <w:hideMark/>
          </w:tcPr>
          <w:p w14:paraId="03825F74"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100%</w:t>
            </w:r>
          </w:p>
        </w:tc>
      </w:tr>
      <w:tr w:rsidR="006938B9" w:rsidRPr="006938B9" w14:paraId="29EEE50B" w14:textId="77777777" w:rsidTr="006938B9">
        <w:tc>
          <w:tcPr>
            <w:tcW w:w="2703" w:type="dxa"/>
            <w:shd w:val="clear" w:color="auto" w:fill="auto"/>
            <w:hideMark/>
          </w:tcPr>
          <w:p w14:paraId="4BD597EB"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Working Party on Rail Transport</w:t>
            </w:r>
          </w:p>
        </w:tc>
        <w:tc>
          <w:tcPr>
            <w:tcW w:w="1379" w:type="dxa"/>
            <w:shd w:val="clear" w:color="auto" w:fill="auto"/>
            <w:vAlign w:val="bottom"/>
            <w:hideMark/>
          </w:tcPr>
          <w:p w14:paraId="5C31F6B3"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12</w:t>
            </w:r>
          </w:p>
        </w:tc>
        <w:tc>
          <w:tcPr>
            <w:tcW w:w="1525" w:type="dxa"/>
            <w:shd w:val="clear" w:color="auto" w:fill="auto"/>
            <w:vAlign w:val="bottom"/>
            <w:hideMark/>
          </w:tcPr>
          <w:p w14:paraId="03D21330"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9</w:t>
            </w:r>
          </w:p>
        </w:tc>
        <w:tc>
          <w:tcPr>
            <w:tcW w:w="1763" w:type="dxa"/>
            <w:shd w:val="clear" w:color="auto" w:fill="auto"/>
            <w:vAlign w:val="bottom"/>
            <w:hideMark/>
          </w:tcPr>
          <w:p w14:paraId="2D36C9F7"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75%</w:t>
            </w:r>
          </w:p>
        </w:tc>
      </w:tr>
      <w:tr w:rsidR="006938B9" w:rsidRPr="006938B9" w14:paraId="04518E16" w14:textId="77777777" w:rsidTr="006938B9">
        <w:tc>
          <w:tcPr>
            <w:tcW w:w="2703" w:type="dxa"/>
            <w:shd w:val="clear" w:color="auto" w:fill="auto"/>
            <w:hideMark/>
          </w:tcPr>
          <w:p w14:paraId="4CD5A871"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Working Party on Intermodal Transport and Logistics</w:t>
            </w:r>
          </w:p>
        </w:tc>
        <w:tc>
          <w:tcPr>
            <w:tcW w:w="1379" w:type="dxa"/>
            <w:shd w:val="clear" w:color="auto" w:fill="auto"/>
            <w:vAlign w:val="bottom"/>
            <w:hideMark/>
          </w:tcPr>
          <w:p w14:paraId="3BABE1E6"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11</w:t>
            </w:r>
          </w:p>
        </w:tc>
        <w:tc>
          <w:tcPr>
            <w:tcW w:w="1525" w:type="dxa"/>
            <w:shd w:val="clear" w:color="auto" w:fill="auto"/>
            <w:vAlign w:val="bottom"/>
            <w:hideMark/>
          </w:tcPr>
          <w:p w14:paraId="4C060F25"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12</w:t>
            </w:r>
          </w:p>
        </w:tc>
        <w:tc>
          <w:tcPr>
            <w:tcW w:w="1763" w:type="dxa"/>
            <w:shd w:val="clear" w:color="auto" w:fill="auto"/>
            <w:vAlign w:val="bottom"/>
            <w:hideMark/>
          </w:tcPr>
          <w:p w14:paraId="1F7FC913"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109%</w:t>
            </w:r>
          </w:p>
        </w:tc>
      </w:tr>
      <w:tr w:rsidR="006938B9" w:rsidRPr="006938B9" w14:paraId="42FD47FF" w14:textId="77777777" w:rsidTr="006938B9">
        <w:tc>
          <w:tcPr>
            <w:tcW w:w="2703" w:type="dxa"/>
            <w:shd w:val="clear" w:color="auto" w:fill="auto"/>
            <w:hideMark/>
          </w:tcPr>
          <w:p w14:paraId="47C48D9A"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Working Party on Inland Water Transport</w:t>
            </w:r>
          </w:p>
        </w:tc>
        <w:tc>
          <w:tcPr>
            <w:tcW w:w="1379" w:type="dxa"/>
            <w:shd w:val="clear" w:color="auto" w:fill="auto"/>
            <w:vAlign w:val="bottom"/>
            <w:hideMark/>
          </w:tcPr>
          <w:p w14:paraId="5A791BD8"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47</w:t>
            </w:r>
          </w:p>
        </w:tc>
        <w:tc>
          <w:tcPr>
            <w:tcW w:w="1525" w:type="dxa"/>
            <w:shd w:val="clear" w:color="auto" w:fill="auto"/>
            <w:vAlign w:val="bottom"/>
            <w:hideMark/>
          </w:tcPr>
          <w:p w14:paraId="732E1192"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60</w:t>
            </w:r>
          </w:p>
        </w:tc>
        <w:tc>
          <w:tcPr>
            <w:tcW w:w="1763" w:type="dxa"/>
            <w:shd w:val="clear" w:color="auto" w:fill="auto"/>
            <w:vAlign w:val="bottom"/>
            <w:hideMark/>
          </w:tcPr>
          <w:p w14:paraId="496501A7"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128%</w:t>
            </w:r>
          </w:p>
        </w:tc>
      </w:tr>
      <w:tr w:rsidR="006938B9" w:rsidRPr="006938B9" w14:paraId="4341F542" w14:textId="77777777" w:rsidTr="006938B9">
        <w:tc>
          <w:tcPr>
            <w:tcW w:w="2703" w:type="dxa"/>
            <w:shd w:val="clear" w:color="auto" w:fill="auto"/>
            <w:hideMark/>
          </w:tcPr>
          <w:p w14:paraId="09BFE3CC"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Working Party on Customs Questions affecting Transport</w:t>
            </w:r>
          </w:p>
        </w:tc>
        <w:tc>
          <w:tcPr>
            <w:tcW w:w="1379" w:type="dxa"/>
            <w:shd w:val="clear" w:color="auto" w:fill="auto"/>
            <w:vAlign w:val="bottom"/>
            <w:hideMark/>
          </w:tcPr>
          <w:p w14:paraId="2192BAA4"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71</w:t>
            </w:r>
          </w:p>
        </w:tc>
        <w:tc>
          <w:tcPr>
            <w:tcW w:w="1525" w:type="dxa"/>
            <w:shd w:val="clear" w:color="auto" w:fill="auto"/>
            <w:vAlign w:val="bottom"/>
            <w:hideMark/>
          </w:tcPr>
          <w:p w14:paraId="150EDB88"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34</w:t>
            </w:r>
          </w:p>
        </w:tc>
        <w:tc>
          <w:tcPr>
            <w:tcW w:w="1763" w:type="dxa"/>
            <w:shd w:val="clear" w:color="auto" w:fill="auto"/>
            <w:vAlign w:val="bottom"/>
            <w:hideMark/>
          </w:tcPr>
          <w:p w14:paraId="76089B7D"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48%</w:t>
            </w:r>
          </w:p>
        </w:tc>
      </w:tr>
      <w:tr w:rsidR="006938B9" w:rsidRPr="006938B9" w14:paraId="286A46C2" w14:textId="77777777" w:rsidTr="006938B9">
        <w:tc>
          <w:tcPr>
            <w:tcW w:w="2703" w:type="dxa"/>
            <w:shd w:val="clear" w:color="auto" w:fill="auto"/>
            <w:hideMark/>
          </w:tcPr>
          <w:p w14:paraId="546ABFB7" w14:textId="77777777" w:rsidR="00EB10E2" w:rsidRPr="00D262AC" w:rsidRDefault="00EB10E2" w:rsidP="006938B9">
            <w:pPr>
              <w:suppressAutoHyphens w:val="0"/>
              <w:spacing w:before="40" w:after="40" w:line="220" w:lineRule="exact"/>
              <w:rPr>
                <w:b/>
                <w:bCs/>
                <w:sz w:val="18"/>
                <w:lang w:eastAsia="zh-CN"/>
              </w:rPr>
            </w:pPr>
            <w:r w:rsidRPr="00D262AC">
              <w:rPr>
                <w:b/>
                <w:bCs/>
                <w:sz w:val="18"/>
                <w:lang w:eastAsia="zh-CN"/>
              </w:rPr>
              <w:t>ECOSOC</w:t>
            </w:r>
          </w:p>
        </w:tc>
        <w:tc>
          <w:tcPr>
            <w:tcW w:w="1379" w:type="dxa"/>
            <w:shd w:val="clear" w:color="auto" w:fill="auto"/>
            <w:vAlign w:val="bottom"/>
            <w:hideMark/>
          </w:tcPr>
          <w:p w14:paraId="1E49A80C" w14:textId="77777777" w:rsidR="00EB10E2" w:rsidRPr="00D262AC" w:rsidRDefault="00EB10E2" w:rsidP="006938B9">
            <w:pPr>
              <w:suppressAutoHyphens w:val="0"/>
              <w:spacing w:before="40" w:after="40" w:line="220" w:lineRule="exact"/>
              <w:jc w:val="right"/>
              <w:rPr>
                <w:b/>
                <w:bCs/>
                <w:sz w:val="18"/>
                <w:lang w:eastAsia="zh-CN"/>
              </w:rPr>
            </w:pPr>
            <w:r w:rsidRPr="00D262AC">
              <w:rPr>
                <w:b/>
                <w:bCs/>
                <w:sz w:val="18"/>
                <w:lang w:eastAsia="zh-CN"/>
              </w:rPr>
              <w:t>324</w:t>
            </w:r>
          </w:p>
        </w:tc>
        <w:tc>
          <w:tcPr>
            <w:tcW w:w="1525" w:type="dxa"/>
            <w:shd w:val="clear" w:color="auto" w:fill="auto"/>
            <w:vAlign w:val="bottom"/>
            <w:hideMark/>
          </w:tcPr>
          <w:p w14:paraId="0AC0A2AA" w14:textId="77777777" w:rsidR="00EB10E2" w:rsidRPr="00D262AC" w:rsidRDefault="00EB10E2" w:rsidP="006938B9">
            <w:pPr>
              <w:suppressAutoHyphens w:val="0"/>
              <w:spacing w:before="40" w:after="40" w:line="220" w:lineRule="exact"/>
              <w:jc w:val="right"/>
              <w:rPr>
                <w:b/>
                <w:bCs/>
                <w:sz w:val="18"/>
                <w:lang w:eastAsia="zh-CN"/>
              </w:rPr>
            </w:pPr>
            <w:r w:rsidRPr="00D262AC">
              <w:rPr>
                <w:b/>
                <w:bCs/>
                <w:sz w:val="18"/>
                <w:lang w:eastAsia="zh-CN"/>
              </w:rPr>
              <w:t>128</w:t>
            </w:r>
          </w:p>
        </w:tc>
        <w:tc>
          <w:tcPr>
            <w:tcW w:w="1763" w:type="dxa"/>
            <w:shd w:val="clear" w:color="auto" w:fill="auto"/>
            <w:vAlign w:val="bottom"/>
            <w:hideMark/>
          </w:tcPr>
          <w:p w14:paraId="1B2D001E" w14:textId="77777777" w:rsidR="00EB10E2" w:rsidRPr="00D262AC" w:rsidRDefault="00EB10E2" w:rsidP="006938B9">
            <w:pPr>
              <w:suppressAutoHyphens w:val="0"/>
              <w:spacing w:before="40" w:after="40" w:line="220" w:lineRule="exact"/>
              <w:jc w:val="right"/>
              <w:rPr>
                <w:b/>
                <w:bCs/>
                <w:sz w:val="18"/>
                <w:lang w:eastAsia="zh-CN"/>
              </w:rPr>
            </w:pPr>
            <w:r w:rsidRPr="00D262AC">
              <w:rPr>
                <w:b/>
                <w:bCs/>
                <w:sz w:val="18"/>
                <w:lang w:eastAsia="zh-CN"/>
              </w:rPr>
              <w:t>40%</w:t>
            </w:r>
          </w:p>
        </w:tc>
      </w:tr>
      <w:tr w:rsidR="006938B9" w:rsidRPr="006938B9" w14:paraId="4E922E6E" w14:textId="77777777" w:rsidTr="006938B9">
        <w:tc>
          <w:tcPr>
            <w:tcW w:w="2703" w:type="dxa"/>
            <w:shd w:val="clear" w:color="auto" w:fill="auto"/>
            <w:hideMark/>
          </w:tcPr>
          <w:p w14:paraId="10293B60"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ECOSOC Committee of Experts on TDG and on GHS</w:t>
            </w:r>
          </w:p>
        </w:tc>
        <w:tc>
          <w:tcPr>
            <w:tcW w:w="1379" w:type="dxa"/>
            <w:shd w:val="clear" w:color="auto" w:fill="auto"/>
            <w:vAlign w:val="bottom"/>
            <w:hideMark/>
          </w:tcPr>
          <w:p w14:paraId="18D77C83"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5</w:t>
            </w:r>
          </w:p>
        </w:tc>
        <w:tc>
          <w:tcPr>
            <w:tcW w:w="1525" w:type="dxa"/>
            <w:shd w:val="clear" w:color="auto" w:fill="auto"/>
            <w:vAlign w:val="bottom"/>
            <w:hideMark/>
          </w:tcPr>
          <w:p w14:paraId="1DD06EA1"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2</w:t>
            </w:r>
          </w:p>
        </w:tc>
        <w:tc>
          <w:tcPr>
            <w:tcW w:w="1763" w:type="dxa"/>
            <w:shd w:val="clear" w:color="auto" w:fill="auto"/>
            <w:vAlign w:val="bottom"/>
            <w:hideMark/>
          </w:tcPr>
          <w:p w14:paraId="6030E370"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40%</w:t>
            </w:r>
          </w:p>
        </w:tc>
      </w:tr>
      <w:tr w:rsidR="006938B9" w:rsidRPr="006938B9" w14:paraId="6D91A608" w14:textId="77777777" w:rsidTr="006938B9">
        <w:tc>
          <w:tcPr>
            <w:tcW w:w="2703" w:type="dxa"/>
            <w:shd w:val="clear" w:color="auto" w:fill="auto"/>
            <w:hideMark/>
          </w:tcPr>
          <w:p w14:paraId="590C1DA2"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ECOSOC Subcommittee of Experts on TDG</w:t>
            </w:r>
          </w:p>
        </w:tc>
        <w:tc>
          <w:tcPr>
            <w:tcW w:w="1379" w:type="dxa"/>
            <w:shd w:val="clear" w:color="auto" w:fill="auto"/>
            <w:vAlign w:val="bottom"/>
            <w:hideMark/>
          </w:tcPr>
          <w:p w14:paraId="40D9AA5D"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257</w:t>
            </w:r>
          </w:p>
        </w:tc>
        <w:tc>
          <w:tcPr>
            <w:tcW w:w="1525" w:type="dxa"/>
            <w:shd w:val="clear" w:color="auto" w:fill="auto"/>
            <w:vAlign w:val="bottom"/>
            <w:hideMark/>
          </w:tcPr>
          <w:p w14:paraId="79699BCE"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98</w:t>
            </w:r>
          </w:p>
        </w:tc>
        <w:tc>
          <w:tcPr>
            <w:tcW w:w="1763" w:type="dxa"/>
            <w:shd w:val="clear" w:color="auto" w:fill="auto"/>
            <w:vAlign w:val="bottom"/>
            <w:hideMark/>
          </w:tcPr>
          <w:p w14:paraId="638B2EDC"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38%</w:t>
            </w:r>
          </w:p>
        </w:tc>
      </w:tr>
      <w:tr w:rsidR="006938B9" w:rsidRPr="006938B9" w14:paraId="3E53CEE2" w14:textId="77777777" w:rsidTr="006938B9">
        <w:tc>
          <w:tcPr>
            <w:tcW w:w="2703" w:type="dxa"/>
            <w:shd w:val="clear" w:color="auto" w:fill="auto"/>
            <w:hideMark/>
          </w:tcPr>
          <w:p w14:paraId="079B6145"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ECOSOC Subcommittee of Experts on GHS</w:t>
            </w:r>
          </w:p>
        </w:tc>
        <w:tc>
          <w:tcPr>
            <w:tcW w:w="1379" w:type="dxa"/>
            <w:shd w:val="clear" w:color="auto" w:fill="auto"/>
            <w:vAlign w:val="bottom"/>
            <w:hideMark/>
          </w:tcPr>
          <w:p w14:paraId="6EEF37F4"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62</w:t>
            </w:r>
          </w:p>
        </w:tc>
        <w:tc>
          <w:tcPr>
            <w:tcW w:w="1525" w:type="dxa"/>
            <w:shd w:val="clear" w:color="auto" w:fill="auto"/>
            <w:vAlign w:val="bottom"/>
            <w:hideMark/>
          </w:tcPr>
          <w:p w14:paraId="6A428C11"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28</w:t>
            </w:r>
          </w:p>
        </w:tc>
        <w:tc>
          <w:tcPr>
            <w:tcW w:w="1763" w:type="dxa"/>
            <w:shd w:val="clear" w:color="auto" w:fill="auto"/>
            <w:vAlign w:val="bottom"/>
            <w:hideMark/>
          </w:tcPr>
          <w:p w14:paraId="16044EE8"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45%</w:t>
            </w:r>
          </w:p>
        </w:tc>
      </w:tr>
      <w:tr w:rsidR="006938B9" w:rsidRPr="006938B9" w14:paraId="75E5D533" w14:textId="77777777" w:rsidTr="006938B9">
        <w:tc>
          <w:tcPr>
            <w:tcW w:w="2703" w:type="dxa"/>
            <w:shd w:val="clear" w:color="auto" w:fill="auto"/>
            <w:hideMark/>
          </w:tcPr>
          <w:p w14:paraId="30347B36" w14:textId="77777777" w:rsidR="00EB10E2" w:rsidRPr="002420FE" w:rsidRDefault="00EB10E2" w:rsidP="006938B9">
            <w:pPr>
              <w:suppressAutoHyphens w:val="0"/>
              <w:spacing w:before="40" w:after="40" w:line="220" w:lineRule="exact"/>
              <w:rPr>
                <w:b/>
                <w:bCs/>
                <w:sz w:val="18"/>
                <w:lang w:eastAsia="zh-CN"/>
              </w:rPr>
            </w:pPr>
            <w:r w:rsidRPr="002420FE">
              <w:rPr>
                <w:b/>
                <w:bCs/>
                <w:sz w:val="18"/>
                <w:lang w:eastAsia="zh-CN"/>
              </w:rPr>
              <w:t>THE PEP</w:t>
            </w:r>
          </w:p>
        </w:tc>
        <w:tc>
          <w:tcPr>
            <w:tcW w:w="1379" w:type="dxa"/>
            <w:shd w:val="clear" w:color="auto" w:fill="auto"/>
            <w:vAlign w:val="bottom"/>
            <w:hideMark/>
          </w:tcPr>
          <w:p w14:paraId="6867888D" w14:textId="77777777" w:rsidR="00EB10E2" w:rsidRPr="002420FE" w:rsidRDefault="00EB10E2" w:rsidP="006938B9">
            <w:pPr>
              <w:suppressAutoHyphens w:val="0"/>
              <w:spacing w:before="40" w:after="40" w:line="220" w:lineRule="exact"/>
              <w:jc w:val="right"/>
              <w:rPr>
                <w:b/>
                <w:bCs/>
                <w:sz w:val="18"/>
                <w:lang w:eastAsia="zh-CN"/>
              </w:rPr>
            </w:pPr>
            <w:r w:rsidRPr="002420FE">
              <w:rPr>
                <w:b/>
                <w:bCs/>
                <w:sz w:val="18"/>
                <w:lang w:eastAsia="zh-CN"/>
              </w:rPr>
              <w:t>5</w:t>
            </w:r>
          </w:p>
        </w:tc>
        <w:tc>
          <w:tcPr>
            <w:tcW w:w="1525" w:type="dxa"/>
            <w:shd w:val="clear" w:color="auto" w:fill="auto"/>
            <w:vAlign w:val="bottom"/>
            <w:hideMark/>
          </w:tcPr>
          <w:p w14:paraId="66EE836E" w14:textId="77777777" w:rsidR="00EB10E2" w:rsidRPr="002420FE" w:rsidRDefault="00EB10E2" w:rsidP="006938B9">
            <w:pPr>
              <w:suppressAutoHyphens w:val="0"/>
              <w:spacing w:before="40" w:after="40" w:line="220" w:lineRule="exact"/>
              <w:jc w:val="right"/>
              <w:rPr>
                <w:b/>
                <w:bCs/>
                <w:sz w:val="18"/>
                <w:lang w:eastAsia="zh-CN"/>
              </w:rPr>
            </w:pPr>
            <w:r w:rsidRPr="002420FE">
              <w:rPr>
                <w:b/>
                <w:bCs/>
                <w:sz w:val="18"/>
                <w:lang w:eastAsia="zh-CN"/>
              </w:rPr>
              <w:t>5</w:t>
            </w:r>
          </w:p>
        </w:tc>
        <w:tc>
          <w:tcPr>
            <w:tcW w:w="1763" w:type="dxa"/>
            <w:shd w:val="clear" w:color="auto" w:fill="auto"/>
            <w:vAlign w:val="bottom"/>
            <w:hideMark/>
          </w:tcPr>
          <w:p w14:paraId="6734F69D" w14:textId="77777777" w:rsidR="00EB10E2" w:rsidRPr="002420FE" w:rsidRDefault="00EB10E2" w:rsidP="006938B9">
            <w:pPr>
              <w:suppressAutoHyphens w:val="0"/>
              <w:spacing w:before="40" w:after="40" w:line="220" w:lineRule="exact"/>
              <w:jc w:val="right"/>
              <w:rPr>
                <w:b/>
                <w:bCs/>
                <w:sz w:val="18"/>
                <w:lang w:eastAsia="zh-CN"/>
              </w:rPr>
            </w:pPr>
            <w:r w:rsidRPr="002420FE">
              <w:rPr>
                <w:b/>
                <w:bCs/>
                <w:sz w:val="18"/>
                <w:lang w:eastAsia="zh-CN"/>
              </w:rPr>
              <w:t>100%</w:t>
            </w:r>
          </w:p>
        </w:tc>
      </w:tr>
      <w:tr w:rsidR="006938B9" w:rsidRPr="006938B9" w14:paraId="1E840C80" w14:textId="77777777" w:rsidTr="006938B9">
        <w:tc>
          <w:tcPr>
            <w:tcW w:w="2703" w:type="dxa"/>
            <w:shd w:val="clear" w:color="auto" w:fill="auto"/>
            <w:hideMark/>
          </w:tcPr>
          <w:p w14:paraId="0D310283" w14:textId="77777777" w:rsidR="00EB10E2" w:rsidRPr="006938B9" w:rsidRDefault="00EB10E2" w:rsidP="006938B9">
            <w:pPr>
              <w:suppressAutoHyphens w:val="0"/>
              <w:spacing w:before="40" w:after="40" w:line="220" w:lineRule="exact"/>
              <w:rPr>
                <w:sz w:val="18"/>
                <w:lang w:eastAsia="zh-CN"/>
              </w:rPr>
            </w:pPr>
            <w:r w:rsidRPr="006938B9">
              <w:rPr>
                <w:sz w:val="18"/>
                <w:lang w:eastAsia="zh-CN"/>
              </w:rPr>
              <w:t>High-level Meeting on Transport, Health and Environment</w:t>
            </w:r>
          </w:p>
        </w:tc>
        <w:tc>
          <w:tcPr>
            <w:tcW w:w="1379" w:type="dxa"/>
            <w:shd w:val="clear" w:color="auto" w:fill="auto"/>
            <w:vAlign w:val="bottom"/>
            <w:hideMark/>
          </w:tcPr>
          <w:p w14:paraId="2C3A0E2B"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5</w:t>
            </w:r>
          </w:p>
        </w:tc>
        <w:tc>
          <w:tcPr>
            <w:tcW w:w="1525" w:type="dxa"/>
            <w:shd w:val="clear" w:color="auto" w:fill="auto"/>
            <w:vAlign w:val="bottom"/>
            <w:hideMark/>
          </w:tcPr>
          <w:p w14:paraId="4A3E5266" w14:textId="77777777" w:rsidR="00EB10E2" w:rsidRPr="006938B9" w:rsidRDefault="00EB10E2" w:rsidP="006938B9">
            <w:pPr>
              <w:suppressAutoHyphens w:val="0"/>
              <w:spacing w:before="40" w:after="40" w:line="220" w:lineRule="exact"/>
              <w:jc w:val="right"/>
              <w:rPr>
                <w:sz w:val="18"/>
                <w:lang w:eastAsia="zh-CN"/>
              </w:rPr>
            </w:pPr>
            <w:r w:rsidRPr="006938B9">
              <w:rPr>
                <w:sz w:val="18"/>
                <w:lang w:eastAsia="zh-CN"/>
              </w:rPr>
              <w:t>5</w:t>
            </w:r>
          </w:p>
        </w:tc>
        <w:tc>
          <w:tcPr>
            <w:tcW w:w="1763" w:type="dxa"/>
            <w:shd w:val="clear" w:color="auto" w:fill="auto"/>
            <w:vAlign w:val="bottom"/>
            <w:hideMark/>
          </w:tcPr>
          <w:p w14:paraId="53EBF788" w14:textId="77777777" w:rsidR="00EB10E2" w:rsidRPr="006938B9" w:rsidRDefault="00EB10E2" w:rsidP="006938B9">
            <w:pPr>
              <w:suppressAutoHyphens w:val="0"/>
              <w:spacing w:before="40" w:after="40" w:line="220" w:lineRule="exact"/>
              <w:jc w:val="right"/>
              <w:rPr>
                <w:b/>
                <w:bCs/>
                <w:sz w:val="18"/>
                <w:lang w:eastAsia="zh-CN"/>
              </w:rPr>
            </w:pPr>
            <w:r w:rsidRPr="006938B9">
              <w:rPr>
                <w:b/>
                <w:bCs/>
                <w:sz w:val="18"/>
                <w:lang w:eastAsia="zh-CN"/>
              </w:rPr>
              <w:t>100%</w:t>
            </w:r>
          </w:p>
        </w:tc>
      </w:tr>
      <w:tr w:rsidR="006938B9" w:rsidRPr="006938B9" w14:paraId="62D2D08A" w14:textId="77777777" w:rsidTr="006938B9">
        <w:tc>
          <w:tcPr>
            <w:tcW w:w="2703" w:type="dxa"/>
            <w:tcBorders>
              <w:bottom w:val="single" w:sz="12" w:space="0" w:color="auto"/>
            </w:tcBorders>
            <w:shd w:val="clear" w:color="auto" w:fill="auto"/>
            <w:hideMark/>
          </w:tcPr>
          <w:p w14:paraId="4AE05A26" w14:textId="5BE930C6" w:rsidR="00EB10E2" w:rsidRPr="006938B9" w:rsidRDefault="00EB10E2" w:rsidP="006938B9">
            <w:pPr>
              <w:suppressAutoHyphens w:val="0"/>
              <w:spacing w:before="40" w:after="40" w:line="220" w:lineRule="exact"/>
              <w:rPr>
                <w:sz w:val="18"/>
                <w:lang w:eastAsia="zh-CN"/>
              </w:rPr>
            </w:pPr>
          </w:p>
        </w:tc>
        <w:tc>
          <w:tcPr>
            <w:tcW w:w="1379" w:type="dxa"/>
            <w:tcBorders>
              <w:bottom w:val="single" w:sz="12" w:space="0" w:color="auto"/>
            </w:tcBorders>
            <w:shd w:val="clear" w:color="auto" w:fill="auto"/>
            <w:vAlign w:val="bottom"/>
            <w:hideMark/>
          </w:tcPr>
          <w:p w14:paraId="1BEF40DE" w14:textId="77777777" w:rsidR="00EB10E2" w:rsidRPr="006938B9" w:rsidRDefault="00EB10E2" w:rsidP="006938B9">
            <w:pPr>
              <w:suppressAutoHyphens w:val="0"/>
              <w:spacing w:before="40" w:after="40" w:line="220" w:lineRule="exact"/>
              <w:jc w:val="right"/>
              <w:rPr>
                <w:sz w:val="18"/>
                <w:lang w:eastAsia="zh-CN"/>
              </w:rPr>
            </w:pPr>
          </w:p>
        </w:tc>
        <w:tc>
          <w:tcPr>
            <w:tcW w:w="1525" w:type="dxa"/>
            <w:tcBorders>
              <w:bottom w:val="single" w:sz="12" w:space="0" w:color="auto"/>
            </w:tcBorders>
            <w:shd w:val="clear" w:color="auto" w:fill="auto"/>
            <w:vAlign w:val="bottom"/>
            <w:hideMark/>
          </w:tcPr>
          <w:p w14:paraId="44984F0D" w14:textId="77777777" w:rsidR="00EB10E2" w:rsidRPr="006938B9" w:rsidRDefault="00EB10E2" w:rsidP="006938B9">
            <w:pPr>
              <w:suppressAutoHyphens w:val="0"/>
              <w:spacing w:before="40" w:after="40" w:line="220" w:lineRule="exact"/>
              <w:jc w:val="right"/>
              <w:rPr>
                <w:sz w:val="18"/>
                <w:lang w:eastAsia="zh-CN"/>
              </w:rPr>
            </w:pPr>
          </w:p>
        </w:tc>
        <w:tc>
          <w:tcPr>
            <w:tcW w:w="1763" w:type="dxa"/>
            <w:tcBorders>
              <w:bottom w:val="single" w:sz="12" w:space="0" w:color="auto"/>
            </w:tcBorders>
            <w:shd w:val="clear" w:color="auto" w:fill="auto"/>
            <w:vAlign w:val="bottom"/>
            <w:hideMark/>
          </w:tcPr>
          <w:p w14:paraId="221D8DBA" w14:textId="77777777" w:rsidR="00EB10E2" w:rsidRPr="006938B9" w:rsidRDefault="00EB10E2" w:rsidP="006938B9">
            <w:pPr>
              <w:suppressAutoHyphens w:val="0"/>
              <w:spacing w:before="40" w:after="40" w:line="220" w:lineRule="exact"/>
              <w:jc w:val="right"/>
              <w:rPr>
                <w:sz w:val="18"/>
                <w:lang w:eastAsia="zh-CN"/>
              </w:rPr>
            </w:pPr>
          </w:p>
        </w:tc>
      </w:tr>
    </w:tbl>
    <w:bookmarkEnd w:id="1"/>
    <w:bookmarkEnd w:id="2"/>
    <w:p w14:paraId="70ACC103" w14:textId="2E39FB80" w:rsidR="004D6687" w:rsidRPr="006938B9" w:rsidRDefault="006938B9" w:rsidP="006938B9">
      <w:pPr>
        <w:pStyle w:val="HChG"/>
        <w:spacing w:before="0" w:after="0" w:line="220" w:lineRule="exact"/>
        <w:ind w:right="0" w:firstLine="170"/>
        <w:rPr>
          <w:b w:val="0"/>
          <w:bCs/>
          <w:sz w:val="18"/>
        </w:rPr>
      </w:pPr>
      <w:r w:rsidRPr="006938B9">
        <w:rPr>
          <w:b w:val="0"/>
          <w:bCs/>
          <w:sz w:val="18"/>
        </w:rPr>
        <w:t>* Best annual estimates as of 22 December 2020</w:t>
      </w:r>
    </w:p>
    <w:p w14:paraId="0A30FBF6" w14:textId="77777777" w:rsidR="004F04C8" w:rsidRDefault="004F04C8">
      <w:pPr>
        <w:suppressAutoHyphens w:val="0"/>
        <w:spacing w:line="240" w:lineRule="auto"/>
        <w:rPr>
          <w:b/>
          <w:sz w:val="28"/>
        </w:rPr>
      </w:pPr>
      <w:r>
        <w:br w:type="page"/>
      </w:r>
    </w:p>
    <w:p w14:paraId="42D2DED1" w14:textId="0E9F23E7" w:rsidR="009662CD" w:rsidRPr="00857398" w:rsidRDefault="009662CD" w:rsidP="009662CD">
      <w:pPr>
        <w:pStyle w:val="HChG"/>
      </w:pPr>
      <w:r>
        <w:lastRenderedPageBreak/>
        <w:t>Annex I</w:t>
      </w:r>
    </w:p>
    <w:p w14:paraId="2EBAD450" w14:textId="0D8F926E" w:rsidR="009662CD" w:rsidRDefault="009662CD" w:rsidP="009662CD">
      <w:pPr>
        <w:pStyle w:val="HChG"/>
      </w:pPr>
      <w:r>
        <w:tab/>
      </w:r>
      <w:r>
        <w:tab/>
        <w:t xml:space="preserve">Special procedures during the COVID-19 period </w:t>
      </w:r>
    </w:p>
    <w:p w14:paraId="0FDCA506" w14:textId="77777777" w:rsidR="000E0C7B" w:rsidRDefault="009662CD" w:rsidP="009662CD">
      <w:pPr>
        <w:pStyle w:val="HChG"/>
      </w:pPr>
      <w:r>
        <w:tab/>
      </w:r>
      <w:r>
        <w:tab/>
        <w:t xml:space="preserve">Arrangements for the UNECE Inland Transport Committee subsidiary bodies to conduct business remotely during the COVID-19 period </w:t>
      </w:r>
    </w:p>
    <w:p w14:paraId="506FD97A" w14:textId="12E59B9D" w:rsidR="009662CD" w:rsidRPr="008E0C6C" w:rsidRDefault="000E0C7B" w:rsidP="000E0C7B">
      <w:pPr>
        <w:pStyle w:val="H23G"/>
      </w:pPr>
      <w:r>
        <w:tab/>
      </w:r>
      <w:r>
        <w:tab/>
      </w:r>
      <w:r w:rsidR="009662CD">
        <w:t>(</w:t>
      </w:r>
      <w:hyperlink r:id="rId13" w:history="1">
        <w:r w:rsidR="009662CD" w:rsidRPr="00E72E83">
          <w:rPr>
            <w:rStyle w:val="Hyperlink"/>
          </w:rPr>
          <w:t>EXCOM Informal document No. 2020/18</w:t>
        </w:r>
      </w:hyperlink>
      <w:r w:rsidR="009662CD">
        <w:t>, adopted on 20 May 2020)</w:t>
      </w:r>
    </w:p>
    <w:p w14:paraId="6DF7040B" w14:textId="77777777" w:rsidR="009662CD" w:rsidRPr="00E72E83" w:rsidRDefault="009662CD" w:rsidP="009662CD">
      <w:pPr>
        <w:pStyle w:val="SingleTxtG"/>
        <w:ind w:firstLine="567"/>
        <w:rPr>
          <w:b/>
        </w:rPr>
      </w:pPr>
      <w:r w:rsidRPr="00E72E83">
        <w:t>Further to the Special Procedures during the COVID-19 period adopted by the Executive Committee of the UNECE on 6 April 2020, the Executive Committee:</w:t>
      </w:r>
    </w:p>
    <w:p w14:paraId="38631B53" w14:textId="143EB1D6" w:rsidR="009662CD" w:rsidRPr="00E72E83" w:rsidRDefault="009662CD" w:rsidP="009662CD">
      <w:pPr>
        <w:pStyle w:val="SingleTxtG"/>
        <w:rPr>
          <w:b/>
        </w:rPr>
      </w:pPr>
      <w:r w:rsidRPr="00E72E83">
        <w:t>1.</w:t>
      </w:r>
      <w:r>
        <w:tab/>
      </w:r>
      <w:r w:rsidRPr="00E72E83">
        <w:t>Takes note that the Bureau of the UNECE Inland Transport Committee (ITC) has decided to approve, where Chairs of ITC subsidiary bodies deem it necessary, the convening of informal consultations of ITC subsidiary bodies during the period where the Special Procedures apply, to allow them to discuss matters of crucial importance for the continuity of their work under the exceptional circumstances triggered by the COVID-19 pandemic;</w:t>
      </w:r>
    </w:p>
    <w:p w14:paraId="4D1C0669" w14:textId="44390B53" w:rsidR="009662CD" w:rsidRPr="00E72E83" w:rsidRDefault="009662CD" w:rsidP="009662CD">
      <w:pPr>
        <w:pStyle w:val="SingleTxtG"/>
        <w:rPr>
          <w:b/>
        </w:rPr>
      </w:pPr>
      <w:r w:rsidRPr="00E72E83">
        <w:t>2.</w:t>
      </w:r>
      <w:r>
        <w:tab/>
      </w:r>
      <w:r w:rsidRPr="00E72E83">
        <w:t>Authorizes the Chairs of the relevant subsidiary bodies to circulate recommendations on decisions to the members of those subsidiary bodies on business-critical issues resulting from these informal consultations, through the Permanent Missions in Geneva, under a silence procedure of at least 72 hours and in accordance with Rule 44 of the Terms of Reference and Rules of Procedure of UNECE as contained in E/ECE/778/Rev.5;</w:t>
      </w:r>
    </w:p>
    <w:p w14:paraId="472EBA05" w14:textId="5B744BEA" w:rsidR="009662CD" w:rsidRDefault="009662CD" w:rsidP="009662CD">
      <w:pPr>
        <w:pStyle w:val="SingleTxtG"/>
      </w:pPr>
      <w:r w:rsidRPr="00E72E83">
        <w:t>3.</w:t>
      </w:r>
      <w:r>
        <w:tab/>
      </w:r>
      <w:r w:rsidRPr="00E72E83">
        <w:t xml:space="preserve">Notes that, if the silence is not broken, the recommendations shall be considered adopted and will be submitted to the 83rd session of ITC for consideration, as appropriate. </w:t>
      </w:r>
    </w:p>
    <w:p w14:paraId="66A31D6B" w14:textId="46BCF566" w:rsidR="00DF3BFB" w:rsidRDefault="00DF3BFB">
      <w:pPr>
        <w:suppressAutoHyphens w:val="0"/>
        <w:spacing w:line="240" w:lineRule="auto"/>
        <w:rPr>
          <w:b/>
          <w:sz w:val="28"/>
          <w:u w:val="single"/>
        </w:rPr>
      </w:pPr>
      <w:r>
        <w:rPr>
          <w:u w:val="single"/>
        </w:rPr>
        <w:br w:type="page"/>
      </w:r>
    </w:p>
    <w:p w14:paraId="0A9D02EF" w14:textId="77777777" w:rsidR="00440491" w:rsidRPr="00857398" w:rsidRDefault="00440491" w:rsidP="00440491">
      <w:pPr>
        <w:pStyle w:val="HChG"/>
      </w:pPr>
      <w:r>
        <w:lastRenderedPageBreak/>
        <w:t>Annex II</w:t>
      </w:r>
    </w:p>
    <w:p w14:paraId="44863C5A" w14:textId="77777777" w:rsidR="00440491" w:rsidRDefault="00440491" w:rsidP="00440491">
      <w:pPr>
        <w:pStyle w:val="HChG"/>
      </w:pPr>
      <w:r>
        <w:tab/>
      </w:r>
      <w:r>
        <w:tab/>
        <w:t>Phases of “force majeure” adjustments to the 2020 Programme of Work of the Transport Subprogramme</w:t>
      </w:r>
    </w:p>
    <w:p w14:paraId="6CC62501" w14:textId="04E2E776" w:rsidR="00440491" w:rsidRDefault="004F04C8" w:rsidP="004F04C8">
      <w:pPr>
        <w:pStyle w:val="HChG"/>
      </w:pPr>
      <w:r>
        <w:tab/>
      </w:r>
      <w:r>
        <w:tab/>
      </w:r>
      <w:r w:rsidR="00440491" w:rsidRPr="00440491">
        <w:t>Phase I (March – June 2020)</w:t>
      </w:r>
    </w:p>
    <w:p w14:paraId="08868F2D" w14:textId="4722EF3D" w:rsidR="00440491" w:rsidRDefault="004F04C8" w:rsidP="004F04C8">
      <w:pPr>
        <w:pStyle w:val="SingleTxtG"/>
      </w:pPr>
      <w:r>
        <w:t>1.</w:t>
      </w:r>
      <w:r>
        <w:tab/>
      </w:r>
      <w:r w:rsidR="00440491">
        <w:t>Following the declaration on 16 March 2020 by the Swiss authorities of an “Extraordinary Situation” in Switzerland, due to the increasing number of coronavirus cases in the country, all public and private events, international meetings and other services provided by the United Nations secretariat, including UNECE, were banned. While the host government decided on 27 May an extensive easing of measure as of 6 June, the extensive backlog of meetings and existing travel restrictions around the world were followed by the decision of UNOG Conference services not to allow the organization of meetings by UNECE during this period.</w:t>
      </w:r>
    </w:p>
    <w:p w14:paraId="2D2F75E9" w14:textId="2FF4CC05" w:rsidR="00440491" w:rsidRDefault="004F04C8" w:rsidP="004F04C8">
      <w:pPr>
        <w:pStyle w:val="HChG"/>
      </w:pPr>
      <w:r>
        <w:tab/>
      </w:r>
      <w:r>
        <w:tab/>
      </w:r>
      <w:r w:rsidR="00440491" w:rsidRPr="00440491">
        <w:t xml:space="preserve">Phase II (July </w:t>
      </w:r>
      <w:r w:rsidR="00B93608">
        <w:t xml:space="preserve">– </w:t>
      </w:r>
      <w:r w:rsidR="00440491" w:rsidRPr="00440491">
        <w:t>August 2020)</w:t>
      </w:r>
      <w:r w:rsidR="00440491">
        <w:t xml:space="preserve"> </w:t>
      </w:r>
    </w:p>
    <w:p w14:paraId="10CB26D7" w14:textId="101099C2" w:rsidR="00440491" w:rsidRDefault="004F04C8" w:rsidP="004F04C8">
      <w:pPr>
        <w:pStyle w:val="SingleTxtG"/>
      </w:pPr>
      <w:r>
        <w:t>2.</w:t>
      </w:r>
      <w:r>
        <w:tab/>
      </w:r>
      <w:r w:rsidR="00440491">
        <w:t>Despite</w:t>
      </w:r>
      <w:r w:rsidR="00DB417A">
        <w:t xml:space="preserve"> </w:t>
      </w:r>
      <w:r w:rsidR="00440491">
        <w:t>the uplifting of the “Extraordinary Situation” in Switzerland, effective as of 6 June, the extensive backlog of meetings and existing travel restrictions around the world have been impacting the ability of UNOG Conference Management Services and, by extension, the UNECE secretariat to fully deliver the transport subprogramme’s work. Following the adoption by EXCOM of decisions related to silence procedures of ITC bodies, some meetings were organized under this arrangement, or as limited hybrid meetings with considerable negative impacts, including: shortening of meetings/agendas; adoption of only business critical decisions; limiting the global outreach of key meetings, even virtual,</w:t>
      </w:r>
      <w:r w:rsidR="00DB417A">
        <w:t xml:space="preserve"> </w:t>
      </w:r>
      <w:r w:rsidR="00440491">
        <w:t>because of the combined effect of overlapping travel limitations and time differences under virtual or hybrid meetings arrangements; serious delays in the updating of legal instruments; dramatic decrease of deliberations among Member States due to meeting limitations; dramatic decrease of documents prepared and submitted by Member States, due to dramatic decreases of meeting and/or services supporting meetings.</w:t>
      </w:r>
    </w:p>
    <w:p w14:paraId="5C9DCC9D" w14:textId="16F077A0" w:rsidR="00440491" w:rsidRDefault="004F04C8" w:rsidP="004F04C8">
      <w:pPr>
        <w:pStyle w:val="HChG"/>
      </w:pPr>
      <w:r>
        <w:tab/>
      </w:r>
      <w:r>
        <w:tab/>
      </w:r>
      <w:r w:rsidR="00440491" w:rsidRPr="00440491">
        <w:t>Phase III (August</w:t>
      </w:r>
      <w:r w:rsidR="00B93608">
        <w:t xml:space="preserve"> – </w:t>
      </w:r>
      <w:r w:rsidR="00440491" w:rsidRPr="00440491">
        <w:t>December 2020)</w:t>
      </w:r>
    </w:p>
    <w:p w14:paraId="2CBF79F4" w14:textId="2FB06A4D" w:rsidR="00440491" w:rsidRDefault="004F04C8" w:rsidP="00440491">
      <w:pPr>
        <w:pStyle w:val="SingleTxtG"/>
      </w:pPr>
      <w:r>
        <w:t>3.</w:t>
      </w:r>
      <w:r>
        <w:tab/>
      </w:r>
      <w:r w:rsidR="00440491">
        <w:t>In response to the COVID-mitigation measures; the liquidity crisis and the SHP constraints, the Conference Management Services of the United Nations Office in Geneva can only provide a significantly reduced service quota for UNECE meetings (from 3 meetings per day to 1 meeting per day and 3 hours per session to 2 hours per session for any hybrid meeting) resulting in further cancellations, postponements, shortening and downgrading to informal status of meetings. At the programmatic level, following the extension by EXCOM of decisions related to silence procedures of UNECE sectoral committees, including ITC bodies, some meetings continued to be organized under this arrangement, or as limited hybrid meetings with considerable negative impacts, including: shortening of meetings/agendas; adoption of only business critical decisions for the operations of the bodies (budgets etc); limiting the global outreach of key meetings, even virtual,</w:t>
      </w:r>
      <w:r w:rsidR="00DB417A">
        <w:t xml:space="preserve"> </w:t>
      </w:r>
      <w:r w:rsidR="00440491">
        <w:t>because of the combined effect of overlapping travel limitations and time differences under virtual or hybrid meetings arrangements; serious delays in the updating of legal instruments; dramatic decrease of deliberations among Member States due to meeting limitations; dramatic decrease of documents prepared and submitted by Member States, due to dramatic decreases of meeting and/or services supporting meetings. The silence procedure itself does not allow for in-session documents and the list of decisions has to be translated in three languages internally/informally by the secretariat, which is both burdensome and not an area of professional competence for the secretariat.</w:t>
      </w:r>
      <w:bookmarkStart w:id="3" w:name="_GoBack"/>
      <w:bookmarkEnd w:id="3"/>
    </w:p>
    <w:p w14:paraId="60899352" w14:textId="21D0F810" w:rsidR="00250503" w:rsidRPr="00FF02F5" w:rsidRDefault="004F04C8" w:rsidP="004F04C8">
      <w:pPr>
        <w:spacing w:before="240"/>
        <w:jc w:val="center"/>
      </w:pPr>
      <w:r>
        <w:rPr>
          <w:u w:val="single"/>
        </w:rPr>
        <w:tab/>
      </w:r>
      <w:r>
        <w:rPr>
          <w:u w:val="single"/>
        </w:rPr>
        <w:tab/>
      </w:r>
      <w:r>
        <w:rPr>
          <w:u w:val="single"/>
        </w:rPr>
        <w:tab/>
      </w:r>
    </w:p>
    <w:sectPr w:rsidR="00250503" w:rsidRPr="00FF02F5" w:rsidSect="00954785">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60D6" w14:textId="77777777" w:rsidR="0048137D" w:rsidRDefault="0048137D"/>
  </w:endnote>
  <w:endnote w:type="continuationSeparator" w:id="0">
    <w:p w14:paraId="06080921" w14:textId="77777777" w:rsidR="0048137D" w:rsidRDefault="0048137D"/>
  </w:endnote>
  <w:endnote w:type="continuationNotice" w:id="1">
    <w:p w14:paraId="70F9A8E6" w14:textId="77777777" w:rsidR="0048137D" w:rsidRDefault="00481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90EC" w14:textId="46AE4D3B" w:rsidR="00A25698" w:rsidRDefault="00A25698" w:rsidP="00A25698">
    <w:pPr>
      <w:pStyle w:val="Footer"/>
    </w:pPr>
    <w:r w:rsidRPr="0027112F">
      <w:rPr>
        <w:noProof/>
        <w:lang w:val="en-US"/>
      </w:rPr>
      <w:drawing>
        <wp:anchor distT="0" distB="0" distL="114300" distR="114300" simplePos="0" relativeHeight="251659264" behindDoc="0" locked="1" layoutInCell="1" allowOverlap="1" wp14:anchorId="25D2527D" wp14:editId="10B3396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D5B357" w14:textId="0DA02C6A" w:rsidR="00A25698" w:rsidRPr="00A25698" w:rsidRDefault="00A25698" w:rsidP="00A25698">
    <w:pPr>
      <w:pStyle w:val="Footer"/>
      <w:ind w:right="1134"/>
      <w:rPr>
        <w:sz w:val="20"/>
      </w:rPr>
    </w:pPr>
    <w:r>
      <w:rPr>
        <w:sz w:val="20"/>
      </w:rPr>
      <w:t>GE.21-00016(E)</w:t>
    </w:r>
    <w:r>
      <w:rPr>
        <w:noProof/>
        <w:sz w:val="20"/>
      </w:rPr>
      <w:drawing>
        <wp:anchor distT="0" distB="0" distL="114300" distR="114300" simplePos="0" relativeHeight="251660288" behindDoc="0" locked="0" layoutInCell="1" allowOverlap="1" wp14:anchorId="0CF1AE62" wp14:editId="230C63D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3C33" w14:textId="77777777" w:rsidR="0048137D" w:rsidRPr="000B175B" w:rsidRDefault="0048137D" w:rsidP="000B175B">
      <w:pPr>
        <w:tabs>
          <w:tab w:val="right" w:pos="2155"/>
        </w:tabs>
        <w:spacing w:after="80"/>
        <w:ind w:left="680"/>
        <w:rPr>
          <w:u w:val="single"/>
        </w:rPr>
      </w:pPr>
      <w:r>
        <w:rPr>
          <w:u w:val="single"/>
        </w:rPr>
        <w:tab/>
      </w:r>
    </w:p>
  </w:footnote>
  <w:footnote w:type="continuationSeparator" w:id="0">
    <w:p w14:paraId="3F56A179" w14:textId="77777777" w:rsidR="0048137D" w:rsidRPr="00FC68B7" w:rsidRDefault="0048137D" w:rsidP="00FC68B7">
      <w:pPr>
        <w:tabs>
          <w:tab w:val="left" w:pos="2155"/>
        </w:tabs>
        <w:spacing w:after="80"/>
        <w:ind w:left="680"/>
        <w:rPr>
          <w:u w:val="single"/>
        </w:rPr>
      </w:pPr>
      <w:r>
        <w:rPr>
          <w:u w:val="single"/>
        </w:rPr>
        <w:tab/>
      </w:r>
    </w:p>
  </w:footnote>
  <w:footnote w:type="continuationNotice" w:id="1">
    <w:p w14:paraId="5A87DEB3" w14:textId="77777777" w:rsidR="0048137D" w:rsidRDefault="0048137D"/>
  </w:footnote>
  <w:footnote w:id="2">
    <w:p w14:paraId="20AD48B4" w14:textId="77777777" w:rsidR="003C5768" w:rsidRPr="00887276" w:rsidRDefault="003C5768" w:rsidP="003C5768">
      <w:pPr>
        <w:pStyle w:val="FootnoteText"/>
        <w:rPr>
          <w:lang w:val="en-US"/>
        </w:rPr>
      </w:pPr>
      <w:r>
        <w:rPr>
          <w:rStyle w:val="FootnoteReference"/>
        </w:rPr>
        <w:tab/>
      </w:r>
      <w:r w:rsidRPr="00887276">
        <w:rPr>
          <w:rStyle w:val="FootnoteReference"/>
          <w:sz w:val="20"/>
          <w:vertAlign w:val="baseline"/>
        </w:rPr>
        <w:t>*</w:t>
      </w:r>
      <w:r>
        <w:rPr>
          <w:rStyle w:val="FootnoteReference"/>
          <w:sz w:val="20"/>
          <w:vertAlign w:val="baseline"/>
        </w:rPr>
        <w:tab/>
      </w:r>
      <w:r w:rsidRPr="00887276">
        <w:rPr>
          <w:sz w:val="20"/>
        </w:rPr>
        <w:t>This document was scheduled for publication after the standard publication date owing to circumstances beyond the submitter's control.</w:t>
      </w:r>
    </w:p>
  </w:footnote>
  <w:footnote w:id="3">
    <w:p w14:paraId="16D26320" w14:textId="77777777" w:rsidR="009662CD" w:rsidRPr="00D922A0" w:rsidRDefault="009662CD" w:rsidP="009662CD">
      <w:pPr>
        <w:pStyle w:val="FootnoteText"/>
        <w:rPr>
          <w:lang w:val="en-US"/>
        </w:rPr>
      </w:pPr>
      <w:r>
        <w:tab/>
      </w:r>
      <w:r>
        <w:rPr>
          <w:rStyle w:val="FootnoteReference"/>
        </w:rPr>
        <w:footnoteRef/>
      </w:r>
      <w:r>
        <w:t xml:space="preserve"> </w:t>
      </w:r>
      <w:r>
        <w:tab/>
      </w:r>
      <w:r>
        <w:rPr>
          <w:lang w:val="en-US"/>
        </w:rPr>
        <w:t>Information correct at the time of preparation of this table; subject to further changes due to the fluid situation.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B" w14:textId="6EF8C307" w:rsidR="00954785" w:rsidRPr="00954785" w:rsidRDefault="00D04AD8">
    <w:pPr>
      <w:pStyle w:val="Header"/>
    </w:pPr>
    <w:r>
      <w:t>ECE/TRANS/2021/5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935C" w14:textId="139A3B52" w:rsidR="00954785" w:rsidRPr="00954785" w:rsidRDefault="00D04AD8" w:rsidP="00954785">
    <w:pPr>
      <w:pStyle w:val="Header"/>
      <w:jc w:val="right"/>
    </w:pPr>
    <w:r>
      <w:t>ECE/TRANS/2021/5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354CBA"/>
    <w:multiLevelType w:val="hybridMultilevel"/>
    <w:tmpl w:val="95D232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27624"/>
    <w:rsid w:val="00050F6B"/>
    <w:rsid w:val="000558F9"/>
    <w:rsid w:val="000678CD"/>
    <w:rsid w:val="00072C8C"/>
    <w:rsid w:val="00081CE0"/>
    <w:rsid w:val="00084D30"/>
    <w:rsid w:val="00090320"/>
    <w:rsid w:val="000931C0"/>
    <w:rsid w:val="000A2E09"/>
    <w:rsid w:val="000B175B"/>
    <w:rsid w:val="000B3A0F"/>
    <w:rsid w:val="000E0415"/>
    <w:rsid w:val="000E0C7B"/>
    <w:rsid w:val="000F7715"/>
    <w:rsid w:val="00142B67"/>
    <w:rsid w:val="00156B99"/>
    <w:rsid w:val="001655EC"/>
    <w:rsid w:val="00166124"/>
    <w:rsid w:val="00181903"/>
    <w:rsid w:val="00184DDA"/>
    <w:rsid w:val="0018709F"/>
    <w:rsid w:val="001900CD"/>
    <w:rsid w:val="001A0452"/>
    <w:rsid w:val="001B4B04"/>
    <w:rsid w:val="001B5875"/>
    <w:rsid w:val="001B7F86"/>
    <w:rsid w:val="001C4B9C"/>
    <w:rsid w:val="001C6663"/>
    <w:rsid w:val="001C7895"/>
    <w:rsid w:val="001D26DF"/>
    <w:rsid w:val="001F1599"/>
    <w:rsid w:val="001F19C4"/>
    <w:rsid w:val="002043F0"/>
    <w:rsid w:val="00211E0B"/>
    <w:rsid w:val="00213ADB"/>
    <w:rsid w:val="0022137B"/>
    <w:rsid w:val="00232575"/>
    <w:rsid w:val="00241225"/>
    <w:rsid w:val="002420FE"/>
    <w:rsid w:val="00247258"/>
    <w:rsid w:val="00250503"/>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2FFA"/>
    <w:rsid w:val="0035638C"/>
    <w:rsid w:val="0039451F"/>
    <w:rsid w:val="003A46BB"/>
    <w:rsid w:val="003A4EC7"/>
    <w:rsid w:val="003A7295"/>
    <w:rsid w:val="003A7758"/>
    <w:rsid w:val="003B1F60"/>
    <w:rsid w:val="003C2CC4"/>
    <w:rsid w:val="003C359D"/>
    <w:rsid w:val="003C5768"/>
    <w:rsid w:val="003C6E86"/>
    <w:rsid w:val="003D4B23"/>
    <w:rsid w:val="003E059E"/>
    <w:rsid w:val="003E278A"/>
    <w:rsid w:val="0040185F"/>
    <w:rsid w:val="0041174B"/>
    <w:rsid w:val="00413520"/>
    <w:rsid w:val="004325CB"/>
    <w:rsid w:val="00435C26"/>
    <w:rsid w:val="00440491"/>
    <w:rsid w:val="00440A07"/>
    <w:rsid w:val="00462880"/>
    <w:rsid w:val="004768EE"/>
    <w:rsid w:val="00476F24"/>
    <w:rsid w:val="0048137D"/>
    <w:rsid w:val="004923A8"/>
    <w:rsid w:val="004C55B0"/>
    <w:rsid w:val="004D6687"/>
    <w:rsid w:val="004F04C8"/>
    <w:rsid w:val="004F6BA0"/>
    <w:rsid w:val="00503BEA"/>
    <w:rsid w:val="00533616"/>
    <w:rsid w:val="00535ABA"/>
    <w:rsid w:val="0053768B"/>
    <w:rsid w:val="005420F2"/>
    <w:rsid w:val="0054285C"/>
    <w:rsid w:val="00584173"/>
    <w:rsid w:val="005908BD"/>
    <w:rsid w:val="00595520"/>
    <w:rsid w:val="0059705D"/>
    <w:rsid w:val="005A44B9"/>
    <w:rsid w:val="005B1BA0"/>
    <w:rsid w:val="005B3DB3"/>
    <w:rsid w:val="005B3F65"/>
    <w:rsid w:val="005D15CA"/>
    <w:rsid w:val="005F08DF"/>
    <w:rsid w:val="005F3066"/>
    <w:rsid w:val="005F3E61"/>
    <w:rsid w:val="00604DDD"/>
    <w:rsid w:val="006115CC"/>
    <w:rsid w:val="00611FC4"/>
    <w:rsid w:val="006176FB"/>
    <w:rsid w:val="00620F69"/>
    <w:rsid w:val="00630FCB"/>
    <w:rsid w:val="00640B26"/>
    <w:rsid w:val="0065766B"/>
    <w:rsid w:val="00675404"/>
    <w:rsid w:val="00675C8F"/>
    <w:rsid w:val="006770B2"/>
    <w:rsid w:val="00686A48"/>
    <w:rsid w:val="006938B9"/>
    <w:rsid w:val="006940E1"/>
    <w:rsid w:val="006A3C72"/>
    <w:rsid w:val="006A7392"/>
    <w:rsid w:val="006B03A1"/>
    <w:rsid w:val="006B3ABA"/>
    <w:rsid w:val="006B67D9"/>
    <w:rsid w:val="006C0C13"/>
    <w:rsid w:val="006C5535"/>
    <w:rsid w:val="006D0589"/>
    <w:rsid w:val="006E564B"/>
    <w:rsid w:val="006E7154"/>
    <w:rsid w:val="007003CD"/>
    <w:rsid w:val="0070701E"/>
    <w:rsid w:val="0072632A"/>
    <w:rsid w:val="007358E8"/>
    <w:rsid w:val="00736ECE"/>
    <w:rsid w:val="0074533B"/>
    <w:rsid w:val="007643BC"/>
    <w:rsid w:val="00771444"/>
    <w:rsid w:val="00780C68"/>
    <w:rsid w:val="007959FE"/>
    <w:rsid w:val="007A0CF1"/>
    <w:rsid w:val="007A2C8E"/>
    <w:rsid w:val="007B6BA5"/>
    <w:rsid w:val="007C3390"/>
    <w:rsid w:val="007C42D8"/>
    <w:rsid w:val="007C4F4B"/>
    <w:rsid w:val="007D7362"/>
    <w:rsid w:val="007F3030"/>
    <w:rsid w:val="007F5CE2"/>
    <w:rsid w:val="007F6611"/>
    <w:rsid w:val="007F682F"/>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26E47"/>
    <w:rsid w:val="00943748"/>
    <w:rsid w:val="00947162"/>
    <w:rsid w:val="00954785"/>
    <w:rsid w:val="009610D0"/>
    <w:rsid w:val="0096375C"/>
    <w:rsid w:val="009662CD"/>
    <w:rsid w:val="009662E6"/>
    <w:rsid w:val="0097095E"/>
    <w:rsid w:val="009752F6"/>
    <w:rsid w:val="0098592B"/>
    <w:rsid w:val="00985FC4"/>
    <w:rsid w:val="00990766"/>
    <w:rsid w:val="00990E87"/>
    <w:rsid w:val="00991261"/>
    <w:rsid w:val="009964C4"/>
    <w:rsid w:val="009A7B81"/>
    <w:rsid w:val="009B0994"/>
    <w:rsid w:val="009D01C0"/>
    <w:rsid w:val="009D6A08"/>
    <w:rsid w:val="009E0A16"/>
    <w:rsid w:val="009E6CB7"/>
    <w:rsid w:val="009E7970"/>
    <w:rsid w:val="009F2EAC"/>
    <w:rsid w:val="009F57E3"/>
    <w:rsid w:val="00A10F4F"/>
    <w:rsid w:val="00A11067"/>
    <w:rsid w:val="00A1704A"/>
    <w:rsid w:val="00A25698"/>
    <w:rsid w:val="00A425EB"/>
    <w:rsid w:val="00A72F22"/>
    <w:rsid w:val="00A733BC"/>
    <w:rsid w:val="00A748A6"/>
    <w:rsid w:val="00A74AD2"/>
    <w:rsid w:val="00A76A69"/>
    <w:rsid w:val="00A879A4"/>
    <w:rsid w:val="00AA0FF8"/>
    <w:rsid w:val="00AC0F2C"/>
    <w:rsid w:val="00AC502A"/>
    <w:rsid w:val="00AE3379"/>
    <w:rsid w:val="00AF58C1"/>
    <w:rsid w:val="00B04A3F"/>
    <w:rsid w:val="00B06643"/>
    <w:rsid w:val="00B15055"/>
    <w:rsid w:val="00B20551"/>
    <w:rsid w:val="00B30179"/>
    <w:rsid w:val="00B33FC7"/>
    <w:rsid w:val="00B37B15"/>
    <w:rsid w:val="00B45C02"/>
    <w:rsid w:val="00B67CE6"/>
    <w:rsid w:val="00B70B63"/>
    <w:rsid w:val="00B70FA4"/>
    <w:rsid w:val="00B72A1E"/>
    <w:rsid w:val="00B81E12"/>
    <w:rsid w:val="00B93608"/>
    <w:rsid w:val="00BA339B"/>
    <w:rsid w:val="00BB23CC"/>
    <w:rsid w:val="00BC0DAC"/>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65AC"/>
    <w:rsid w:val="00C978F5"/>
    <w:rsid w:val="00CA24A4"/>
    <w:rsid w:val="00CB0EAD"/>
    <w:rsid w:val="00CB348D"/>
    <w:rsid w:val="00CB42AE"/>
    <w:rsid w:val="00CC7664"/>
    <w:rsid w:val="00CD3488"/>
    <w:rsid w:val="00CD46F5"/>
    <w:rsid w:val="00CE4A8F"/>
    <w:rsid w:val="00CF071D"/>
    <w:rsid w:val="00CF331B"/>
    <w:rsid w:val="00D0123D"/>
    <w:rsid w:val="00D04AD8"/>
    <w:rsid w:val="00D15B04"/>
    <w:rsid w:val="00D2031B"/>
    <w:rsid w:val="00D25FE2"/>
    <w:rsid w:val="00D262AC"/>
    <w:rsid w:val="00D37DA9"/>
    <w:rsid w:val="00D406A7"/>
    <w:rsid w:val="00D43252"/>
    <w:rsid w:val="00D44D86"/>
    <w:rsid w:val="00D50B7D"/>
    <w:rsid w:val="00D52012"/>
    <w:rsid w:val="00D60D9C"/>
    <w:rsid w:val="00D704E5"/>
    <w:rsid w:val="00D72727"/>
    <w:rsid w:val="00D978C6"/>
    <w:rsid w:val="00DA0956"/>
    <w:rsid w:val="00DA357F"/>
    <w:rsid w:val="00DA3E12"/>
    <w:rsid w:val="00DB417A"/>
    <w:rsid w:val="00DC18AD"/>
    <w:rsid w:val="00DF3BFB"/>
    <w:rsid w:val="00DF7CAE"/>
    <w:rsid w:val="00E003EE"/>
    <w:rsid w:val="00E11BD6"/>
    <w:rsid w:val="00E423C0"/>
    <w:rsid w:val="00E47BE2"/>
    <w:rsid w:val="00E6414C"/>
    <w:rsid w:val="00E71BF2"/>
    <w:rsid w:val="00E7260F"/>
    <w:rsid w:val="00E8702D"/>
    <w:rsid w:val="00E905F4"/>
    <w:rsid w:val="00E916A9"/>
    <w:rsid w:val="00E916DE"/>
    <w:rsid w:val="00E925AD"/>
    <w:rsid w:val="00E96630"/>
    <w:rsid w:val="00E96F3F"/>
    <w:rsid w:val="00EB10E2"/>
    <w:rsid w:val="00ED18DC"/>
    <w:rsid w:val="00ED6201"/>
    <w:rsid w:val="00ED7A2A"/>
    <w:rsid w:val="00EE265F"/>
    <w:rsid w:val="00EF1D7F"/>
    <w:rsid w:val="00F0137E"/>
    <w:rsid w:val="00F060D1"/>
    <w:rsid w:val="00F1691A"/>
    <w:rsid w:val="00F21786"/>
    <w:rsid w:val="00F3742B"/>
    <w:rsid w:val="00F41FDB"/>
    <w:rsid w:val="00F56D63"/>
    <w:rsid w:val="00F609A9"/>
    <w:rsid w:val="00F80C99"/>
    <w:rsid w:val="00F867EC"/>
    <w:rsid w:val="00F91B2B"/>
    <w:rsid w:val="00FC03CD"/>
    <w:rsid w:val="00FC0595"/>
    <w:rsid w:val="00FC0646"/>
    <w:rsid w:val="00FC68B7"/>
    <w:rsid w:val="00FD78EB"/>
    <w:rsid w:val="00FE6985"/>
    <w:rsid w:val="00FF02F5"/>
    <w:rsid w:val="00FF05F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rsid w:val="009662CD"/>
    <w:rPr>
      <w:lang w:val="en-GB"/>
    </w:rPr>
  </w:style>
  <w:style w:type="character" w:customStyle="1" w:styleId="H1GChar">
    <w:name w:val="_ H_1_G Char"/>
    <w:link w:val="H1G"/>
    <w:rsid w:val="009662CD"/>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7495">
      <w:bodyDiv w:val="1"/>
      <w:marLeft w:val="0"/>
      <w:marRight w:val="0"/>
      <w:marTop w:val="0"/>
      <w:marBottom w:val="0"/>
      <w:divBdr>
        <w:top w:val="none" w:sz="0" w:space="0" w:color="auto"/>
        <w:left w:val="none" w:sz="0" w:space="0" w:color="auto"/>
        <w:bottom w:val="none" w:sz="0" w:space="0" w:color="auto"/>
        <w:right w:val="none" w:sz="0" w:space="0" w:color="auto"/>
      </w:divBdr>
    </w:div>
    <w:div w:id="203713176">
      <w:bodyDiv w:val="1"/>
      <w:marLeft w:val="0"/>
      <w:marRight w:val="0"/>
      <w:marTop w:val="0"/>
      <w:marBottom w:val="0"/>
      <w:divBdr>
        <w:top w:val="none" w:sz="0" w:space="0" w:color="auto"/>
        <w:left w:val="none" w:sz="0" w:space="0" w:color="auto"/>
        <w:bottom w:val="none" w:sz="0" w:space="0" w:color="auto"/>
        <w:right w:val="none" w:sz="0" w:space="0" w:color="auto"/>
      </w:divBdr>
    </w:div>
    <w:div w:id="228196672">
      <w:bodyDiv w:val="1"/>
      <w:marLeft w:val="0"/>
      <w:marRight w:val="0"/>
      <w:marTop w:val="0"/>
      <w:marBottom w:val="0"/>
      <w:divBdr>
        <w:top w:val="none" w:sz="0" w:space="0" w:color="auto"/>
        <w:left w:val="none" w:sz="0" w:space="0" w:color="auto"/>
        <w:bottom w:val="none" w:sz="0" w:space="0" w:color="auto"/>
        <w:right w:val="none" w:sz="0" w:space="0" w:color="auto"/>
      </w:divBdr>
    </w:div>
    <w:div w:id="317152411">
      <w:bodyDiv w:val="1"/>
      <w:marLeft w:val="0"/>
      <w:marRight w:val="0"/>
      <w:marTop w:val="0"/>
      <w:marBottom w:val="0"/>
      <w:divBdr>
        <w:top w:val="none" w:sz="0" w:space="0" w:color="auto"/>
        <w:left w:val="none" w:sz="0" w:space="0" w:color="auto"/>
        <w:bottom w:val="none" w:sz="0" w:space="0" w:color="auto"/>
        <w:right w:val="none" w:sz="0" w:space="0" w:color="auto"/>
      </w:divBdr>
    </w:div>
    <w:div w:id="1577548473">
      <w:bodyDiv w:val="1"/>
      <w:marLeft w:val="0"/>
      <w:marRight w:val="0"/>
      <w:marTop w:val="0"/>
      <w:marBottom w:val="0"/>
      <w:divBdr>
        <w:top w:val="none" w:sz="0" w:space="0" w:color="auto"/>
        <w:left w:val="none" w:sz="0" w:space="0" w:color="auto"/>
        <w:bottom w:val="none" w:sz="0" w:space="0" w:color="auto"/>
        <w:right w:val="none" w:sz="0" w:space="0" w:color="auto"/>
      </w:divBdr>
    </w:div>
    <w:div w:id="162426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ece.org/fileadmin/DAM/commission/EXCOM/Agenda/2020/Remote_informal_mtg_20_05_2020/Item_3_ECE_EX_2020_18_ITC_sp._procedures.pdf"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ece.org/fileadmin/DAM/commission/EXCOM/Agenda/2020/EXCOM_111_05_Oct/ECE_EX_2020_L.12-2013121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ece.org/fileadmin/DAM/commission/EXCOM/Agenda/2020/Special_procedure/Full_list_of_decisions_of_20_May_2020_for_silent_procedure_for_circulation__EN_1.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AE2BDC-C0CA-4019-9BA2-D304BD5B8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3111</Words>
  <Characters>16938</Characters>
  <Application>Microsoft Office Word</Application>
  <DocSecurity>0</DocSecurity>
  <Lines>637</Lines>
  <Paragraphs>350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ECE/TRANS/2021/5</vt:lpstr>
      <vt:lpstr/>
    </vt:vector>
  </TitlesOfParts>
  <Company>CSD</Company>
  <LinksUpToDate>false</LinksUpToDate>
  <CharactersWithSpaces>19773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ECE/TRANS/2021/5</dc:title>
  <dc:subject>2100016</dc:subject>
  <dc:creator>Anastasia Barinova</dc:creator>
  <cp:keywords/>
  <dc:description/>
  <cp:lastModifiedBy>Anni Vi Tirol</cp:lastModifiedBy>
  <cp:revision>2</cp:revision>
  <cp:lastPrinted>2009-02-18T09:36:00Z</cp:lastPrinted>
  <dcterms:created xsi:type="dcterms:W3CDTF">2021-01-11T13:06:00Z</dcterms:created>
  <dcterms:modified xsi:type="dcterms:W3CDTF">2021-01-11T13:06:00Z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