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5660380E" w:rsidR="009E6CB7" w:rsidRPr="00FF02F5" w:rsidRDefault="0091690A" w:rsidP="00954785">
            <w:pPr>
              <w:jc w:val="right"/>
            </w:pPr>
            <w:r w:rsidRPr="0091690A">
              <w:rPr>
                <w:sz w:val="40"/>
              </w:rPr>
              <w:t>ECE</w:t>
            </w:r>
            <w:r>
              <w:t>/TRANS/2021/20</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27863DF5" w:rsidR="00954785" w:rsidRPr="00FF02F5" w:rsidRDefault="006E07E5" w:rsidP="00954785">
            <w:pPr>
              <w:spacing w:line="240" w:lineRule="exact"/>
            </w:pPr>
            <w:r>
              <w:t>1</w:t>
            </w:r>
            <w:r w:rsidR="002001DF">
              <w:t>5</w:t>
            </w:r>
            <w:r>
              <w:t xml:space="preserve"> December</w:t>
            </w:r>
            <w:r w:rsidR="00CD3488">
              <w:t xml:space="preserve">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6E2285D" w14:textId="77777777" w:rsidR="00F91B03" w:rsidRPr="00FF02F5" w:rsidRDefault="00F91B03" w:rsidP="00F91B03">
      <w:pPr>
        <w:spacing w:before="120"/>
        <w:rPr>
          <w:b/>
          <w:bCs/>
          <w:sz w:val="28"/>
          <w:szCs w:val="28"/>
        </w:rPr>
      </w:pPr>
      <w:r w:rsidRPr="00FF02F5">
        <w:rPr>
          <w:b/>
          <w:bCs/>
          <w:sz w:val="28"/>
          <w:szCs w:val="28"/>
        </w:rPr>
        <w:t>Economic Commission for Europe</w:t>
      </w:r>
    </w:p>
    <w:p w14:paraId="0D336BDA" w14:textId="77777777" w:rsidR="00F91B03" w:rsidRPr="00FF02F5" w:rsidRDefault="00F91B03" w:rsidP="00F91B03">
      <w:pPr>
        <w:spacing w:before="120"/>
        <w:rPr>
          <w:sz w:val="28"/>
          <w:szCs w:val="28"/>
        </w:rPr>
      </w:pPr>
      <w:r w:rsidRPr="00FF02F5">
        <w:rPr>
          <w:sz w:val="28"/>
          <w:szCs w:val="28"/>
        </w:rPr>
        <w:t>Inland Transport Committee</w:t>
      </w:r>
    </w:p>
    <w:p w14:paraId="08BD4B89" w14:textId="00709CA7" w:rsidR="00F91B03" w:rsidRPr="00FF02F5" w:rsidRDefault="00F91B03" w:rsidP="00F91B03">
      <w:pPr>
        <w:spacing w:before="120"/>
        <w:rPr>
          <w:b/>
          <w:bCs/>
        </w:rPr>
      </w:pPr>
      <w:r w:rsidRPr="00FF02F5">
        <w:rPr>
          <w:b/>
          <w:bCs/>
        </w:rPr>
        <w:t>Eighty-</w:t>
      </w:r>
      <w:r w:rsidR="003A0715">
        <w:rPr>
          <w:b/>
          <w:bCs/>
        </w:rPr>
        <w:t>third</w:t>
      </w:r>
      <w:r w:rsidRPr="00FF02F5">
        <w:rPr>
          <w:b/>
          <w:bCs/>
        </w:rPr>
        <w:t xml:space="preserve"> session</w:t>
      </w:r>
    </w:p>
    <w:p w14:paraId="6107893B" w14:textId="7C33DCBC" w:rsidR="00F91B03" w:rsidRPr="007470B0" w:rsidRDefault="00F91B03" w:rsidP="00F91B03">
      <w:pPr>
        <w:rPr>
          <w:b/>
          <w:bCs/>
        </w:rPr>
      </w:pPr>
      <w:r w:rsidRPr="00FF02F5">
        <w:t>Geneva, 2</w:t>
      </w:r>
      <w:r>
        <w:t>3–</w:t>
      </w:r>
      <w:r w:rsidRPr="00FF02F5">
        <w:t>2</w:t>
      </w:r>
      <w:r w:rsidR="00113DF1" w:rsidRPr="00141375">
        <w:rPr>
          <w:lang w:val="en-US"/>
        </w:rPr>
        <w:t>6</w:t>
      </w:r>
      <w:r w:rsidRPr="00FF02F5">
        <w:t xml:space="preserve"> February 202</w:t>
      </w:r>
      <w:r>
        <w:t>1</w:t>
      </w:r>
      <w:r w:rsidRPr="00FF02F5">
        <w:br/>
      </w:r>
      <w:r w:rsidRPr="007470B0">
        <w:t xml:space="preserve">Item </w:t>
      </w:r>
      <w:r w:rsidR="00433E88">
        <w:t>7</w:t>
      </w:r>
      <w:r w:rsidRPr="007470B0">
        <w:t xml:space="preserve"> (</w:t>
      </w:r>
      <w:r>
        <w:t>i</w:t>
      </w:r>
      <w:r w:rsidRPr="007470B0">
        <w:t>) of the provisional agenda</w:t>
      </w:r>
      <w:r w:rsidRPr="007470B0">
        <w:br/>
      </w:r>
      <w:r w:rsidR="002C3A9B">
        <w:rPr>
          <w:b/>
          <w:bCs/>
        </w:rPr>
        <w:t>S</w:t>
      </w:r>
      <w:r w:rsidR="002C3A9B" w:rsidRPr="002C3A9B">
        <w:rPr>
          <w:b/>
          <w:bCs/>
        </w:rPr>
        <w:t>trategic questions of a horizontal and cross-sectoral policy or regulatory nature</w:t>
      </w:r>
      <w:r w:rsidRPr="007470B0">
        <w:rPr>
          <w:b/>
          <w:bCs/>
        </w:rPr>
        <w:t>:</w:t>
      </w:r>
      <w:r w:rsidRPr="007470B0">
        <w:rPr>
          <w:b/>
          <w:bCs/>
        </w:rPr>
        <w:br/>
        <w:t>Harmonization of vehicle regulations</w:t>
      </w:r>
    </w:p>
    <w:p w14:paraId="79287AB1" w14:textId="77777777" w:rsidR="00F91B03" w:rsidRPr="007470B0" w:rsidRDefault="00F91B03" w:rsidP="00F91B03">
      <w:pPr>
        <w:pStyle w:val="HChG"/>
      </w:pPr>
      <w:r w:rsidRPr="007470B0">
        <w:tab/>
      </w:r>
      <w:r w:rsidRPr="007470B0">
        <w:tab/>
        <w:t>Latest Developments in Vehicle Regulations</w:t>
      </w:r>
    </w:p>
    <w:p w14:paraId="20F7C579" w14:textId="77777777" w:rsidR="00F91B03" w:rsidRPr="007470B0" w:rsidRDefault="00F91B03" w:rsidP="00F91B03">
      <w:pPr>
        <w:pStyle w:val="H1G"/>
        <w:spacing w:before="240"/>
      </w:pPr>
      <w:r w:rsidRPr="007470B0">
        <w:tab/>
      </w:r>
      <w:r w:rsidRPr="007470B0">
        <w:tab/>
        <w:t>Note by the secretariat</w:t>
      </w:r>
      <w:r w:rsidRPr="00887276">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F91B03" w:rsidRPr="007470B0" w14:paraId="56A996CD" w14:textId="77777777" w:rsidTr="001F7B8A">
        <w:trPr>
          <w:trHeight w:val="481"/>
          <w:jc w:val="center"/>
        </w:trPr>
        <w:tc>
          <w:tcPr>
            <w:tcW w:w="9629" w:type="dxa"/>
            <w:shd w:val="clear" w:color="auto" w:fill="auto"/>
          </w:tcPr>
          <w:p w14:paraId="5C5F7F75" w14:textId="77777777" w:rsidR="00F91B03" w:rsidRPr="007470B0" w:rsidRDefault="00F91B03" w:rsidP="001F7B8A">
            <w:pPr>
              <w:spacing w:before="240" w:after="120"/>
              <w:ind w:left="255"/>
              <w:rPr>
                <w:rFonts w:eastAsia="Times New Roman Bold"/>
                <w:i/>
                <w:sz w:val="24"/>
              </w:rPr>
            </w:pPr>
            <w:r w:rsidRPr="007470B0">
              <w:rPr>
                <w:rFonts w:eastAsia="Times New Roman Bold"/>
                <w:i/>
                <w:sz w:val="24"/>
              </w:rPr>
              <w:t>Summary</w:t>
            </w:r>
          </w:p>
        </w:tc>
      </w:tr>
      <w:tr w:rsidR="00F91B03" w:rsidRPr="007470B0" w14:paraId="1B1E977F" w14:textId="77777777" w:rsidTr="001F7B8A">
        <w:trPr>
          <w:jc w:val="center"/>
        </w:trPr>
        <w:tc>
          <w:tcPr>
            <w:tcW w:w="9629" w:type="dxa"/>
            <w:shd w:val="clear" w:color="auto" w:fill="auto"/>
          </w:tcPr>
          <w:p w14:paraId="430B1482" w14:textId="77777777" w:rsidR="00F91B03" w:rsidRPr="007470B0" w:rsidRDefault="00F91B03" w:rsidP="001F7B8A">
            <w:pPr>
              <w:spacing w:after="120"/>
              <w:ind w:left="1134" w:right="1134"/>
              <w:jc w:val="both"/>
            </w:pPr>
            <w:r w:rsidRPr="007470B0">
              <w:tab/>
            </w:r>
            <w:r>
              <w:tab/>
            </w:r>
            <w:r w:rsidRPr="007470B0">
              <w:t>The work in the World Forum for Harmonization of Vehicle Regulations (WP.29) continued to strengthen vehicle safety and environmental protection</w:t>
            </w:r>
            <w:r>
              <w:t>,</w:t>
            </w:r>
            <w:r w:rsidRPr="007470B0">
              <w:t xml:space="preserve"> resulting in numerous new and amended vehicle regulations and rules under the 1958, 1997 and the 1998 Agreement</w:t>
            </w:r>
            <w:r>
              <w:t>s</w:t>
            </w:r>
            <w:r w:rsidRPr="007470B0">
              <w:t xml:space="preserve">. </w:t>
            </w:r>
          </w:p>
        </w:tc>
      </w:tr>
      <w:tr w:rsidR="00F91B03" w:rsidRPr="007470B0" w14:paraId="34C49885" w14:textId="77777777" w:rsidTr="001F7B8A">
        <w:trPr>
          <w:jc w:val="center"/>
        </w:trPr>
        <w:tc>
          <w:tcPr>
            <w:tcW w:w="9629" w:type="dxa"/>
            <w:shd w:val="clear" w:color="auto" w:fill="auto"/>
          </w:tcPr>
          <w:p w14:paraId="7FA6958F" w14:textId="77777777" w:rsidR="00F91B03" w:rsidRPr="00E34DF4" w:rsidRDefault="00F91B03" w:rsidP="001F7B8A">
            <w:pPr>
              <w:spacing w:after="120"/>
              <w:ind w:left="1134" w:right="1134"/>
              <w:jc w:val="both"/>
              <w:rPr>
                <w:rFonts w:eastAsia="Times New Roman Bold"/>
                <w:spacing w:val="-2"/>
              </w:rPr>
            </w:pPr>
            <w:r>
              <w:tab/>
            </w:r>
            <w:r w:rsidRPr="007470B0">
              <w:tab/>
            </w:r>
            <w:r w:rsidRPr="00E34DF4">
              <w:rPr>
                <w:spacing w:val="-2"/>
              </w:rPr>
              <w:t>I</w:t>
            </w:r>
            <w:r w:rsidRPr="00E34DF4">
              <w:rPr>
                <w:rFonts w:eastAsia="Calibri"/>
                <w:spacing w:val="-2"/>
                <w:u w:color="000000"/>
              </w:rPr>
              <w:t xml:space="preserve">mportant topics were the establishment </w:t>
            </w:r>
            <w:r>
              <w:t>of a first set of UN Regulations on highly automated vehicles</w:t>
            </w:r>
            <w:r>
              <w:rPr>
                <w:rFonts w:eastAsia="Calibri"/>
                <w:spacing w:val="-2"/>
                <w:u w:color="000000"/>
              </w:rPr>
              <w:t xml:space="preserve"> by the </w:t>
            </w:r>
            <w:r w:rsidRPr="00E34DF4">
              <w:rPr>
                <w:rFonts w:eastAsia="Calibri"/>
                <w:spacing w:val="-2"/>
                <w:u w:color="000000"/>
              </w:rPr>
              <w:t xml:space="preserve">Working Party on Autonomous/Automated Vehicles (GRVA), </w:t>
            </w:r>
            <w:r w:rsidRPr="00E34DF4">
              <w:rPr>
                <w:spacing w:val="-2"/>
              </w:rPr>
              <w:t>the Database for the Exchange of Type Approval (DETA) at the United Nations Economic Commission for Europe (ECE), implementation</w:t>
            </w:r>
            <w:r>
              <w:rPr>
                <w:spacing w:val="-2"/>
              </w:rPr>
              <w:t xml:space="preserve"> and further development</w:t>
            </w:r>
            <w:r w:rsidRPr="00E34DF4">
              <w:rPr>
                <w:spacing w:val="-2"/>
              </w:rPr>
              <w:t xml:space="preserve"> of the 1998 Agreement and Periodic Technical Inspections (PTI) under the 1997 Agreement</w:t>
            </w:r>
            <w:r w:rsidRPr="00E34DF4">
              <w:rPr>
                <w:rFonts w:eastAsia="Calibri"/>
                <w:spacing w:val="-2"/>
                <w:u w:color="000000"/>
              </w:rPr>
              <w:t>.</w:t>
            </w:r>
          </w:p>
        </w:tc>
      </w:tr>
      <w:tr w:rsidR="00F91B03" w:rsidRPr="007470B0" w14:paraId="4B5371D4" w14:textId="77777777" w:rsidTr="001F7B8A">
        <w:trPr>
          <w:jc w:val="center"/>
        </w:trPr>
        <w:tc>
          <w:tcPr>
            <w:tcW w:w="9629" w:type="dxa"/>
            <w:shd w:val="clear" w:color="auto" w:fill="auto"/>
          </w:tcPr>
          <w:p w14:paraId="751BECAC" w14:textId="77777777" w:rsidR="00F91B03" w:rsidRPr="007470B0" w:rsidRDefault="00F91B03" w:rsidP="001F7B8A">
            <w:pPr>
              <w:spacing w:after="120"/>
              <w:ind w:left="1134" w:right="1134"/>
              <w:jc w:val="both"/>
              <w:rPr>
                <w:rFonts w:eastAsia="Times New Roman Bold"/>
              </w:rPr>
            </w:pPr>
            <w:r>
              <w:rPr>
                <w:rFonts w:eastAsia="Calibri"/>
                <w:b/>
                <w:u w:color="000000"/>
              </w:rPr>
              <w:tab/>
            </w:r>
            <w:r w:rsidRPr="007470B0">
              <w:rPr>
                <w:rFonts w:eastAsia="Calibri"/>
                <w:b/>
                <w:u w:color="000000"/>
              </w:rPr>
              <w:tab/>
            </w:r>
            <w:r w:rsidRPr="007470B0">
              <w:rPr>
                <w:rFonts w:eastAsia="Calibri"/>
                <w:u w:color="000000"/>
              </w:rPr>
              <w:t>The Inland Transport Committee</w:t>
            </w:r>
            <w:r w:rsidRPr="007470B0">
              <w:rPr>
                <w:rFonts w:eastAsia="Calibri"/>
                <w:b/>
                <w:u w:color="000000"/>
              </w:rPr>
              <w:t xml:space="preserve"> </w:t>
            </w:r>
            <w:r w:rsidRPr="007470B0">
              <w:rPr>
                <w:rFonts w:eastAsia="Calibri"/>
                <w:u w:color="000000"/>
              </w:rPr>
              <w:t>(ITC)</w:t>
            </w:r>
            <w:r w:rsidRPr="007470B0">
              <w:rPr>
                <w:rFonts w:eastAsia="Calibri"/>
                <w:b/>
                <w:u w:color="000000"/>
              </w:rPr>
              <w:t xml:space="preserve"> is invited</w:t>
            </w:r>
            <w:r w:rsidRPr="007470B0">
              <w:rPr>
                <w:rFonts w:eastAsia="Calibri"/>
                <w:u w:color="000000"/>
              </w:rPr>
              <w:t xml:space="preserve"> to: </w:t>
            </w:r>
          </w:p>
        </w:tc>
      </w:tr>
      <w:tr w:rsidR="00F91B03" w:rsidRPr="007470B0" w14:paraId="2754C768" w14:textId="77777777" w:rsidTr="001F7B8A">
        <w:trPr>
          <w:jc w:val="center"/>
        </w:trPr>
        <w:tc>
          <w:tcPr>
            <w:tcW w:w="9629" w:type="dxa"/>
            <w:shd w:val="clear" w:color="auto" w:fill="auto"/>
          </w:tcPr>
          <w:p w14:paraId="5B42A8DB" w14:textId="7AEBD192" w:rsidR="00F91B03" w:rsidRPr="002A2309" w:rsidRDefault="0099113A" w:rsidP="0099113A">
            <w:pPr>
              <w:pStyle w:val="Bullet1G"/>
              <w:numPr>
                <w:ilvl w:val="0"/>
                <w:numId w:val="0"/>
              </w:numPr>
              <w:tabs>
                <w:tab w:val="left" w:pos="1701"/>
              </w:tabs>
              <w:ind w:left="1701" w:hanging="170"/>
              <w:rPr>
                <w:rFonts w:eastAsia="Calibri"/>
                <w:b/>
                <w:u w:color="000000"/>
              </w:rPr>
            </w:pPr>
            <w:r w:rsidRPr="002A2309">
              <w:rPr>
                <w:rFonts w:eastAsia="Calibri"/>
                <w:u w:color="000000"/>
              </w:rPr>
              <w:t>•</w:t>
            </w:r>
            <w:r w:rsidRPr="002A2309">
              <w:rPr>
                <w:rFonts w:eastAsia="Calibri"/>
                <w:u w:color="000000"/>
              </w:rPr>
              <w:tab/>
            </w:r>
            <w:r w:rsidR="00F91B03" w:rsidRPr="002A2309">
              <w:rPr>
                <w:rFonts w:eastAsia="Calibri"/>
                <w:b/>
                <w:u w:color="000000"/>
              </w:rPr>
              <w:t>Endorse</w:t>
            </w:r>
            <w:r w:rsidR="00F91B03" w:rsidRPr="002A2309">
              <w:rPr>
                <w:rFonts w:eastAsia="Calibri"/>
                <w:u w:color="000000"/>
              </w:rPr>
              <w:t xml:space="preserve"> the activities listed in this document </w:t>
            </w:r>
          </w:p>
        </w:tc>
      </w:tr>
      <w:tr w:rsidR="00F91B03" w:rsidRPr="007470B0" w14:paraId="1A5226C5" w14:textId="77777777" w:rsidTr="001F7B8A">
        <w:trPr>
          <w:jc w:val="center"/>
        </w:trPr>
        <w:tc>
          <w:tcPr>
            <w:tcW w:w="9629" w:type="dxa"/>
            <w:shd w:val="clear" w:color="auto" w:fill="auto"/>
          </w:tcPr>
          <w:p w14:paraId="7A729F31" w14:textId="579B467B" w:rsidR="00F91B03" w:rsidRPr="002A2309" w:rsidRDefault="0099113A" w:rsidP="0099113A">
            <w:pPr>
              <w:pStyle w:val="Bullet1G"/>
              <w:numPr>
                <w:ilvl w:val="0"/>
                <w:numId w:val="0"/>
              </w:numPr>
              <w:tabs>
                <w:tab w:val="left" w:pos="1701"/>
              </w:tabs>
              <w:ind w:left="1701" w:hanging="170"/>
              <w:rPr>
                <w:rFonts w:eastAsia="Calibri"/>
                <w:b/>
                <w:u w:color="000000"/>
              </w:rPr>
            </w:pPr>
            <w:r w:rsidRPr="002A2309">
              <w:rPr>
                <w:rFonts w:eastAsia="Calibri"/>
                <w:u w:color="000000"/>
              </w:rPr>
              <w:t>•</w:t>
            </w:r>
            <w:r w:rsidRPr="002A2309">
              <w:rPr>
                <w:rFonts w:eastAsia="Calibri"/>
                <w:u w:color="000000"/>
              </w:rPr>
              <w:tab/>
            </w:r>
            <w:r w:rsidR="00F91B03">
              <w:rPr>
                <w:rFonts w:eastAsia="Calibri"/>
                <w:b/>
                <w:u w:color="000000"/>
              </w:rPr>
              <w:t>Welcome</w:t>
            </w:r>
            <w:r w:rsidR="00F91B03" w:rsidRPr="002A2309">
              <w:rPr>
                <w:rFonts w:eastAsia="Calibri"/>
                <w:b/>
                <w:u w:color="000000"/>
              </w:rPr>
              <w:t xml:space="preserve"> </w:t>
            </w:r>
            <w:r w:rsidR="00F91B03" w:rsidRPr="006407AD">
              <w:rPr>
                <w:rFonts w:eastAsia="Calibri"/>
                <w:bCs/>
                <w:u w:color="000000"/>
              </w:rPr>
              <w:t xml:space="preserve">the establishment of </w:t>
            </w:r>
            <w:r w:rsidR="00F91B03" w:rsidRPr="006407AD">
              <w:t>the first set of UN Regulations on highly automated vehicles prepared</w:t>
            </w:r>
            <w:r w:rsidR="00F91B03" w:rsidRPr="006407AD">
              <w:rPr>
                <w:rFonts w:eastAsia="Calibri"/>
                <w:bCs/>
                <w:u w:color="000000"/>
              </w:rPr>
              <w:t xml:space="preserve"> by GRVA</w:t>
            </w:r>
          </w:p>
        </w:tc>
      </w:tr>
      <w:tr w:rsidR="00F91B03" w:rsidRPr="007470B0" w14:paraId="6A296E7E" w14:textId="77777777" w:rsidTr="001F7B8A">
        <w:trPr>
          <w:jc w:val="center"/>
        </w:trPr>
        <w:tc>
          <w:tcPr>
            <w:tcW w:w="9629" w:type="dxa"/>
            <w:shd w:val="clear" w:color="auto" w:fill="auto"/>
          </w:tcPr>
          <w:p w14:paraId="5CA612BB" w14:textId="1F3BE3B5" w:rsidR="00F91B03" w:rsidRPr="002A2309" w:rsidRDefault="0099113A" w:rsidP="0099113A">
            <w:pPr>
              <w:pStyle w:val="Bullet1G"/>
              <w:numPr>
                <w:ilvl w:val="0"/>
                <w:numId w:val="0"/>
              </w:numPr>
              <w:tabs>
                <w:tab w:val="left" w:pos="1701"/>
              </w:tabs>
              <w:ind w:left="1701" w:hanging="170"/>
              <w:rPr>
                <w:rFonts w:eastAsia="Calibri"/>
                <w:b/>
                <w:u w:color="000000"/>
              </w:rPr>
            </w:pPr>
            <w:r w:rsidRPr="002A2309">
              <w:rPr>
                <w:rFonts w:eastAsia="Calibri"/>
                <w:u w:color="000000"/>
              </w:rPr>
              <w:t>•</w:t>
            </w:r>
            <w:r w:rsidRPr="002A2309">
              <w:rPr>
                <w:rFonts w:eastAsia="Calibri"/>
                <w:u w:color="000000"/>
              </w:rPr>
              <w:tab/>
            </w:r>
            <w:r w:rsidR="00F91B03" w:rsidRPr="002A2309">
              <w:rPr>
                <w:rFonts w:eastAsia="Calibri"/>
                <w:b/>
                <w:u w:color="000000"/>
              </w:rPr>
              <w:t xml:space="preserve">Note </w:t>
            </w:r>
            <w:r w:rsidR="00F91B03" w:rsidRPr="002A2309">
              <w:rPr>
                <w:rFonts w:eastAsia="Calibri"/>
                <w:bCs/>
                <w:u w:color="000000"/>
              </w:rPr>
              <w:t xml:space="preserve">the limitation of the </w:t>
            </w:r>
            <w:r w:rsidR="00E56255">
              <w:rPr>
                <w:rFonts w:eastAsia="Calibri"/>
                <w:bCs/>
                <w:u w:color="000000"/>
              </w:rPr>
              <w:t xml:space="preserve">session of </w:t>
            </w:r>
            <w:r w:rsidR="00F91B03" w:rsidRPr="002A2309">
              <w:rPr>
                <w:rFonts w:eastAsia="Calibri"/>
                <w:bCs/>
                <w:u w:color="000000"/>
              </w:rPr>
              <w:t xml:space="preserve">WP.29 </w:t>
            </w:r>
            <w:r w:rsidR="00F91B03">
              <w:rPr>
                <w:rFonts w:eastAsia="Calibri"/>
                <w:bCs/>
                <w:u w:color="000000"/>
              </w:rPr>
              <w:t xml:space="preserve">and </w:t>
            </w:r>
            <w:r w:rsidR="00E56255">
              <w:rPr>
                <w:rFonts w:eastAsia="Calibri"/>
                <w:bCs/>
                <w:u w:color="000000"/>
              </w:rPr>
              <w:t xml:space="preserve">its subsidiaries </w:t>
            </w:r>
            <w:r w:rsidR="00F91B03" w:rsidRPr="002A2309">
              <w:rPr>
                <w:rFonts w:eastAsia="Calibri"/>
                <w:bCs/>
                <w:u w:color="000000"/>
              </w:rPr>
              <w:t xml:space="preserve">as reaction on the </w:t>
            </w:r>
            <w:r w:rsidR="00F91B03">
              <w:rPr>
                <w:rFonts w:eastAsia="Calibri"/>
                <w:bCs/>
                <w:u w:color="000000"/>
              </w:rPr>
              <w:t xml:space="preserve">COVID-19 impact and the UN </w:t>
            </w:r>
            <w:r w:rsidR="00F91B03" w:rsidRPr="002A2309">
              <w:rPr>
                <w:rFonts w:eastAsia="Calibri"/>
                <w:bCs/>
                <w:u w:color="000000"/>
              </w:rPr>
              <w:t>financial crisis</w:t>
            </w:r>
          </w:p>
        </w:tc>
      </w:tr>
      <w:tr w:rsidR="00F91B03" w:rsidRPr="007470B0" w14:paraId="2F7DD673" w14:textId="77777777" w:rsidTr="001F7B8A">
        <w:trPr>
          <w:jc w:val="center"/>
        </w:trPr>
        <w:tc>
          <w:tcPr>
            <w:tcW w:w="9629" w:type="dxa"/>
            <w:shd w:val="clear" w:color="auto" w:fill="auto"/>
          </w:tcPr>
          <w:p w14:paraId="5280BA74" w14:textId="096FC096" w:rsidR="00F91B03" w:rsidRPr="002A2309" w:rsidRDefault="0099113A" w:rsidP="0099113A">
            <w:pPr>
              <w:pStyle w:val="Bullet1G"/>
              <w:numPr>
                <w:ilvl w:val="0"/>
                <w:numId w:val="0"/>
              </w:numPr>
              <w:tabs>
                <w:tab w:val="left" w:pos="1701"/>
              </w:tabs>
              <w:ind w:left="1701" w:hanging="170"/>
              <w:rPr>
                <w:rFonts w:eastAsia="Calibri"/>
                <w:b/>
                <w:u w:color="000000"/>
              </w:rPr>
            </w:pPr>
            <w:r w:rsidRPr="002A2309">
              <w:rPr>
                <w:rFonts w:eastAsia="Calibri"/>
                <w:u w:color="000000"/>
              </w:rPr>
              <w:t>•</w:t>
            </w:r>
            <w:r w:rsidRPr="002A2309">
              <w:rPr>
                <w:rFonts w:eastAsia="Calibri"/>
                <w:u w:color="000000"/>
              </w:rPr>
              <w:tab/>
            </w:r>
            <w:r w:rsidR="00F91B03" w:rsidRPr="006407AD">
              <w:rPr>
                <w:rFonts w:eastAsia="Calibri"/>
                <w:b/>
                <w:u w:color="000000"/>
              </w:rPr>
              <w:t xml:space="preserve">Thank </w:t>
            </w:r>
            <w:r w:rsidR="00F91B03" w:rsidRPr="006407AD">
              <w:rPr>
                <w:rFonts w:eastAsia="Calibri"/>
                <w:bCs/>
                <w:u w:color="000000"/>
              </w:rPr>
              <w:t>Germany</w:t>
            </w:r>
            <w:r w:rsidR="00F91B03" w:rsidRPr="006407AD">
              <w:rPr>
                <w:rFonts w:eastAsia="Calibri"/>
                <w:b/>
                <w:u w:color="000000"/>
              </w:rPr>
              <w:t xml:space="preserve"> </w:t>
            </w:r>
            <w:r w:rsidR="00F91B03" w:rsidRPr="006407AD">
              <w:rPr>
                <w:rFonts w:eastAsia="Calibri"/>
                <w:bCs/>
                <w:u w:color="000000"/>
              </w:rPr>
              <w:t>for</w:t>
            </w:r>
            <w:r w:rsidR="00F91B03" w:rsidRPr="006407AD">
              <w:rPr>
                <w:rFonts w:eastAsia="Calibri"/>
                <w:b/>
                <w:u w:color="000000"/>
              </w:rPr>
              <w:t xml:space="preserve"> </w:t>
            </w:r>
            <w:r w:rsidR="00F91B03" w:rsidRPr="006407AD">
              <w:rPr>
                <w:rFonts w:eastAsia="Calibri"/>
                <w:bCs/>
                <w:u w:color="000000"/>
              </w:rPr>
              <w:t>the intermediate</w:t>
            </w:r>
            <w:r w:rsidR="00F91B03" w:rsidRPr="006407AD">
              <w:rPr>
                <w:rFonts w:eastAsia="Calibri"/>
                <w:b/>
                <w:u w:color="000000"/>
              </w:rPr>
              <w:t xml:space="preserve"> </w:t>
            </w:r>
            <w:r w:rsidR="00F91B03" w:rsidRPr="006407AD">
              <w:rPr>
                <w:rFonts w:eastAsia="Calibri"/>
                <w:u w:color="000000"/>
              </w:rPr>
              <w:t xml:space="preserve">hosting of DETA and </w:t>
            </w:r>
            <w:r w:rsidR="00F91B03" w:rsidRPr="006407AD">
              <w:rPr>
                <w:rFonts w:eastAsia="Calibri"/>
                <w:b/>
                <w:bCs/>
                <w:u w:color="000000"/>
              </w:rPr>
              <w:t>reaffirm</w:t>
            </w:r>
            <w:r w:rsidR="00F91B03" w:rsidRPr="006407AD">
              <w:rPr>
                <w:rFonts w:eastAsia="Calibri"/>
                <w:u w:color="000000"/>
              </w:rPr>
              <w:t xml:space="preserve"> its </w:t>
            </w:r>
            <w:r w:rsidR="00F91B03" w:rsidRPr="006407AD">
              <w:rPr>
                <w:rFonts w:eastAsia="Calibri"/>
                <w:bCs/>
                <w:u w:color="000000"/>
              </w:rPr>
              <w:t>request</w:t>
            </w:r>
            <w:r w:rsidR="00F91B03" w:rsidRPr="006407AD">
              <w:rPr>
                <w:rFonts w:eastAsia="Calibri"/>
                <w:b/>
                <w:u w:color="000000"/>
              </w:rPr>
              <w:t xml:space="preserve"> </w:t>
            </w:r>
            <w:r w:rsidR="00F91B03" w:rsidRPr="006407AD">
              <w:rPr>
                <w:rFonts w:eastAsia="Calibri"/>
                <w:bCs/>
                <w:u w:color="000000"/>
              </w:rPr>
              <w:t>for a</w:t>
            </w:r>
            <w:r w:rsidR="00F91B03" w:rsidRPr="006407AD">
              <w:rPr>
                <w:rFonts w:eastAsia="Calibri"/>
                <w:b/>
                <w:u w:color="000000"/>
              </w:rPr>
              <w:t xml:space="preserve"> </w:t>
            </w:r>
            <w:r w:rsidR="00F91B03" w:rsidRPr="006407AD">
              <w:rPr>
                <w:rFonts w:eastAsia="Calibri"/>
                <w:bCs/>
                <w:u w:color="000000"/>
              </w:rPr>
              <w:t>sustained</w:t>
            </w:r>
            <w:r w:rsidR="00F91B03" w:rsidRPr="006407AD">
              <w:rPr>
                <w:rFonts w:eastAsia="Calibri"/>
                <w:b/>
                <w:u w:color="000000"/>
              </w:rPr>
              <w:t xml:space="preserve"> </w:t>
            </w:r>
            <w:r w:rsidR="00F91B03" w:rsidRPr="006407AD">
              <w:rPr>
                <w:rFonts w:eastAsia="Calibri"/>
                <w:u w:color="000000"/>
              </w:rPr>
              <w:t>financing for hosting DETA at ECE either</w:t>
            </w:r>
            <w:r w:rsidR="00F91B03" w:rsidRPr="006407AD">
              <w:rPr>
                <w:rFonts w:eastAsia="Calibri"/>
                <w:b/>
                <w:u w:color="000000"/>
              </w:rPr>
              <w:t xml:space="preserve"> </w:t>
            </w:r>
            <w:r w:rsidR="00F91B03" w:rsidRPr="006407AD">
              <w:rPr>
                <w:rFonts w:eastAsia="Calibri"/>
                <w:u w:color="000000"/>
              </w:rPr>
              <w:t>under the United Nations regular budget or through voluntary contributions from contracting parties.</w:t>
            </w:r>
          </w:p>
        </w:tc>
      </w:tr>
      <w:tr w:rsidR="00F91B03" w:rsidRPr="007470B0" w14:paraId="43075398" w14:textId="77777777" w:rsidTr="001F7B8A">
        <w:trPr>
          <w:jc w:val="center"/>
        </w:trPr>
        <w:tc>
          <w:tcPr>
            <w:tcW w:w="9629" w:type="dxa"/>
            <w:shd w:val="clear" w:color="auto" w:fill="auto"/>
          </w:tcPr>
          <w:p w14:paraId="0998B93F" w14:textId="77777777" w:rsidR="00F91B03" w:rsidRPr="007470B0" w:rsidRDefault="00F91B03" w:rsidP="001F7B8A">
            <w:pPr>
              <w:rPr>
                <w:rFonts w:eastAsia="Times New Roman Bold"/>
              </w:rPr>
            </w:pPr>
          </w:p>
        </w:tc>
      </w:tr>
    </w:tbl>
    <w:p w14:paraId="0B1EC06B" w14:textId="77777777" w:rsidR="00F91B03" w:rsidRDefault="00F91B03" w:rsidP="00F91B03">
      <w:pPr>
        <w:suppressAutoHyphens w:val="0"/>
        <w:spacing w:line="240" w:lineRule="auto"/>
        <w:rPr>
          <w:b/>
          <w:sz w:val="28"/>
        </w:rPr>
      </w:pPr>
      <w:r>
        <w:br w:type="page"/>
      </w:r>
      <w:bookmarkStart w:id="0" w:name="_GoBack"/>
      <w:bookmarkEnd w:id="0"/>
    </w:p>
    <w:p w14:paraId="35C88650" w14:textId="2685B0EA" w:rsidR="00F91B03" w:rsidRDefault="00F91B03" w:rsidP="002001DF">
      <w:pPr>
        <w:pStyle w:val="HChG"/>
      </w:pPr>
      <w:r>
        <w:lastRenderedPageBreak/>
        <w:tab/>
      </w:r>
      <w:r w:rsidR="002001DF">
        <w:tab/>
      </w:r>
      <w:r>
        <w:t>General comments</w:t>
      </w:r>
    </w:p>
    <w:p w14:paraId="68D582CD" w14:textId="1EB9BDFF" w:rsidR="00F91B03" w:rsidRDefault="00F91B03" w:rsidP="00F91B03">
      <w:pPr>
        <w:ind w:left="1134" w:right="1134"/>
        <w:jc w:val="lowKashida"/>
      </w:pPr>
      <w:r w:rsidRPr="00F91B03">
        <w:rPr>
          <w:fitText w:val="147" w:id="-1940731648"/>
        </w:rPr>
        <w:t>1.</w:t>
      </w:r>
      <w:r w:rsidRPr="007470B0">
        <w:tab/>
      </w:r>
      <w:r>
        <w:t>The work of WP.29 and its subsidiary bodies</w:t>
      </w:r>
      <w:r w:rsidR="00E56255">
        <w:t xml:space="preserve"> (</w:t>
      </w:r>
      <w:r>
        <w:t>GRs</w:t>
      </w:r>
      <w:r w:rsidR="00E56255">
        <w:t>)</w:t>
      </w:r>
      <w:r>
        <w:t xml:space="preserve">, had been heavily impacted by the COVID-19 pandemic and the </w:t>
      </w:r>
      <w:r w:rsidR="007F5D51">
        <w:t>United Nations</w:t>
      </w:r>
      <w:r>
        <w:t xml:space="preserve"> financial crisis. Following the March 2020 session of WP.29 in-person meetings were </w:t>
      </w:r>
      <w:r w:rsidR="00141375">
        <w:t xml:space="preserve">no longer </w:t>
      </w:r>
      <w:r>
        <w:t>possible and interpretation services for virtual meetings were only provided as of late June 2020 and to a very limited content. Furthermore, and to accommodate participation of delegates from all continents, timing of the sessions needed to be limited to early afternoons. This resulted in e.g. that the June 2020 WP.29 session had to be limited to a two hours session only and thus the agenda had to be reduced to the necessary minimum to accommodate decision taking/voting. Furthermore, for several GR sessions no interpretation was provided by UNOG Conference Services and therefore these sessions were not counted as official. In addition, necessary silence procedures, imposed by EXCOM, needed to be followed leading to a heavy administrative burden.</w:t>
      </w:r>
    </w:p>
    <w:p w14:paraId="6207E736" w14:textId="77777777" w:rsidR="00F91B03" w:rsidRDefault="00F91B03" w:rsidP="00F91B03">
      <w:pPr>
        <w:pStyle w:val="HChG"/>
        <w:ind w:left="0" w:firstLine="0"/>
      </w:pPr>
      <w:r>
        <w:tab/>
      </w:r>
      <w:r w:rsidRPr="007470B0">
        <w:t>I.</w:t>
      </w:r>
      <w:r>
        <w:tab/>
        <w:t>Vehicle automation</w:t>
      </w:r>
    </w:p>
    <w:p w14:paraId="643DDC4E" w14:textId="2F8921DC" w:rsidR="00F91B03" w:rsidRDefault="00F91B03" w:rsidP="00F91B03">
      <w:pPr>
        <w:pStyle w:val="SingleTxtG"/>
      </w:pPr>
      <w:r>
        <w:t>2</w:t>
      </w:r>
      <w:r w:rsidRPr="007470B0">
        <w:t>.</w:t>
      </w:r>
      <w:r w:rsidRPr="007470B0">
        <w:tab/>
      </w:r>
      <w:r>
        <w:t>F</w:t>
      </w:r>
      <w:r w:rsidRPr="007470B0">
        <w:t xml:space="preserve">ollowing the </w:t>
      </w:r>
      <w:r>
        <w:t>restructuring</w:t>
      </w:r>
      <w:r w:rsidRPr="007470B0">
        <w:t xml:space="preserve"> of WP.29 in June 2018 to</w:t>
      </w:r>
      <w:r>
        <w:t xml:space="preserve"> </w:t>
      </w:r>
      <w:r w:rsidRPr="007470B0">
        <w:t>implement ITC Decision No.19 of 2018</w:t>
      </w:r>
      <w:r>
        <w:t xml:space="preserve"> and the establishment of the Working Party on Automated/Autonomous and Connected Vehicles (GRVA). The Framework Document on Automated/Autonomous Vehicles (ECE/TRANS/WP.29/2019/34/Rev.1), endorsed by ITC at its </w:t>
      </w:r>
      <w:r w:rsidR="001C5E0D">
        <w:t xml:space="preserve">eighty-second </w:t>
      </w:r>
      <w:r>
        <w:t>session, guided the work on automated vehicles</w:t>
      </w:r>
      <w:r w:rsidRPr="007470B0">
        <w:t xml:space="preserve">. </w:t>
      </w:r>
    </w:p>
    <w:p w14:paraId="3439866F" w14:textId="77777777" w:rsidR="00F91B03" w:rsidRPr="007470B0" w:rsidRDefault="00F91B03" w:rsidP="00F91B03">
      <w:pPr>
        <w:pStyle w:val="SingleTxtG"/>
      </w:pPr>
      <w:r>
        <w:t>3.</w:t>
      </w:r>
      <w:r>
        <w:tab/>
      </w:r>
      <w:r>
        <w:rPr>
          <w:rFonts w:asciiTheme="majorBidi" w:hAnsiTheme="majorBidi" w:cstheme="majorBidi"/>
        </w:rPr>
        <w:t>T</w:t>
      </w:r>
      <w:r w:rsidRPr="00492AD3">
        <w:rPr>
          <w:rFonts w:asciiTheme="majorBidi" w:hAnsiTheme="majorBidi" w:cstheme="majorBidi"/>
        </w:rPr>
        <w:t>he first set of UN Regulations for automated vehicles adopted at the June 2020 session of WP.29 entered into force on 22 January 2021. These new UN Regulations not only cover the UN Regulation</w:t>
      </w:r>
      <w:r>
        <w:rPr>
          <w:rFonts w:asciiTheme="majorBidi" w:hAnsiTheme="majorBidi" w:cstheme="majorBidi"/>
        </w:rPr>
        <w:t xml:space="preserve"> No.</w:t>
      </w:r>
      <w:r w:rsidRPr="00492AD3">
        <w:rPr>
          <w:rFonts w:asciiTheme="majorBidi" w:hAnsiTheme="majorBidi" w:cstheme="majorBidi"/>
        </w:rPr>
        <w:t xml:space="preserve"> </w:t>
      </w:r>
      <w:r>
        <w:rPr>
          <w:rFonts w:asciiTheme="majorBidi" w:hAnsiTheme="majorBidi" w:cstheme="majorBidi"/>
        </w:rPr>
        <w:t xml:space="preserve">157 </w:t>
      </w:r>
      <w:r w:rsidRPr="00492AD3">
        <w:rPr>
          <w:rFonts w:asciiTheme="majorBidi" w:hAnsiTheme="majorBidi" w:cstheme="majorBidi"/>
        </w:rPr>
        <w:t xml:space="preserve">on Automated Lane Keeping Systems – the first application of vehicle automatization of </w:t>
      </w:r>
      <w:r w:rsidRPr="006F4B05">
        <w:t>SAE</w:t>
      </w:r>
      <w:r>
        <w:t xml:space="preserve"> levels 3</w:t>
      </w:r>
      <w:r w:rsidRPr="00492AD3">
        <w:rPr>
          <w:rFonts w:asciiTheme="majorBidi" w:hAnsiTheme="majorBidi" w:cstheme="majorBidi"/>
        </w:rPr>
        <w:t>, but also forward-looking UN Regulations</w:t>
      </w:r>
      <w:r>
        <w:rPr>
          <w:rFonts w:asciiTheme="majorBidi" w:hAnsiTheme="majorBidi" w:cstheme="majorBidi"/>
        </w:rPr>
        <w:t xml:space="preserve"> Nos. 155 and 156</w:t>
      </w:r>
      <w:r w:rsidRPr="00492AD3">
        <w:rPr>
          <w:rFonts w:asciiTheme="majorBidi" w:hAnsiTheme="majorBidi" w:cstheme="majorBidi"/>
        </w:rPr>
        <w:t xml:space="preserve"> on Cyber Security and on Over the Air Software Updates</w:t>
      </w:r>
      <w:r>
        <w:rPr>
          <w:rFonts w:asciiTheme="majorBidi" w:hAnsiTheme="majorBidi" w:cstheme="majorBidi"/>
        </w:rPr>
        <w:t xml:space="preserve"> respectively</w:t>
      </w:r>
      <w:r w:rsidRPr="00492AD3">
        <w:rPr>
          <w:rFonts w:asciiTheme="majorBidi" w:hAnsiTheme="majorBidi" w:cstheme="majorBidi"/>
        </w:rPr>
        <w:t xml:space="preserve">. </w:t>
      </w:r>
      <w:r>
        <w:t>These new UN regulations address the safety and security of automated vehicles with performance based and technical neutral provisions, which represent state of the art technology but not restricting future innovations.</w:t>
      </w:r>
    </w:p>
    <w:p w14:paraId="1DE731F5" w14:textId="77777777" w:rsidR="00F91B03" w:rsidRPr="007470B0" w:rsidRDefault="00F91B03" w:rsidP="00F91B03">
      <w:pPr>
        <w:pStyle w:val="HChG"/>
        <w:rPr>
          <w:sz w:val="20"/>
        </w:rPr>
      </w:pPr>
      <w:r>
        <w:tab/>
      </w:r>
      <w:r w:rsidRPr="007470B0">
        <w:t>I</w:t>
      </w:r>
      <w:r>
        <w:t>I</w:t>
      </w:r>
      <w:r w:rsidRPr="007470B0">
        <w:t>.</w:t>
      </w:r>
      <w:r>
        <w:tab/>
      </w:r>
      <w:r w:rsidRPr="007470B0">
        <w:t xml:space="preserve">1958 </w:t>
      </w:r>
      <w:r w:rsidRPr="00645142">
        <w:t>Agreement</w:t>
      </w:r>
    </w:p>
    <w:p w14:paraId="4974517B" w14:textId="77777777" w:rsidR="00F91B03" w:rsidRDefault="00F91B03" w:rsidP="00F91B03">
      <w:pPr>
        <w:pStyle w:val="SingleTxtG"/>
      </w:pPr>
      <w:r>
        <w:t>4</w:t>
      </w:r>
      <w:r w:rsidRPr="007470B0">
        <w:t>.</w:t>
      </w:r>
      <w:r w:rsidRPr="007470B0">
        <w:tab/>
      </w:r>
      <w:r>
        <w:t>In addition to the three new UN Regulations related to automated vehicles (see para. 3 above) two</w:t>
      </w:r>
      <w:r w:rsidRPr="007470B0">
        <w:t xml:space="preserve"> new United Nations vehicle regulations, aimed at improving vehicle safety and environmental performance entered into force in 20</w:t>
      </w:r>
      <w:r>
        <w:t>20</w:t>
      </w:r>
      <w:r w:rsidRPr="007470B0">
        <w:t>:</w:t>
      </w:r>
      <w:r>
        <w:t xml:space="preserve"> </w:t>
      </w:r>
    </w:p>
    <w:p w14:paraId="0E66AE7C" w14:textId="77777777" w:rsidR="00F91B03" w:rsidRPr="007470B0" w:rsidRDefault="00F91B03" w:rsidP="00F91B03">
      <w:pPr>
        <w:pStyle w:val="SingleTxtG"/>
        <w:ind w:firstLine="567"/>
      </w:pPr>
      <w:r w:rsidRPr="007470B0">
        <w:t>(a)</w:t>
      </w:r>
      <w:r w:rsidRPr="007470B0">
        <w:tab/>
        <w:t xml:space="preserve">UN </w:t>
      </w:r>
      <w:r w:rsidRPr="004C0163">
        <w:t>Regulation</w:t>
      </w:r>
      <w:r w:rsidRPr="007470B0">
        <w:t xml:space="preserve"> No. </w:t>
      </w:r>
      <w:r>
        <w:t>153</w:t>
      </w:r>
      <w:r w:rsidRPr="007470B0">
        <w:t xml:space="preserve"> </w:t>
      </w:r>
      <w:r w:rsidRPr="00680396">
        <w:t xml:space="preserve">on </w:t>
      </w:r>
      <w:r w:rsidRPr="00492AD3">
        <w:rPr>
          <w:rFonts w:asciiTheme="majorBidi" w:hAnsiTheme="majorBidi" w:cstheme="majorBidi"/>
        </w:rPr>
        <w:t>Fuel System Integrity and Electric Power Train Safety at rear-end collision</w:t>
      </w:r>
      <w:r w:rsidRPr="007470B0">
        <w:t>;</w:t>
      </w:r>
    </w:p>
    <w:p w14:paraId="14407383" w14:textId="77777777" w:rsidR="00F91B03" w:rsidRPr="007470B0" w:rsidRDefault="00F91B03" w:rsidP="00F91B03">
      <w:pPr>
        <w:pStyle w:val="SingleTxtG"/>
        <w:ind w:firstLine="567"/>
      </w:pPr>
      <w:r>
        <w:t>(</w:t>
      </w:r>
      <w:r>
        <w:rPr>
          <w:lang w:val="en-US"/>
        </w:rPr>
        <w:t>b</w:t>
      </w:r>
      <w:r>
        <w:t>)</w:t>
      </w:r>
      <w:r>
        <w:tab/>
      </w:r>
      <w:r w:rsidRPr="00680396">
        <w:t xml:space="preserve">UN Regulation </w:t>
      </w:r>
      <w:r>
        <w:t xml:space="preserve">No. 154 </w:t>
      </w:r>
      <w:r w:rsidRPr="00680396">
        <w:t xml:space="preserve">on </w:t>
      </w:r>
      <w:r w:rsidRPr="00492AD3">
        <w:rPr>
          <w:rFonts w:asciiTheme="majorBidi" w:hAnsiTheme="majorBidi" w:cstheme="majorBidi"/>
        </w:rPr>
        <w:t>Worldwide harmonized Light vehicles Test Procedure (WLTP Regulation)</w:t>
      </w:r>
      <w:r>
        <w:rPr>
          <w:rFonts w:asciiTheme="majorBidi" w:hAnsiTheme="majorBidi" w:cstheme="majorBidi"/>
        </w:rPr>
        <w:t xml:space="preserve"> </w:t>
      </w:r>
      <w:r>
        <w:t>on 22 January 2021.</w:t>
      </w:r>
    </w:p>
    <w:p w14:paraId="079C1F5E" w14:textId="77777777" w:rsidR="00F91B03" w:rsidRPr="007470B0" w:rsidRDefault="00F91B03" w:rsidP="00F91B03">
      <w:pPr>
        <w:pStyle w:val="SingleTxtG"/>
      </w:pPr>
      <w:r>
        <w:t>5</w:t>
      </w:r>
      <w:r w:rsidRPr="007470B0">
        <w:t>.</w:t>
      </w:r>
      <w:r w:rsidRPr="007470B0">
        <w:tab/>
        <w:t xml:space="preserve">WP. 29 adopted </w:t>
      </w:r>
      <w:r>
        <w:t xml:space="preserve">two more </w:t>
      </w:r>
      <w:r w:rsidRPr="007470B0">
        <w:t>new UN Regulation</w:t>
      </w:r>
      <w:r>
        <w:t xml:space="preserve">s in </w:t>
      </w:r>
      <w:r w:rsidRPr="00CD5C58">
        <w:t>20</w:t>
      </w:r>
      <w:r>
        <w:t>20 aiming at the protection of vulnerable Road users</w:t>
      </w:r>
      <w:r w:rsidRPr="007470B0">
        <w:t xml:space="preserve">. Existing UN Regulations were updated by </w:t>
      </w:r>
      <w:r>
        <w:t>96</w:t>
      </w:r>
      <w:r w:rsidRPr="007470B0">
        <w:t xml:space="preserve"> amendments, </w:t>
      </w:r>
      <w:r>
        <w:t xml:space="preserve">which </w:t>
      </w:r>
      <w:r w:rsidRPr="007470B0">
        <w:t>adapt the regulations to the most recent technological innovations and introduc</w:t>
      </w:r>
      <w:r>
        <w:t>e</w:t>
      </w:r>
      <w:r w:rsidRPr="007470B0">
        <w:t xml:space="preserve"> more stringent limits aimed at increasing both the safety and environmental performance of vehicles. </w:t>
      </w:r>
      <w:r>
        <w:t xml:space="preserve">The new </w:t>
      </w:r>
      <w:r w:rsidRPr="00D40A23">
        <w:t>UN Regulation No. 15</w:t>
      </w:r>
      <w:r>
        <w:t>8</w:t>
      </w:r>
      <w:r w:rsidRPr="00D40A23">
        <w:t xml:space="preserve"> on </w:t>
      </w:r>
      <w:r>
        <w:rPr>
          <w:rStyle w:val="normaltextrun"/>
          <w:color w:val="000000"/>
        </w:rPr>
        <w:t xml:space="preserve">devices for Reversing Motion and motor vehicles with regard to the driver’s awareness of vulnerable road users behind vehicles and new UN Regulation No. 159 on </w:t>
      </w:r>
      <w:r>
        <w:rPr>
          <w:rStyle w:val="normaltextrun"/>
          <w:color w:val="000000"/>
          <w:bdr w:val="none" w:sz="0" w:space="0" w:color="auto" w:frame="1"/>
          <w:lang w:val="en-US"/>
        </w:rPr>
        <w:t>the Moving Off Information System for the Detection of Pedestrians and Cyclists</w:t>
      </w:r>
      <w:r w:rsidRPr="00D40A23">
        <w:t xml:space="preserve"> w</w:t>
      </w:r>
      <w:r>
        <w:t>ere</w:t>
      </w:r>
      <w:r w:rsidRPr="00D40A23">
        <w:t xml:space="preserve"> adopted at the </w:t>
      </w:r>
      <w:r>
        <w:t>November</w:t>
      </w:r>
      <w:r w:rsidRPr="00D40A23">
        <w:t xml:space="preserve"> 20</w:t>
      </w:r>
      <w:r>
        <w:t>20</w:t>
      </w:r>
      <w:r w:rsidRPr="00D40A23">
        <w:t xml:space="preserve"> session of WP.29</w:t>
      </w:r>
      <w:r>
        <w:t xml:space="preserve"> and would </w:t>
      </w:r>
      <w:r w:rsidRPr="00FC170D">
        <w:t>enter into force in J</w:t>
      </w:r>
      <w:r>
        <w:t>une</w:t>
      </w:r>
      <w:r w:rsidRPr="00FC170D">
        <w:t xml:space="preserve"> 202</w:t>
      </w:r>
      <w:r>
        <w:t>1.</w:t>
      </w:r>
    </w:p>
    <w:p w14:paraId="0B6C0429" w14:textId="77777777" w:rsidR="00F91B03" w:rsidRPr="007470B0" w:rsidRDefault="00F91B03" w:rsidP="00F91B03">
      <w:pPr>
        <w:pStyle w:val="SingleTxtG"/>
      </w:pPr>
      <w:r w:rsidRPr="007470B0">
        <w:t>6.</w:t>
      </w:r>
      <w:r w:rsidRPr="007470B0">
        <w:tab/>
      </w:r>
      <w:r w:rsidRPr="00714786">
        <w:t>As funding for the hosting of DETA at ECE could not be secured so far both under RB or XB, WP.29 was grateful to Germany who is currently hosting the system on an intermediate basis.</w:t>
      </w:r>
      <w:r>
        <w:t xml:space="preserve"> WP.29 would continue to look into possibilities for sustained solutions for the funding of the hosting of DETA.</w:t>
      </w:r>
    </w:p>
    <w:p w14:paraId="49E85669" w14:textId="77777777" w:rsidR="00F91B03" w:rsidRPr="007470B0" w:rsidRDefault="00F91B03" w:rsidP="00F91B03">
      <w:pPr>
        <w:pStyle w:val="SingleTxtG"/>
      </w:pPr>
      <w:r w:rsidRPr="007470B0">
        <w:lastRenderedPageBreak/>
        <w:t>7.</w:t>
      </w:r>
      <w:r w:rsidRPr="007470B0">
        <w:tab/>
      </w:r>
      <w:r w:rsidRPr="00714786">
        <w:t>As regards the development of additional functionalities/modules of DETA, the International Motor Vehicle Inspection Committee reconfirmed its readiness to finance the development of the module for Declaration of Conformity. The industry associations: International Organization of Motor Vehicle Manufacturers, the European Association of Automotive Suppliers and the European Tyre and Rim Technical Organization confirmed their intention to finance the module for the Unique Identifier</w:t>
      </w:r>
      <w:r>
        <w:t>, where current contractual issues would need to be solved with a possible involvement of the secretariat</w:t>
      </w:r>
      <w:r w:rsidRPr="00714786">
        <w:t>.</w:t>
      </w:r>
      <w:r w:rsidRPr="007470B0">
        <w:t xml:space="preserve"> </w:t>
      </w:r>
    </w:p>
    <w:p w14:paraId="7147D8DA" w14:textId="77777777" w:rsidR="00F91B03" w:rsidRPr="007470B0" w:rsidRDefault="00F91B03" w:rsidP="00F91B03">
      <w:pPr>
        <w:pStyle w:val="HChG"/>
        <w:rPr>
          <w:szCs w:val="24"/>
        </w:rPr>
      </w:pPr>
      <w:r w:rsidRPr="007470B0">
        <w:tab/>
        <w:t>II</w:t>
      </w:r>
      <w:r>
        <w:t>I</w:t>
      </w:r>
      <w:r w:rsidRPr="007470B0">
        <w:t>.</w:t>
      </w:r>
      <w:r w:rsidRPr="007470B0">
        <w:tab/>
        <w:t>1997 Agreement</w:t>
      </w:r>
    </w:p>
    <w:p w14:paraId="6C5713CF" w14:textId="56BAA23F" w:rsidR="00F91B03" w:rsidRPr="00680396" w:rsidRDefault="00F91B03" w:rsidP="00F91B03">
      <w:pPr>
        <w:pStyle w:val="SingleTxtG"/>
      </w:pPr>
      <w:r w:rsidRPr="007470B0">
        <w:t>8.</w:t>
      </w:r>
      <w:r w:rsidRPr="007470B0">
        <w:tab/>
      </w:r>
      <w:r>
        <w:t>At the 182</w:t>
      </w:r>
      <w:r w:rsidR="006F4B05">
        <w:t>nd</w:t>
      </w:r>
      <w:r>
        <w:t xml:space="preserve"> session of WP.29 the Resolution R.E.6 related to requirements for testing equipment, for skills and training of inspectors </w:t>
      </w:r>
      <w:r w:rsidR="00390699">
        <w:t xml:space="preserve">as well as </w:t>
      </w:r>
      <w:r>
        <w:t xml:space="preserve">for supervision of test centres was amended by introduction of elements for enforcement of the roadworthiness and environmental behaviour of vehicles in use via guidelines for roadside technical inspections. </w:t>
      </w:r>
    </w:p>
    <w:p w14:paraId="639FECB3" w14:textId="77777777" w:rsidR="00F91B03" w:rsidRDefault="00F91B03" w:rsidP="00F91B03">
      <w:pPr>
        <w:pStyle w:val="SingleTxtG"/>
      </w:pPr>
      <w:r>
        <w:t>9</w:t>
      </w:r>
      <w:r w:rsidRPr="007470B0">
        <w:t>.</w:t>
      </w:r>
      <w:r w:rsidRPr="007470B0">
        <w:tab/>
        <w:t>T</w:t>
      </w:r>
      <w:r>
        <w:t>hese guidelines cover inter alia innovative approaches for the selection of vehicles to be controlled at the roadside. These may cover elements like remote sensing of pollutants, temperature of brakes or axle loads as well as intelligence-based approaches such as risk-profiling of operators and will help to reduce administrative burden and costs both for well performing operators but also for the inspection bodies.</w:t>
      </w:r>
    </w:p>
    <w:p w14:paraId="09487CA7" w14:textId="77777777" w:rsidR="00F91B03" w:rsidRPr="007470B0" w:rsidRDefault="00F91B03" w:rsidP="00F91B03">
      <w:pPr>
        <w:pStyle w:val="HChG"/>
        <w:rPr>
          <w:szCs w:val="24"/>
        </w:rPr>
      </w:pPr>
      <w:r w:rsidRPr="007470B0">
        <w:tab/>
        <w:t>I</w:t>
      </w:r>
      <w:r>
        <w:t>V</w:t>
      </w:r>
      <w:r w:rsidRPr="007470B0">
        <w:t>.</w:t>
      </w:r>
      <w:r w:rsidRPr="007470B0">
        <w:tab/>
        <w:t>1998 Agreement</w:t>
      </w:r>
    </w:p>
    <w:p w14:paraId="3CE2BC2E" w14:textId="730F8418" w:rsidR="00F91B03" w:rsidRDefault="00F91B03" w:rsidP="00F91B03">
      <w:pPr>
        <w:pStyle w:val="SingleTxtG"/>
        <w:rPr>
          <w:rFonts w:asciiTheme="majorBidi" w:hAnsiTheme="majorBidi" w:cstheme="majorBidi"/>
        </w:rPr>
      </w:pPr>
      <w:r w:rsidRPr="007470B0">
        <w:t>1</w:t>
      </w:r>
      <w:r>
        <w:t>0</w:t>
      </w:r>
      <w:r w:rsidRPr="007470B0">
        <w:t>.</w:t>
      </w:r>
      <w:r w:rsidRPr="007470B0">
        <w:tab/>
      </w:r>
      <w:r w:rsidRPr="00D40A23">
        <w:t>In 20</w:t>
      </w:r>
      <w:r>
        <w:t>20</w:t>
      </w:r>
      <w:r w:rsidRPr="00D40A23">
        <w:t>, WP.29 concluded several years of work on</w:t>
      </w:r>
      <w:r>
        <w:t xml:space="preserve"> a new Global Technical Regulation (UN GTR)</w:t>
      </w:r>
      <w:r w:rsidRPr="00D40A23">
        <w:t xml:space="preserve"> </w:t>
      </w:r>
      <w:r>
        <w:t>No.</w:t>
      </w:r>
      <w:r w:rsidR="006F4B05">
        <w:t xml:space="preserve"> </w:t>
      </w:r>
      <w:r>
        <w:t xml:space="preserve">21 </w:t>
      </w:r>
      <w:r w:rsidRPr="00492AD3">
        <w:rPr>
          <w:rFonts w:asciiTheme="majorBidi" w:hAnsiTheme="majorBidi" w:cstheme="majorBidi"/>
        </w:rPr>
        <w:t>on the Determination of Electrified Vehicle Power</w:t>
      </w:r>
      <w:r>
        <w:rPr>
          <w:rFonts w:asciiTheme="majorBidi" w:hAnsiTheme="majorBidi" w:cstheme="majorBidi"/>
        </w:rPr>
        <w:t xml:space="preserve">, that was adopted by the </w:t>
      </w:r>
      <w:r w:rsidRPr="00492AD3">
        <w:rPr>
          <w:rFonts w:asciiTheme="majorBidi" w:hAnsiTheme="majorBidi" w:cstheme="majorBidi"/>
        </w:rPr>
        <w:t>Executive Committee of the 1998 Agreement</w:t>
      </w:r>
      <w:r>
        <w:rPr>
          <w:rFonts w:asciiTheme="majorBidi" w:hAnsiTheme="majorBidi" w:cstheme="majorBidi"/>
        </w:rPr>
        <w:t xml:space="preserve"> at its November 2020 session.</w:t>
      </w:r>
    </w:p>
    <w:p w14:paraId="6159FC50" w14:textId="50EF3715" w:rsidR="00F91B03" w:rsidRPr="00492AD3" w:rsidRDefault="00F91B03" w:rsidP="006F4B05">
      <w:pPr>
        <w:pStyle w:val="SingleTxtG"/>
        <w:rPr>
          <w:rFonts w:asciiTheme="majorBidi" w:hAnsiTheme="majorBidi" w:cstheme="majorBidi"/>
        </w:rPr>
      </w:pPr>
      <w:r>
        <w:rPr>
          <w:rFonts w:asciiTheme="majorBidi" w:hAnsiTheme="majorBidi" w:cstheme="majorBidi"/>
        </w:rPr>
        <w:t>11.</w:t>
      </w:r>
      <w:r>
        <w:rPr>
          <w:rFonts w:asciiTheme="majorBidi" w:hAnsiTheme="majorBidi" w:cstheme="majorBidi"/>
        </w:rPr>
        <w:tab/>
        <w:t>E</w:t>
      </w:r>
      <w:r w:rsidRPr="00492AD3">
        <w:rPr>
          <w:rFonts w:asciiTheme="majorBidi" w:hAnsiTheme="majorBidi" w:cstheme="majorBidi"/>
        </w:rPr>
        <w:t>ight amendments to Global Technical Regulations No. 3 (Motorcycle braking), No.</w:t>
      </w:r>
      <w:r w:rsidR="006F4B05">
        <w:rPr>
          <w:rFonts w:asciiTheme="majorBidi" w:hAnsiTheme="majorBidi" w:cstheme="majorBidi"/>
        </w:rPr>
        <w:t> </w:t>
      </w:r>
      <w:r w:rsidRPr="00492AD3">
        <w:rPr>
          <w:rFonts w:asciiTheme="majorBidi" w:hAnsiTheme="majorBidi" w:cstheme="majorBidi"/>
        </w:rPr>
        <w:t>6 (Safety glazing), No. 7 (Head restraints),</w:t>
      </w:r>
      <w:r w:rsidR="002C3A9B">
        <w:rPr>
          <w:rFonts w:asciiTheme="majorBidi" w:hAnsiTheme="majorBidi" w:cstheme="majorBidi"/>
        </w:rPr>
        <w:t xml:space="preserve"> </w:t>
      </w:r>
      <w:r w:rsidRPr="00492AD3">
        <w:rPr>
          <w:rFonts w:asciiTheme="majorBidi" w:hAnsiTheme="majorBidi" w:cstheme="majorBidi"/>
        </w:rPr>
        <w:t>No. 15 (Worldwide harmonized Light vehicle Test Procedure), No. 16 (Tyres), No. 18 (On-Board Diagnostic (OBD) systems for L-category vehicles) and to No. 19 (Evaporate Emission Test Worldwide harmonized Light Duty Test Procedure)</w:t>
      </w:r>
      <w:r>
        <w:rPr>
          <w:rFonts w:asciiTheme="majorBidi" w:hAnsiTheme="majorBidi" w:cstheme="majorBidi"/>
        </w:rPr>
        <w:t xml:space="preserve"> were adopted during 2020</w:t>
      </w:r>
      <w:r w:rsidR="00390699">
        <w:rPr>
          <w:rFonts w:asciiTheme="majorBidi" w:hAnsiTheme="majorBidi" w:cstheme="majorBidi"/>
        </w:rPr>
        <w:t>.</w:t>
      </w:r>
      <w:r>
        <w:rPr>
          <w:rFonts w:asciiTheme="majorBidi" w:hAnsiTheme="majorBidi" w:cstheme="majorBidi"/>
        </w:rPr>
        <w:t xml:space="preserve"> </w:t>
      </w:r>
      <w:r w:rsidR="00390699">
        <w:t>This will</w:t>
      </w:r>
      <w:r>
        <w:t xml:space="preserve"> </w:t>
      </w:r>
      <w:r w:rsidRPr="007470B0">
        <w:t xml:space="preserve">adapt the </w:t>
      </w:r>
      <w:r>
        <w:t>UN GTRs</w:t>
      </w:r>
      <w:r w:rsidRPr="007470B0">
        <w:t xml:space="preserve"> to the most recent technological innovations and introduc</w:t>
      </w:r>
      <w:r>
        <w:t>e</w:t>
      </w:r>
      <w:r w:rsidRPr="007470B0">
        <w:t xml:space="preserve"> more stringent</w:t>
      </w:r>
      <w:r>
        <w:t xml:space="preserve"> requirements</w:t>
      </w:r>
      <w:r w:rsidRPr="007470B0">
        <w:t xml:space="preserve"> aimed at increasing both the safety and environmental performance of vehicles</w:t>
      </w:r>
      <w:r w:rsidRPr="00492AD3">
        <w:rPr>
          <w:rFonts w:asciiTheme="majorBidi" w:hAnsiTheme="majorBidi" w:cstheme="majorBidi"/>
        </w:rPr>
        <w:t xml:space="preserve">. </w:t>
      </w:r>
    </w:p>
    <w:p w14:paraId="54316D77" w14:textId="77777777" w:rsidR="00F91B03" w:rsidRPr="007470B0" w:rsidRDefault="00F91B03" w:rsidP="00F91B03">
      <w:pPr>
        <w:pStyle w:val="HChG"/>
      </w:pPr>
      <w:r w:rsidRPr="007470B0">
        <w:tab/>
      </w:r>
      <w:r w:rsidRPr="00F34069">
        <w:t>V.</w:t>
      </w:r>
      <w:r w:rsidRPr="00F34069">
        <w:tab/>
      </w:r>
      <w:r w:rsidRPr="00872C87">
        <w:t>Link</w:t>
      </w:r>
      <w:r w:rsidRPr="007470B0">
        <w:t xml:space="preserve"> with the </w:t>
      </w:r>
      <w:r w:rsidRPr="00CF5593">
        <w:t>2030</w:t>
      </w:r>
      <w:r w:rsidRPr="007470B0">
        <w:t xml:space="preserve"> Agenda for Sustainable Development</w:t>
      </w:r>
    </w:p>
    <w:p w14:paraId="60899352" w14:textId="5BF8222B" w:rsidR="00250503" w:rsidRDefault="00F91B03" w:rsidP="005C1615">
      <w:pPr>
        <w:pStyle w:val="SingleTxtG"/>
      </w:pPr>
      <w:r w:rsidRPr="007470B0">
        <w:t>1</w:t>
      </w:r>
      <w:r>
        <w:t>2</w:t>
      </w:r>
      <w:r w:rsidRPr="007470B0">
        <w:t>.</w:t>
      </w:r>
      <w:r w:rsidRPr="007470B0">
        <w:tab/>
        <w:t xml:space="preserve">Accession to United Nations vehicle agreements and adherence to annexed UN Regulations, Rules and </w:t>
      </w:r>
      <w:r w:rsidR="00390699">
        <w:t xml:space="preserve">UN </w:t>
      </w:r>
      <w:r>
        <w:t>GTR</w:t>
      </w:r>
      <w:r w:rsidRPr="007470B0">
        <w:t>s can contribute to progress in achieving targets 3.6, 3.9, 7.3, 9.1, 11.2 and 13.2 of the Sustainable Development Goals.</w:t>
      </w:r>
    </w:p>
    <w:p w14:paraId="03372C90" w14:textId="76B53194" w:rsidR="005C1615" w:rsidRPr="005C1615" w:rsidRDefault="005C1615" w:rsidP="005C1615">
      <w:pPr>
        <w:spacing w:before="240"/>
        <w:jc w:val="center"/>
        <w:rPr>
          <w:u w:val="single"/>
        </w:rPr>
      </w:pPr>
      <w:r>
        <w:rPr>
          <w:u w:val="single"/>
        </w:rPr>
        <w:tab/>
      </w:r>
      <w:r>
        <w:rPr>
          <w:u w:val="single"/>
        </w:rPr>
        <w:tab/>
      </w:r>
      <w:r>
        <w:rPr>
          <w:u w:val="single"/>
        </w:rPr>
        <w:tab/>
      </w:r>
    </w:p>
    <w:sectPr w:rsidR="005C1615" w:rsidRPr="005C1615" w:rsidSect="0095478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FD48" w14:textId="77777777" w:rsidR="007615C4" w:rsidRDefault="007615C4"/>
  </w:endnote>
  <w:endnote w:type="continuationSeparator" w:id="0">
    <w:p w14:paraId="641BE392" w14:textId="77777777" w:rsidR="007615C4" w:rsidRDefault="007615C4"/>
  </w:endnote>
  <w:endnote w:type="continuationNotice" w:id="1">
    <w:p w14:paraId="2E7F3868" w14:textId="77777777" w:rsidR="007615C4" w:rsidRDefault="00761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27E3" w14:textId="5D5857F6" w:rsidR="0099113A" w:rsidRDefault="0099113A" w:rsidP="0099113A">
    <w:pPr>
      <w:pStyle w:val="Footer"/>
    </w:pPr>
    <w:r w:rsidRPr="0027112F">
      <w:rPr>
        <w:noProof/>
        <w:lang w:val="en-US"/>
      </w:rPr>
      <w:drawing>
        <wp:anchor distT="0" distB="0" distL="114300" distR="114300" simplePos="0" relativeHeight="251659264" behindDoc="0" locked="1" layoutInCell="1" allowOverlap="1" wp14:anchorId="7A06B11F" wp14:editId="6DC5EE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335129" w14:textId="4C23473F" w:rsidR="0099113A" w:rsidRPr="0099113A" w:rsidRDefault="0099113A" w:rsidP="0099113A">
    <w:pPr>
      <w:pStyle w:val="Footer"/>
      <w:ind w:right="1134"/>
      <w:rPr>
        <w:sz w:val="20"/>
      </w:rPr>
    </w:pPr>
    <w:r>
      <w:rPr>
        <w:sz w:val="20"/>
      </w:rPr>
      <w:t>GE.20-17123(E)</w:t>
    </w:r>
    <w:r>
      <w:rPr>
        <w:noProof/>
        <w:sz w:val="20"/>
      </w:rPr>
      <w:drawing>
        <wp:anchor distT="0" distB="0" distL="114300" distR="114300" simplePos="0" relativeHeight="251660288" behindDoc="0" locked="0" layoutInCell="1" allowOverlap="1" wp14:anchorId="63FEC1E6" wp14:editId="14407FB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BFDD" w14:textId="77777777" w:rsidR="007615C4" w:rsidRPr="000B175B" w:rsidRDefault="007615C4" w:rsidP="000B175B">
      <w:pPr>
        <w:tabs>
          <w:tab w:val="right" w:pos="2155"/>
        </w:tabs>
        <w:spacing w:after="80"/>
        <w:ind w:left="680"/>
        <w:rPr>
          <w:u w:val="single"/>
        </w:rPr>
      </w:pPr>
      <w:r>
        <w:rPr>
          <w:u w:val="single"/>
        </w:rPr>
        <w:tab/>
      </w:r>
    </w:p>
  </w:footnote>
  <w:footnote w:type="continuationSeparator" w:id="0">
    <w:p w14:paraId="220B8D34" w14:textId="77777777" w:rsidR="007615C4" w:rsidRPr="00FC68B7" w:rsidRDefault="007615C4" w:rsidP="00FC68B7">
      <w:pPr>
        <w:tabs>
          <w:tab w:val="left" w:pos="2155"/>
        </w:tabs>
        <w:spacing w:after="80"/>
        <w:ind w:left="680"/>
        <w:rPr>
          <w:u w:val="single"/>
        </w:rPr>
      </w:pPr>
      <w:r>
        <w:rPr>
          <w:u w:val="single"/>
        </w:rPr>
        <w:tab/>
      </w:r>
    </w:p>
  </w:footnote>
  <w:footnote w:type="continuationNotice" w:id="1">
    <w:p w14:paraId="75ACD1CE" w14:textId="77777777" w:rsidR="007615C4" w:rsidRDefault="007615C4"/>
  </w:footnote>
  <w:footnote w:id="2">
    <w:p w14:paraId="70C111D3" w14:textId="77777777" w:rsidR="00F91B03" w:rsidRPr="00887276" w:rsidRDefault="00F91B03" w:rsidP="00F91B03">
      <w:pPr>
        <w:pStyle w:val="FootnoteText"/>
        <w:rPr>
          <w:lang w:val="en-US"/>
        </w:rPr>
      </w:pPr>
      <w:r>
        <w:rPr>
          <w:rStyle w:val="FootnoteReference"/>
        </w:rPr>
        <w:tab/>
      </w:r>
      <w:r w:rsidRPr="00887276">
        <w:rPr>
          <w:rStyle w:val="FootnoteReference"/>
          <w:sz w:val="20"/>
          <w:vertAlign w:val="baseline"/>
        </w:rPr>
        <w:t>*</w:t>
      </w:r>
      <w:r>
        <w:rPr>
          <w:rStyle w:val="FootnoteReference"/>
          <w:sz w:val="20"/>
          <w:vertAlign w:val="baseline"/>
        </w:rPr>
        <w:tab/>
      </w:r>
      <w:r w:rsidRPr="00887276">
        <w:rPr>
          <w:sz w:val="20"/>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4DCC90F9" w:rsidR="00954785" w:rsidRPr="00954785" w:rsidRDefault="007615C4">
    <w:pPr>
      <w:pStyle w:val="Header"/>
    </w:pPr>
    <w:fldSimple w:instr=" TITLE  \* MERGEFORMAT ">
      <w:r w:rsidR="0091690A">
        <w:t>ECE/TRANS/2021/20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791BD70E" w:rsidR="00954785" w:rsidRPr="00954785" w:rsidRDefault="007615C4" w:rsidP="00954785">
    <w:pPr>
      <w:pStyle w:val="Header"/>
      <w:jc w:val="right"/>
    </w:pPr>
    <w:fldSimple w:instr=" TITLE  \* MERGEFORMAT ">
      <w:r w:rsidR="0091690A">
        <w:t>ECE/TRANS/2021/20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13DF1"/>
    <w:rsid w:val="00115ABD"/>
    <w:rsid w:val="00141375"/>
    <w:rsid w:val="00156B99"/>
    <w:rsid w:val="00166124"/>
    <w:rsid w:val="00184DDA"/>
    <w:rsid w:val="001900CD"/>
    <w:rsid w:val="001A0452"/>
    <w:rsid w:val="001B4B04"/>
    <w:rsid w:val="001B5875"/>
    <w:rsid w:val="001B7F86"/>
    <w:rsid w:val="001C4B9C"/>
    <w:rsid w:val="001C5E0D"/>
    <w:rsid w:val="001C6663"/>
    <w:rsid w:val="001C7895"/>
    <w:rsid w:val="001D26DF"/>
    <w:rsid w:val="001F1599"/>
    <w:rsid w:val="001F19C4"/>
    <w:rsid w:val="002001DF"/>
    <w:rsid w:val="002043F0"/>
    <w:rsid w:val="00211E0B"/>
    <w:rsid w:val="0022137B"/>
    <w:rsid w:val="00232575"/>
    <w:rsid w:val="00247258"/>
    <w:rsid w:val="00250503"/>
    <w:rsid w:val="00257CAC"/>
    <w:rsid w:val="0027237A"/>
    <w:rsid w:val="00276C8B"/>
    <w:rsid w:val="00292B57"/>
    <w:rsid w:val="002974E9"/>
    <w:rsid w:val="002A7F94"/>
    <w:rsid w:val="002B109A"/>
    <w:rsid w:val="002C3A9B"/>
    <w:rsid w:val="002C6D45"/>
    <w:rsid w:val="002D6E53"/>
    <w:rsid w:val="002F046D"/>
    <w:rsid w:val="002F3023"/>
    <w:rsid w:val="00301764"/>
    <w:rsid w:val="00303D68"/>
    <w:rsid w:val="00307A0A"/>
    <w:rsid w:val="003229D8"/>
    <w:rsid w:val="00336C97"/>
    <w:rsid w:val="00337F88"/>
    <w:rsid w:val="00342432"/>
    <w:rsid w:val="0035223F"/>
    <w:rsid w:val="00352D4B"/>
    <w:rsid w:val="00352FFA"/>
    <w:rsid w:val="0035638C"/>
    <w:rsid w:val="00390699"/>
    <w:rsid w:val="0039451F"/>
    <w:rsid w:val="003A0715"/>
    <w:rsid w:val="003A46BB"/>
    <w:rsid w:val="003A4EC7"/>
    <w:rsid w:val="003A7295"/>
    <w:rsid w:val="003B1F60"/>
    <w:rsid w:val="003C2CC4"/>
    <w:rsid w:val="003C359D"/>
    <w:rsid w:val="003D4B23"/>
    <w:rsid w:val="003E059E"/>
    <w:rsid w:val="003E278A"/>
    <w:rsid w:val="0040185F"/>
    <w:rsid w:val="00413520"/>
    <w:rsid w:val="004325CB"/>
    <w:rsid w:val="00433E88"/>
    <w:rsid w:val="00440A07"/>
    <w:rsid w:val="00462880"/>
    <w:rsid w:val="004662B9"/>
    <w:rsid w:val="004768EE"/>
    <w:rsid w:val="00476F24"/>
    <w:rsid w:val="004923A8"/>
    <w:rsid w:val="004C55B0"/>
    <w:rsid w:val="004F6BA0"/>
    <w:rsid w:val="00503BEA"/>
    <w:rsid w:val="00533616"/>
    <w:rsid w:val="00535ABA"/>
    <w:rsid w:val="0053768B"/>
    <w:rsid w:val="005420F2"/>
    <w:rsid w:val="0054285C"/>
    <w:rsid w:val="00584173"/>
    <w:rsid w:val="00595520"/>
    <w:rsid w:val="005A44B9"/>
    <w:rsid w:val="005B1BA0"/>
    <w:rsid w:val="005B3DB3"/>
    <w:rsid w:val="005B680E"/>
    <w:rsid w:val="005C1615"/>
    <w:rsid w:val="005D15CA"/>
    <w:rsid w:val="005E330C"/>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3ABA"/>
    <w:rsid w:val="006B67D9"/>
    <w:rsid w:val="006C5535"/>
    <w:rsid w:val="006D0589"/>
    <w:rsid w:val="006E07E5"/>
    <w:rsid w:val="006E564B"/>
    <w:rsid w:val="006E7154"/>
    <w:rsid w:val="006F4B05"/>
    <w:rsid w:val="007003CD"/>
    <w:rsid w:val="0070701E"/>
    <w:rsid w:val="0072632A"/>
    <w:rsid w:val="007358E8"/>
    <w:rsid w:val="00736ECE"/>
    <w:rsid w:val="0074533B"/>
    <w:rsid w:val="007615C4"/>
    <w:rsid w:val="00762DAA"/>
    <w:rsid w:val="007643BC"/>
    <w:rsid w:val="00780C68"/>
    <w:rsid w:val="007959FE"/>
    <w:rsid w:val="007A0CF1"/>
    <w:rsid w:val="007A2C8E"/>
    <w:rsid w:val="007B6BA5"/>
    <w:rsid w:val="007C1230"/>
    <w:rsid w:val="007C3390"/>
    <w:rsid w:val="007C42D8"/>
    <w:rsid w:val="007C4F4B"/>
    <w:rsid w:val="007D7362"/>
    <w:rsid w:val="007F5CE2"/>
    <w:rsid w:val="007F5D51"/>
    <w:rsid w:val="007F6611"/>
    <w:rsid w:val="00810BAC"/>
    <w:rsid w:val="00815316"/>
    <w:rsid w:val="008175E9"/>
    <w:rsid w:val="008242D7"/>
    <w:rsid w:val="0082577B"/>
    <w:rsid w:val="008304E1"/>
    <w:rsid w:val="00840E65"/>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1690A"/>
    <w:rsid w:val="00926E47"/>
    <w:rsid w:val="00943748"/>
    <w:rsid w:val="00947162"/>
    <w:rsid w:val="00954785"/>
    <w:rsid w:val="009610D0"/>
    <w:rsid w:val="0096375C"/>
    <w:rsid w:val="00964415"/>
    <w:rsid w:val="009662E6"/>
    <w:rsid w:val="0097095E"/>
    <w:rsid w:val="0098592B"/>
    <w:rsid w:val="00985FC4"/>
    <w:rsid w:val="00990766"/>
    <w:rsid w:val="0099113A"/>
    <w:rsid w:val="00991261"/>
    <w:rsid w:val="009964C4"/>
    <w:rsid w:val="009A7B81"/>
    <w:rsid w:val="009D01C0"/>
    <w:rsid w:val="009D6A08"/>
    <w:rsid w:val="009E0A16"/>
    <w:rsid w:val="009E6CB7"/>
    <w:rsid w:val="009E7970"/>
    <w:rsid w:val="009F2EAC"/>
    <w:rsid w:val="009F50DC"/>
    <w:rsid w:val="009F57E3"/>
    <w:rsid w:val="00A10F4F"/>
    <w:rsid w:val="00A11067"/>
    <w:rsid w:val="00A14A96"/>
    <w:rsid w:val="00A1704A"/>
    <w:rsid w:val="00A425EB"/>
    <w:rsid w:val="00A44590"/>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6F2A"/>
    <w:rsid w:val="00B37B15"/>
    <w:rsid w:val="00B45C02"/>
    <w:rsid w:val="00B70B63"/>
    <w:rsid w:val="00B72A1E"/>
    <w:rsid w:val="00B81E12"/>
    <w:rsid w:val="00B94754"/>
    <w:rsid w:val="00BA339B"/>
    <w:rsid w:val="00BB23CC"/>
    <w:rsid w:val="00BC1E7E"/>
    <w:rsid w:val="00BC74E9"/>
    <w:rsid w:val="00BE36A9"/>
    <w:rsid w:val="00BE618E"/>
    <w:rsid w:val="00BE7BEC"/>
    <w:rsid w:val="00BF0A5A"/>
    <w:rsid w:val="00BF0E63"/>
    <w:rsid w:val="00BF12A3"/>
    <w:rsid w:val="00BF16D7"/>
    <w:rsid w:val="00BF2373"/>
    <w:rsid w:val="00C044E2"/>
    <w:rsid w:val="00C048CB"/>
    <w:rsid w:val="00C066F3"/>
    <w:rsid w:val="00C34F3C"/>
    <w:rsid w:val="00C463DD"/>
    <w:rsid w:val="00C745C3"/>
    <w:rsid w:val="00C978F5"/>
    <w:rsid w:val="00CA24A4"/>
    <w:rsid w:val="00CB0EAD"/>
    <w:rsid w:val="00CB348D"/>
    <w:rsid w:val="00CB42AE"/>
    <w:rsid w:val="00CD2C9A"/>
    <w:rsid w:val="00CD3488"/>
    <w:rsid w:val="00CD46F5"/>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1BD6"/>
    <w:rsid w:val="00E11EFE"/>
    <w:rsid w:val="00E423C0"/>
    <w:rsid w:val="00E56255"/>
    <w:rsid w:val="00E6414C"/>
    <w:rsid w:val="00E7260F"/>
    <w:rsid w:val="00E8702D"/>
    <w:rsid w:val="00E905F4"/>
    <w:rsid w:val="00E916A9"/>
    <w:rsid w:val="00E916DE"/>
    <w:rsid w:val="00E925AD"/>
    <w:rsid w:val="00E96630"/>
    <w:rsid w:val="00ED18DC"/>
    <w:rsid w:val="00ED6201"/>
    <w:rsid w:val="00ED7A2A"/>
    <w:rsid w:val="00EF1D7F"/>
    <w:rsid w:val="00F0137E"/>
    <w:rsid w:val="00F060D1"/>
    <w:rsid w:val="00F21786"/>
    <w:rsid w:val="00F3742B"/>
    <w:rsid w:val="00F41FDB"/>
    <w:rsid w:val="00F56D63"/>
    <w:rsid w:val="00F609A9"/>
    <w:rsid w:val="00F80C99"/>
    <w:rsid w:val="00F867EC"/>
    <w:rsid w:val="00F91B03"/>
    <w:rsid w:val="00F91B2B"/>
    <w:rsid w:val="00F94965"/>
    <w:rsid w:val="00FC03CD"/>
    <w:rsid w:val="00FC0595"/>
    <w:rsid w:val="00FC0646"/>
    <w:rsid w:val="00FC68B7"/>
    <w:rsid w:val="00FD78EB"/>
    <w:rsid w:val="00FE6985"/>
    <w:rsid w:val="00FE7EE2"/>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F91B03"/>
    <w:rPr>
      <w:lang w:val="en-GB"/>
    </w:rPr>
  </w:style>
  <w:style w:type="character" w:customStyle="1" w:styleId="normaltextrun">
    <w:name w:val="normaltextrun"/>
    <w:basedOn w:val="DefaultParagraphFont"/>
    <w:rsid w:val="00F91B03"/>
  </w:style>
  <w:style w:type="character" w:styleId="CommentReference">
    <w:name w:val="annotation reference"/>
    <w:basedOn w:val="DefaultParagraphFont"/>
    <w:semiHidden/>
    <w:unhideWhenUsed/>
    <w:rsid w:val="00141375"/>
    <w:rPr>
      <w:sz w:val="16"/>
      <w:szCs w:val="16"/>
    </w:rPr>
  </w:style>
  <w:style w:type="paragraph" w:styleId="CommentText">
    <w:name w:val="annotation text"/>
    <w:basedOn w:val="Normal"/>
    <w:link w:val="CommentTextChar"/>
    <w:semiHidden/>
    <w:unhideWhenUsed/>
    <w:rsid w:val="00141375"/>
    <w:pPr>
      <w:spacing w:line="240" w:lineRule="auto"/>
    </w:pPr>
  </w:style>
  <w:style w:type="character" w:customStyle="1" w:styleId="CommentTextChar">
    <w:name w:val="Comment Text Char"/>
    <w:basedOn w:val="DefaultParagraphFont"/>
    <w:link w:val="CommentText"/>
    <w:semiHidden/>
    <w:rsid w:val="00141375"/>
    <w:rPr>
      <w:lang w:val="en-GB"/>
    </w:rPr>
  </w:style>
  <w:style w:type="paragraph" w:styleId="CommentSubject">
    <w:name w:val="annotation subject"/>
    <w:basedOn w:val="CommentText"/>
    <w:next w:val="CommentText"/>
    <w:link w:val="CommentSubjectChar"/>
    <w:semiHidden/>
    <w:unhideWhenUsed/>
    <w:rsid w:val="00141375"/>
    <w:rPr>
      <w:b/>
      <w:bCs/>
    </w:rPr>
  </w:style>
  <w:style w:type="character" w:customStyle="1" w:styleId="CommentSubjectChar">
    <w:name w:val="Comment Subject Char"/>
    <w:basedOn w:val="CommentTextChar"/>
    <w:link w:val="CommentSubject"/>
    <w:semiHidden/>
    <w:rsid w:val="0014137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0EF0A-CEC7-40B1-A8B1-EF09E3581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6572</Characters>
  <Application>Microsoft Office Word</Application>
  <DocSecurity>0</DocSecurity>
  <Lines>120</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ECE/TRANS/2021/20</vt:lpstr>
      <vt:lpstr/>
    </vt:vector>
  </TitlesOfParts>
  <Company>CSD</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ECE/TRANS/2021/20</dc:title>
  <dc:subject>2017123</dc:subject>
  <dc:creator>Anastasia Barinova</dc:creator>
  <cp:keywords/>
  <dc:description/>
  <cp:lastModifiedBy>Maria Cecilia PACIS MAMANGUN</cp:lastModifiedBy>
  <cp:revision>2</cp:revision>
  <cp:lastPrinted>2009-02-18T09:36:00Z</cp:lastPrinted>
  <dcterms:created xsi:type="dcterms:W3CDTF">2020-12-18T10:05:00Z</dcterms:created>
  <dcterms:modified xsi:type="dcterms:W3CDTF">2020-12-18T10:05:00Z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