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859E0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209C10" w14:textId="77777777" w:rsidR="002D5AAC" w:rsidRDefault="002D5AAC" w:rsidP="000211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0FDF4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F5ECAD" w14:textId="77777777" w:rsidR="002D5AAC" w:rsidRDefault="00021101" w:rsidP="00021101">
            <w:pPr>
              <w:jc w:val="right"/>
            </w:pPr>
            <w:r w:rsidRPr="00021101">
              <w:rPr>
                <w:sz w:val="40"/>
              </w:rPr>
              <w:t>ECE</w:t>
            </w:r>
            <w:r>
              <w:t>/TRANS/2021/15</w:t>
            </w:r>
          </w:p>
        </w:tc>
      </w:tr>
      <w:tr w:rsidR="002D5AAC" w:rsidRPr="00021101" w14:paraId="3B91C2C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0C9C6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303318" wp14:editId="7024EE6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D9132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C0A30D" w14:textId="77777777" w:rsidR="002D5AAC" w:rsidRDefault="000211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3BE213" w14:textId="77777777" w:rsidR="00021101" w:rsidRDefault="00021101" w:rsidP="000211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December 2020</w:t>
            </w:r>
          </w:p>
          <w:p w14:paraId="085C96CC" w14:textId="77777777" w:rsidR="00021101" w:rsidRDefault="00021101" w:rsidP="000211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11C3CF" w14:textId="77777777" w:rsidR="00021101" w:rsidRPr="008D53B6" w:rsidRDefault="00021101" w:rsidP="000211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1EA195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CDA2E23" w14:textId="77777777" w:rsidR="00021101" w:rsidRPr="007C7518" w:rsidRDefault="00021101" w:rsidP="00021101">
      <w:pPr>
        <w:spacing w:before="120"/>
        <w:rPr>
          <w:sz w:val="28"/>
          <w:szCs w:val="28"/>
        </w:rPr>
      </w:pPr>
      <w:r w:rsidRPr="007C7518">
        <w:rPr>
          <w:sz w:val="28"/>
          <w:szCs w:val="28"/>
        </w:rPr>
        <w:t>Комитет по внутреннему транспорту</w:t>
      </w:r>
    </w:p>
    <w:p w14:paraId="0928DC45" w14:textId="77777777" w:rsidR="00021101" w:rsidRPr="007C7518" w:rsidRDefault="00021101" w:rsidP="00021101">
      <w:pPr>
        <w:spacing w:before="120"/>
        <w:rPr>
          <w:b/>
          <w:bCs/>
        </w:rPr>
      </w:pPr>
      <w:r w:rsidRPr="007C7518">
        <w:rPr>
          <w:b/>
          <w:bCs/>
        </w:rPr>
        <w:t>Восемьдесят третья сессия</w:t>
      </w:r>
    </w:p>
    <w:p w14:paraId="7F96F7BD" w14:textId="77777777" w:rsidR="00021101" w:rsidRPr="007C7518" w:rsidRDefault="00021101" w:rsidP="00021101">
      <w:r w:rsidRPr="007C7518">
        <w:t xml:space="preserve">Женева, 23–26 февраля 2021 года </w:t>
      </w:r>
    </w:p>
    <w:p w14:paraId="5DAB0219" w14:textId="77777777" w:rsidR="00021101" w:rsidRPr="007C7518" w:rsidRDefault="00021101" w:rsidP="00021101">
      <w:r w:rsidRPr="007C7518">
        <w:t xml:space="preserve">Пункт 7 d) предварительной повестки дня </w:t>
      </w:r>
    </w:p>
    <w:p w14:paraId="047C5D6A" w14:textId="77777777" w:rsidR="00021101" w:rsidRPr="007C7518" w:rsidRDefault="00021101" w:rsidP="00021101">
      <w:pPr>
        <w:rPr>
          <w:b/>
          <w:bCs/>
        </w:rPr>
      </w:pPr>
      <w:r w:rsidRPr="007C7518">
        <w:rPr>
          <w:b/>
          <w:bCs/>
        </w:rPr>
        <w:t xml:space="preserve">Стратегические вопросы горизонтальной </w:t>
      </w:r>
      <w:r w:rsidR="00981BFB">
        <w:rPr>
          <w:b/>
          <w:bCs/>
        </w:rPr>
        <w:br/>
      </w:r>
      <w:r w:rsidRPr="007C7518">
        <w:rPr>
          <w:b/>
          <w:bCs/>
        </w:rPr>
        <w:t xml:space="preserve">и межсекторальной политики </w:t>
      </w:r>
      <w:r w:rsidR="00981BFB">
        <w:rPr>
          <w:b/>
          <w:bCs/>
        </w:rPr>
        <w:br/>
      </w:r>
      <w:r w:rsidRPr="007C7518">
        <w:rPr>
          <w:b/>
          <w:bCs/>
        </w:rPr>
        <w:t xml:space="preserve">или нормативного характера: </w:t>
      </w:r>
      <w:r w:rsidR="00894D37">
        <w:rPr>
          <w:b/>
          <w:bCs/>
        </w:rPr>
        <w:br/>
      </w:r>
      <w:r w:rsidRPr="007C7518">
        <w:rPr>
          <w:b/>
          <w:bCs/>
        </w:rPr>
        <w:t>интеллектуальные транспортные системы</w:t>
      </w:r>
    </w:p>
    <w:p w14:paraId="3218674D" w14:textId="77777777" w:rsidR="00021101" w:rsidRPr="007C7518" w:rsidRDefault="00021101" w:rsidP="00981BFB">
      <w:pPr>
        <w:pStyle w:val="HChG"/>
      </w:pPr>
      <w:r w:rsidRPr="007C7518">
        <w:tab/>
      </w:r>
      <w:r w:rsidRPr="007C7518">
        <w:tab/>
        <w:t>Проект пересмотренной «дорожной карты» ЕЭК ООН по</w:t>
      </w:r>
      <w:r w:rsidR="00981BFB">
        <w:rPr>
          <w:lang w:val="en-US"/>
        </w:rPr>
        <w:t> </w:t>
      </w:r>
      <w:r w:rsidRPr="007C7518">
        <w:t xml:space="preserve">интеллектуальным транспортным системам </w:t>
      </w:r>
    </w:p>
    <w:p w14:paraId="6D3FCCDC" w14:textId="77777777" w:rsidR="00021101" w:rsidRDefault="00021101" w:rsidP="00021101">
      <w:pPr>
        <w:pStyle w:val="H1G"/>
        <w:rPr>
          <w:bCs/>
        </w:rPr>
      </w:pPr>
      <w:r w:rsidRPr="007C7518">
        <w:tab/>
      </w:r>
      <w:r w:rsidRPr="007C7518">
        <w:tab/>
      </w:r>
      <w:r w:rsidRPr="007C7518">
        <w:rPr>
          <w:bCs/>
        </w:rPr>
        <w:t>Записка секретариата</w:t>
      </w:r>
    </w:p>
    <w:tbl>
      <w:tblPr>
        <w:tblStyle w:val="ac"/>
        <w:tblW w:w="9637" w:type="dxa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021101" w:rsidRPr="007C7518" w14:paraId="62A6BD07" w14:textId="77777777" w:rsidTr="00981BFB">
        <w:trPr>
          <w:jc w:val="center"/>
        </w:trPr>
        <w:tc>
          <w:tcPr>
            <w:tcW w:w="9637" w:type="dxa"/>
            <w:shd w:val="clear" w:color="auto" w:fill="auto"/>
          </w:tcPr>
          <w:p w14:paraId="43A31699" w14:textId="77777777" w:rsidR="00021101" w:rsidRPr="007C7518" w:rsidRDefault="00981BFB" w:rsidP="00981BFB">
            <w:pPr>
              <w:tabs>
                <w:tab w:val="left" w:pos="255"/>
              </w:tabs>
              <w:spacing w:before="240" w:after="120"/>
              <w:rPr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ab/>
            </w:r>
            <w:r w:rsidR="00021101" w:rsidRPr="00981BF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21101" w:rsidRPr="007C7518" w14:paraId="134BF6EB" w14:textId="77777777" w:rsidTr="00981BFB">
        <w:trPr>
          <w:jc w:val="center"/>
        </w:trPr>
        <w:tc>
          <w:tcPr>
            <w:tcW w:w="9637" w:type="dxa"/>
            <w:shd w:val="clear" w:color="auto" w:fill="auto"/>
          </w:tcPr>
          <w:p w14:paraId="31AEA064" w14:textId="77777777" w:rsidR="00021101" w:rsidRPr="007C7518" w:rsidRDefault="00021101" w:rsidP="00981BFB">
            <w:pPr>
              <w:pStyle w:val="SingleTxtG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C7518">
              <w:tab/>
              <w:t>В соответствии с решением восемьдесят второй сессии Комитета по внутреннему транспорту (КВТ) (ECE/TRANS/294, п</w:t>
            </w:r>
            <w:r w:rsidR="00FF7416">
              <w:t>.</w:t>
            </w:r>
            <w:r w:rsidRPr="007C7518">
              <w:t xml:space="preserve"> 32) секретариат ЕЭК </w:t>
            </w:r>
            <w:r w:rsidRPr="007C7518">
              <w:rPr>
                <w:b/>
                <w:bCs/>
              </w:rPr>
              <w:t>в тесном сотрудничестве с соответствующими рабочими группами и вспомогательными органами</w:t>
            </w:r>
            <w:r w:rsidRPr="007C7518">
              <w:t xml:space="preserve"> приступил к проведению мероприятий по подготовке пересмотра «дорожной карты» ЕЭК ООН по интеллектуальным транспортным системам (ИТС). </w:t>
            </w:r>
          </w:p>
        </w:tc>
      </w:tr>
      <w:tr w:rsidR="00021101" w:rsidRPr="007C7518" w14:paraId="610BB68A" w14:textId="77777777" w:rsidTr="00981BFB">
        <w:trPr>
          <w:jc w:val="center"/>
        </w:trPr>
        <w:tc>
          <w:tcPr>
            <w:tcW w:w="9637" w:type="dxa"/>
            <w:shd w:val="clear" w:color="auto" w:fill="auto"/>
          </w:tcPr>
          <w:p w14:paraId="644C5FFF" w14:textId="77777777" w:rsidR="00021101" w:rsidRPr="007C7518" w:rsidRDefault="00021101" w:rsidP="00981BFB">
            <w:pPr>
              <w:pStyle w:val="SingleTxtG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81BFB">
              <w:tab/>
              <w:t xml:space="preserve">Секретариат начал консультации рабочих групп и вспомогательных органов и обратился к заинтересованным сторонам с просьбой представить свои материалы, используя онлайновые инструменты коллективной работы. </w:t>
            </w:r>
            <w:r w:rsidRPr="00981BFB">
              <w:rPr>
                <w:lang w:val="en-US"/>
              </w:rPr>
              <w:t>Все многочисленные комментарии к проекту, которые были получены несмотря на сбои, вызванные пандемией COVID-19, были учтены.</w:t>
            </w:r>
          </w:p>
        </w:tc>
      </w:tr>
      <w:tr w:rsidR="00021101" w:rsidRPr="007C7518" w14:paraId="168BFE7F" w14:textId="77777777" w:rsidTr="00981BFB">
        <w:trPr>
          <w:jc w:val="center"/>
        </w:trPr>
        <w:tc>
          <w:tcPr>
            <w:tcW w:w="9637" w:type="dxa"/>
            <w:shd w:val="clear" w:color="auto" w:fill="auto"/>
          </w:tcPr>
          <w:p w14:paraId="1966C478" w14:textId="77777777" w:rsidR="00021101" w:rsidRPr="007C7518" w:rsidRDefault="00021101" w:rsidP="00981BFB">
            <w:pPr>
              <w:pStyle w:val="SingleTxtG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C7518">
              <w:tab/>
              <w:t xml:space="preserve">На своей сессии в ноябре 2020 года Бюро КВТ рассмотрело проект пересмотренной </w:t>
            </w:r>
            <w:r w:rsidRPr="00981BFB">
              <w:t>«дорожной карты»</w:t>
            </w:r>
            <w:r w:rsidRPr="007C7518">
              <w:t xml:space="preserve"> ЕЭК ООН по ИТС и рекомендовало представить его на рассмотрение восемьдесят третьей сессии КВТ в феврале 2021 года.</w:t>
            </w:r>
          </w:p>
        </w:tc>
      </w:tr>
      <w:tr w:rsidR="00021101" w:rsidRPr="007C7518" w14:paraId="3D6783FD" w14:textId="77777777" w:rsidTr="00981BFB">
        <w:trPr>
          <w:jc w:val="center"/>
        </w:trPr>
        <w:tc>
          <w:tcPr>
            <w:tcW w:w="9637" w:type="dxa"/>
            <w:shd w:val="clear" w:color="auto" w:fill="auto"/>
          </w:tcPr>
          <w:p w14:paraId="13AF0BE1" w14:textId="77777777" w:rsidR="00021101" w:rsidRPr="007C7518" w:rsidRDefault="00021101" w:rsidP="00981BFB">
            <w:pPr>
              <w:pStyle w:val="SingleTxtG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C7518">
              <w:tab/>
              <w:t>Комитет по внутреннему транспорту, возможно, пожелает</w:t>
            </w:r>
            <w:r w:rsidR="00FF7416">
              <w:t>:</w:t>
            </w:r>
          </w:p>
        </w:tc>
      </w:tr>
      <w:tr w:rsidR="00021101" w:rsidRPr="007C7518" w14:paraId="6618D772" w14:textId="77777777" w:rsidTr="00981BFB">
        <w:trPr>
          <w:jc w:val="center"/>
        </w:trPr>
        <w:tc>
          <w:tcPr>
            <w:tcW w:w="9637" w:type="dxa"/>
            <w:shd w:val="clear" w:color="auto" w:fill="auto"/>
          </w:tcPr>
          <w:p w14:paraId="473F652A" w14:textId="77777777" w:rsidR="00021101" w:rsidRPr="007C7518" w:rsidRDefault="00021101" w:rsidP="00981BFB">
            <w:pPr>
              <w:pStyle w:val="Bullet1G"/>
            </w:pPr>
            <w:r w:rsidRPr="007C7518">
              <w:rPr>
                <w:b/>
                <w:bCs/>
              </w:rPr>
              <w:t xml:space="preserve">рассмотреть и одобрить </w:t>
            </w:r>
            <w:r w:rsidRPr="007C7518">
              <w:t>проект обновленной «дорожной карты» по ИТС на период 2021–2025 годов;</w:t>
            </w:r>
          </w:p>
        </w:tc>
      </w:tr>
      <w:tr w:rsidR="00021101" w:rsidRPr="007C7518" w14:paraId="4FFF8D89" w14:textId="77777777" w:rsidTr="00981BFB">
        <w:trPr>
          <w:jc w:val="center"/>
        </w:trPr>
        <w:tc>
          <w:tcPr>
            <w:tcW w:w="9637" w:type="dxa"/>
            <w:shd w:val="clear" w:color="auto" w:fill="auto"/>
          </w:tcPr>
          <w:p w14:paraId="620E0C6D" w14:textId="77777777" w:rsidR="00021101" w:rsidRPr="007C7518" w:rsidRDefault="00021101" w:rsidP="00981BFB">
            <w:pPr>
              <w:pStyle w:val="Bullet1G"/>
            </w:pPr>
            <w:r w:rsidRPr="007C7518">
              <w:rPr>
                <w:b/>
                <w:bCs/>
              </w:rPr>
              <w:t>отметить</w:t>
            </w:r>
            <w:r w:rsidRPr="007C7518">
              <w:t>, что в знак полного признания быстрых темпов технологических изменений и в целях обеспечения актуальности «дорожной карты» в этом отношении секретариат мог бы инициировать неофициальные консультации для подготовки документа на период после 2025 года.</w:t>
            </w:r>
          </w:p>
        </w:tc>
      </w:tr>
      <w:tr w:rsidR="00021101" w:rsidRPr="007C7518" w14:paraId="17AE4CC1" w14:textId="77777777" w:rsidTr="00981BFB">
        <w:trPr>
          <w:jc w:val="center"/>
        </w:trPr>
        <w:tc>
          <w:tcPr>
            <w:tcW w:w="9637" w:type="dxa"/>
            <w:shd w:val="clear" w:color="auto" w:fill="auto"/>
          </w:tcPr>
          <w:p w14:paraId="19E595BE" w14:textId="77777777" w:rsidR="00021101" w:rsidRPr="007C7518" w:rsidRDefault="00021101" w:rsidP="00051FE5"/>
        </w:tc>
      </w:tr>
    </w:tbl>
    <w:p w14:paraId="14C33A78" w14:textId="77777777" w:rsidR="00021101" w:rsidRPr="007C7518" w:rsidRDefault="00021101" w:rsidP="00981BFB">
      <w:pPr>
        <w:pStyle w:val="HChG"/>
      </w:pPr>
      <w:r w:rsidRPr="007C7518">
        <w:lastRenderedPageBreak/>
        <w:tab/>
        <w:t>I.</w:t>
      </w:r>
      <w:r w:rsidRPr="007C7518">
        <w:tab/>
        <w:t>Справочная информация</w:t>
      </w:r>
    </w:p>
    <w:p w14:paraId="20A6C378" w14:textId="77777777" w:rsidR="00021101" w:rsidRPr="007C7518" w:rsidRDefault="00021101" w:rsidP="00981BFB">
      <w:pPr>
        <w:pStyle w:val="SingleTxtG"/>
      </w:pPr>
      <w:r w:rsidRPr="007C7518">
        <w:t>1.</w:t>
      </w:r>
      <w:r w:rsidRPr="007C7518">
        <w:tab/>
        <w:t xml:space="preserve">Интеллектуальные транспортные системы (ИТС) рассматриваются как элемент решения текущих и будущих транспортных проблем. Они получили широкое признание в качестве одного из действенных инструментов обеспечения эффективной, безопасной и устойчивой мобильности. Несмотря на их предполагаемые преимущества, использование различных решений в области ИТС сопряжено с препятствиями. Для преодоления этих проблем Комитет по внутреннему транспорту (КВТ) и секретариат ЕЭК приступили к деятельности по разработке общей стратегии будущей реализации решений в области ИТС. Результатом этой инициативы стала разработка </w:t>
      </w:r>
      <w:r w:rsidRPr="007C7518">
        <w:rPr>
          <w:rFonts w:asciiTheme="majorBidi" w:hAnsiTheme="majorBidi" w:cstheme="majorBidi"/>
        </w:rPr>
        <w:t xml:space="preserve">«дорожной карты» </w:t>
      </w:r>
      <w:r w:rsidRPr="007C7518">
        <w:t>по ИТС на 2012–2020 годы, которая охватывает 20</w:t>
      </w:r>
      <w:r w:rsidR="00E12127">
        <w:rPr>
          <w:lang w:val="en-US"/>
        </w:rPr>
        <w:t> </w:t>
      </w:r>
      <w:r w:rsidRPr="007C7518">
        <w:t>глобальных направлений деятельности по стимулированию использования ИТС.</w:t>
      </w:r>
    </w:p>
    <w:p w14:paraId="38A59D13" w14:textId="77777777" w:rsidR="00021101" w:rsidRPr="007C7518" w:rsidRDefault="00021101" w:rsidP="00981BFB">
      <w:pPr>
        <w:pStyle w:val="SingleTxtG"/>
      </w:pPr>
      <w:r w:rsidRPr="007C7518">
        <w:t>2.</w:t>
      </w:r>
      <w:r w:rsidRPr="007C7518">
        <w:tab/>
        <w:t xml:space="preserve">В </w:t>
      </w:r>
      <w:r w:rsidRPr="007C7518">
        <w:rPr>
          <w:rFonts w:asciiTheme="majorBidi" w:hAnsiTheme="majorBidi" w:cstheme="majorBidi"/>
        </w:rPr>
        <w:t xml:space="preserve">«дорожной карте» </w:t>
      </w:r>
      <w:r w:rsidRPr="007C7518">
        <w:t xml:space="preserve">по ИТС указываются области и перечисляются виды деятельности, которые ЕЭК могла бы осуществлять в целях устранения препятствий на пути более широкого и быстрого распространения решений ИТС. На своей сессии 2020 года КВТ с удовлетворением отметил, что «дорожная карта» по ИТС на </w:t>
      </w:r>
      <w:r w:rsidR="00E12127">
        <w:br/>
      </w:r>
      <w:r w:rsidRPr="007C7518">
        <w:t xml:space="preserve">2012–2020 годы стимулировала деятельность в области ИТС, связанную с инфраструктурой и всеми видами транспорта, и способствовала применению комплексного подхода к ИТС. </w:t>
      </w:r>
    </w:p>
    <w:p w14:paraId="4487AA82" w14:textId="77777777" w:rsidR="00021101" w:rsidRPr="007C7518" w:rsidRDefault="00021101" w:rsidP="00981BFB">
      <w:pPr>
        <w:pStyle w:val="SingleTxtG"/>
      </w:pPr>
      <w:r w:rsidRPr="007C7518">
        <w:t>3.</w:t>
      </w:r>
      <w:r w:rsidRPr="007C7518">
        <w:tab/>
        <w:t xml:space="preserve">Поскольку период, охватываемый </w:t>
      </w:r>
      <w:r w:rsidRPr="007C7518">
        <w:rPr>
          <w:rFonts w:asciiTheme="majorBidi" w:hAnsiTheme="majorBidi" w:cstheme="majorBidi"/>
        </w:rPr>
        <w:t xml:space="preserve">«дорожной картой» </w:t>
      </w:r>
      <w:r w:rsidRPr="007C7518">
        <w:t xml:space="preserve">по ИТС на </w:t>
      </w:r>
      <w:r w:rsidR="00E12127">
        <w:br/>
      </w:r>
      <w:r w:rsidRPr="007C7518">
        <w:t>2012–2020 годы, истек, на своей восемьдесят второй сессии КВТ (ECE/TRANS/294, п</w:t>
      </w:r>
      <w:r w:rsidR="00FF7416">
        <w:t>. </w:t>
      </w:r>
      <w:r w:rsidRPr="007C7518">
        <w:t>32) решил, что было бы целесообразно подготовить обновленную «дорожную карту» по ИТС, и в этой связи просил секретариат в тесном сотрудничестве с соответствующими рабочими группами и вспомогательными органами подготовить ее для рассмотрения соответствующими рабочими группами и Бюро КВТ и возможного принятия на восемьдесят третьей сессии Комитета.</w:t>
      </w:r>
    </w:p>
    <w:p w14:paraId="23A51771" w14:textId="77777777" w:rsidR="00021101" w:rsidRPr="007C7518" w:rsidRDefault="00021101" w:rsidP="00981BFB">
      <w:pPr>
        <w:pStyle w:val="SingleTxtG"/>
      </w:pPr>
      <w:r w:rsidRPr="007C7518">
        <w:t>4.</w:t>
      </w:r>
      <w:r w:rsidRPr="007C7518">
        <w:tab/>
        <w:t>В соответствии с этим решением секретариат ЕЭК в тесном сотрудничестве с соответствующими рабочими группами и вспомогательными органами инициировал деятельность по подготовке пересмотра «дорожной карты» ЕЭК ООН по ИТС. Секретариат провел консультации с сопредседателями неофициальной рабочей группы по ИТС на основе существующей «дорожной карты» на 2012–2020 годы и запросил указания относительно необходимых поправок. Затем секретариат организовал консультации рабочих групп и вспомогательных органов и обратился к заинтересованным сторонам с просьбой представить свои материалы, используя онлайновые инструменты коллективной работы. Все многочисленные комментарии к проекту, которые были получены</w:t>
      </w:r>
      <w:r w:rsidR="00FF7416">
        <w:t>,</w:t>
      </w:r>
      <w:r w:rsidRPr="007C7518">
        <w:t xml:space="preserve"> несмотря на сбои, вызванные пандемией </w:t>
      </w:r>
      <w:r w:rsidR="00FF7416">
        <w:br/>
      </w:r>
      <w:r w:rsidRPr="007C7518">
        <w:t>COVID-19, были учтены. Предлагаемый ниже текст является результатом описанного процесса по состоянию на 14 декабря 2020 года на основе редакции, рассмотренной Бюро КВТ, и с учетом последних предложений Председателя WP.1.</w:t>
      </w:r>
    </w:p>
    <w:p w14:paraId="0F811834" w14:textId="77777777" w:rsidR="00021101" w:rsidRPr="007C7518" w:rsidRDefault="00021101" w:rsidP="00E12127">
      <w:pPr>
        <w:pStyle w:val="HChG"/>
      </w:pPr>
      <w:r w:rsidRPr="007C7518">
        <w:tab/>
        <w:t>II.</w:t>
      </w:r>
      <w:r w:rsidRPr="007C7518">
        <w:tab/>
        <w:t>«Дорожная карта» ЕЭК ООН по интеллектуальным транспортным системам на 2021–2025 годы</w:t>
      </w:r>
    </w:p>
    <w:p w14:paraId="668A47AC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5.</w:t>
      </w:r>
      <w:r w:rsidRPr="007C7518">
        <w:tab/>
        <w:t>Настоящая «дорожная карта» охватывает 18 направлений деятельности в качестве ориентира для работы КВТ в области ИТС на период 2021–2025 годов.</w:t>
      </w:r>
    </w:p>
    <w:p w14:paraId="61EC87F2" w14:textId="77777777" w:rsidR="00021101" w:rsidRPr="007C7518" w:rsidRDefault="00021101" w:rsidP="00981BFB">
      <w:pPr>
        <w:pStyle w:val="H1G"/>
      </w:pPr>
      <w:r w:rsidRPr="007C7518">
        <w:tab/>
      </w:r>
      <w:r w:rsidRPr="007C7518">
        <w:tab/>
        <w:t xml:space="preserve">Направление деятельности 1 </w:t>
      </w:r>
      <w:r w:rsidR="00981BFB" w:rsidRPr="00981BFB">
        <w:t>—</w:t>
      </w:r>
      <w:r w:rsidRPr="007C7518">
        <w:t xml:space="preserve"> принятие общего определения для</w:t>
      </w:r>
      <w:r w:rsidR="00981BFB">
        <w:rPr>
          <w:lang w:val="en-US"/>
        </w:rPr>
        <w:t> </w:t>
      </w:r>
      <w:r w:rsidRPr="007C7518">
        <w:t>ИТС</w:t>
      </w:r>
    </w:p>
    <w:p w14:paraId="4A282F6C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6.</w:t>
      </w:r>
      <w:r w:rsidRPr="007C7518">
        <w:tab/>
        <w:t>Под ИТС обычно понимают системы внутреннего транспорта, к которым в целях расширения мобильности применяются информационно-коммуникационные технологии. ИТС включают в себя информационно-коммуникационные технологии (ИКТ) и специально предназначенные для ИТС приложения, технологии и средства связи.</w:t>
      </w:r>
    </w:p>
    <w:p w14:paraId="02B01A47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lastRenderedPageBreak/>
        <w:t>7.</w:t>
      </w:r>
      <w:r w:rsidRPr="007C7518">
        <w:tab/>
        <w:t xml:space="preserve">Однако концепция сферы охвата и характера рамок для сбора, обработки, передачи и распространения информации, необходимой для создания ИТС, формировалась различными способами ввиду различий в экономических приоритетах и приоритетах в области развития заинтересованных правительств и учреждений. Соответственно, это может привести к путанице </w:t>
      </w:r>
      <w:r w:rsidRPr="007C7518">
        <w:rPr>
          <w:rFonts w:eastAsiaTheme="minorEastAsia"/>
          <w:lang w:eastAsia="zh-CN" w:bidi="ar-TN"/>
        </w:rPr>
        <w:t>на межгосударственном уровне</w:t>
      </w:r>
      <w:r w:rsidRPr="007C7518">
        <w:t>. Для</w:t>
      </w:r>
      <w:r w:rsidR="00FF7416">
        <w:t> </w:t>
      </w:r>
      <w:r w:rsidRPr="007C7518">
        <w:t xml:space="preserve">улучшения перспектив трансграничного сотрудничества и координации крайне желательно разработать и одобрить согласованное определение. </w:t>
      </w:r>
    </w:p>
    <w:p w14:paraId="38ECD9AE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8.</w:t>
      </w:r>
      <w:r w:rsidRPr="007C7518">
        <w:tab/>
        <w:t>В качестве глобального партнера ЕЭК старается содействовать диалогу о внедрении ИТС и с этой целью стремится внести вклад в поиск общего определения, которое могло бы использоваться всеми заинтересованными сторонами.</w:t>
      </w:r>
    </w:p>
    <w:p w14:paraId="7167B16A" w14:textId="77777777" w:rsidR="00021101" w:rsidRPr="007C7518" w:rsidRDefault="00021101" w:rsidP="00981BFB">
      <w:pPr>
        <w:pStyle w:val="H1G"/>
      </w:pPr>
      <w:r w:rsidRPr="007C7518">
        <w:tab/>
      </w:r>
      <w:r w:rsidRPr="007C7518">
        <w:tab/>
        <w:t xml:space="preserve">Направление деятельности 2 </w:t>
      </w:r>
      <w:r w:rsidR="00981BFB">
        <w:rPr>
          <w:lang w:val="en-US"/>
        </w:rPr>
        <w:t>—</w:t>
      </w:r>
      <w:r w:rsidRPr="007C7518">
        <w:t xml:space="preserve"> согласование политики</w:t>
      </w:r>
    </w:p>
    <w:p w14:paraId="320E321C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9.</w:t>
      </w:r>
      <w:r w:rsidRPr="007C7518">
        <w:tab/>
        <w:t xml:space="preserve">Отсутствие согласованной политики внедрения ИТС на глобальном уровне может затруднить применение имеющихся подходов. Их </w:t>
      </w:r>
      <w:r w:rsidRPr="007C7518">
        <w:rPr>
          <w:rFonts w:eastAsiaTheme="minorEastAsia"/>
          <w:lang w:eastAsia="zh-CN" w:bidi="ar-TN"/>
        </w:rPr>
        <w:t>реализация</w:t>
      </w:r>
      <w:r w:rsidRPr="007C7518">
        <w:t xml:space="preserve"> должна начаться уже сейчас с той оговоркой, что выбранные подходы не должны излишне затруднять или усложнять будущий переход на использование более современных ИКТ.</w:t>
      </w:r>
    </w:p>
    <w:p w14:paraId="65A526B9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10.</w:t>
      </w:r>
      <w:r w:rsidRPr="007C7518">
        <w:tab/>
        <w:t>В этом контексте ЕЭК предлагает удобную платформу в виде своих межправительственных структур (рабочие группы КВТ), мандат которых включает формирование безопасной, эффективной и устойчивой политики в увязке со специальными правовыми документами в целях руководства и сотрудничества в разработке таких ключевых стратегий в области ИТС, как стратегии согласования и внедрения. Эта уникальная оперативная структура позволяет более эффективно осуществлять планирование и координацию инфраструктуры и услуг ИТС, а также успешно внедрять их в соответствии с техническими регламентами и правовыми документами. После применения на национальном уровне концепция ИТС ЕЭК, изложенная в настоящей «дорожной карте», станет одним из инструментов для обеспечения надежных, безопасных и бесперебойных грузовых и пассажирских перевозок на глобальном уровне.</w:t>
      </w:r>
    </w:p>
    <w:p w14:paraId="0BCB7D26" w14:textId="77777777" w:rsidR="00021101" w:rsidRPr="007C7518" w:rsidRDefault="00021101" w:rsidP="00981BFB">
      <w:pPr>
        <w:pStyle w:val="H1G"/>
      </w:pPr>
      <w:r w:rsidRPr="007C7518">
        <w:tab/>
      </w:r>
      <w:r w:rsidRPr="007C7518">
        <w:tab/>
        <w:t xml:space="preserve">Направление деятельности 3 </w:t>
      </w:r>
      <w:r w:rsidR="00981BFB">
        <w:rPr>
          <w:lang w:val="en-US"/>
        </w:rPr>
        <w:t>—</w:t>
      </w:r>
      <w:r w:rsidRPr="007C7518">
        <w:t xml:space="preserve"> налаживание международного сотрудничества</w:t>
      </w:r>
    </w:p>
    <w:p w14:paraId="188CCA89" w14:textId="77777777" w:rsidR="00021101" w:rsidRPr="007C7518" w:rsidRDefault="00021101" w:rsidP="00981BFB">
      <w:pPr>
        <w:pStyle w:val="SingleTxtG"/>
      </w:pPr>
      <w:r w:rsidRPr="007C7518">
        <w:t>11.</w:t>
      </w:r>
      <w:r w:rsidRPr="007C7518">
        <w:tab/>
        <w:t>Состояние и осуществление «дорожной карты» ЕЭК ООН по ИТС на период до 2020 года показали, что правительства и заинтересованные стороны поддерживают работу ЕЭК в этой области, особенно в том, что касается вопросов политики и регулирования, поскольку ИТС являются катализатором развития подключенной, кооперативной и автоматизированной мобильности предстоящих десятилетий. ИТС</w:t>
      </w:r>
      <w:r w:rsidR="00FF7416">
        <w:t> </w:t>
      </w:r>
      <w:r w:rsidRPr="007C7518">
        <w:t>позволят повысить безопасность дорожного движения за счет сокращения числа жертв на дорогах, как это провозглашено в программе Десятилетия действий по обеспечению безопасности дорожного движения на 2020–2030 годы. Они будут способствовать охране окружающей среды, энергоэффективности, интермодальности и оптимизации логистических операций. Они обеспечат необходимые результаты для выполнения задач Повестки дня Организации Объединенных Наций на период до 2030</w:t>
      </w:r>
      <w:r w:rsidR="00FF7416">
        <w:t> </w:t>
      </w:r>
      <w:r w:rsidRPr="007C7518">
        <w:t>года, так как они способствуют достижению связанных с транспортом целей для обеспечения безопасной, устойчивой и инклюзивной мобильности, а также повышения качества жизни. Кроме того, выполнение ЕЭК связующей функции в качестве нормативно-правовой платформы для проведения согласованной политики в области транспорта показало свое основополагающее значение, особенно в плане трансграничного международного сотрудничества со странами соседних регионов</w:t>
      </w:r>
      <w:r w:rsidR="00FF7416">
        <w:t> </w:t>
      </w:r>
      <w:r w:rsidRPr="007C7518">
        <w:t xml:space="preserve">ЕЭК, не входящими в Европейский союз. </w:t>
      </w:r>
    </w:p>
    <w:p w14:paraId="6C42B84B" w14:textId="77777777" w:rsidR="00021101" w:rsidRPr="007C7518" w:rsidRDefault="00021101" w:rsidP="00981BFB">
      <w:pPr>
        <w:pStyle w:val="H1G"/>
      </w:pPr>
      <w:r w:rsidRPr="007C7518">
        <w:lastRenderedPageBreak/>
        <w:tab/>
      </w:r>
      <w:r w:rsidRPr="007C7518">
        <w:tab/>
        <w:t xml:space="preserve">Направление деятельности 4 </w:t>
      </w:r>
      <w:r w:rsidR="00981BFB" w:rsidRPr="00981BFB">
        <w:t>—</w:t>
      </w:r>
      <w:r w:rsidRPr="007C7518">
        <w:t xml:space="preserve"> </w:t>
      </w:r>
      <w:r w:rsidRPr="007C7518">
        <w:rPr>
          <w:rFonts w:eastAsiaTheme="minorEastAsia"/>
          <w:lang w:eastAsia="zh-CN" w:bidi="ar-TN"/>
        </w:rPr>
        <w:t>о</w:t>
      </w:r>
      <w:r w:rsidRPr="007C7518">
        <w:t>блегчение эксплуатационной совместимости с помощью эталонной архитектуры ИТС</w:t>
      </w:r>
    </w:p>
    <w:p w14:paraId="56A4FCDF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12.</w:t>
      </w:r>
      <w:r w:rsidRPr="007C7518">
        <w:tab/>
        <w:t xml:space="preserve">Инновационные цифровые технологии в различных областях транспорта стремительно развиваются. С учетом того, что цикл разработки и промышленного развития инновационных технологий зачастую короче, чем цикл разработки политики, есть вероятность отставания со стороны национальных нормативных органов. Это особенно очевидно на международном уровне и может привести к технической фрагментации и, в конечном счете, к проблемам эксплуатационной совместимости внутри стран и между ними. Поэтому для обеспечения, в частности, безопасности всех участников дорожного движения требуются усилия по разработке и осуществлению руководящих принципов, правил и соглашений о технической и технологической совместимости и </w:t>
      </w:r>
      <w:r w:rsidRPr="007C7518">
        <w:rPr>
          <w:rFonts w:eastAsiaTheme="minorEastAsia"/>
          <w:lang w:eastAsia="zh-CN" w:bidi="ar-TN"/>
        </w:rPr>
        <w:t>нейтральности</w:t>
      </w:r>
      <w:r w:rsidRPr="007C7518">
        <w:t xml:space="preserve"> на основе данных и результатов научных исследований.</w:t>
      </w:r>
    </w:p>
    <w:p w14:paraId="1285D8F2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13.</w:t>
      </w:r>
      <w:r w:rsidRPr="007C7518">
        <w:tab/>
        <w:t>Подходящие варианты эталонной архитектуры ИТС могут использоваться для определения и описания услуг ИТС путем идентификации интерфейсов в рамках всей системы систем ИТС, которые в состоянии поддерживать эксплуатационную совместимость на уровне инфраструктуры ИТС, транспортных средств и других мобильных участников системы перевозок и между ними, наряду с соответствующими техническими стандартами для ИКТ и ИТС в целях содействия эксплуатационной совместимости и кибербезопасности. Различные виды эталонной архитектуры могут обеспечивать идентификацию интерфейсов для эксплуатационной совместимости, одновременно поддерживая необходимую региональную и локальную адаптацию</w:t>
      </w:r>
      <w:r w:rsidR="00503339">
        <w:t> </w:t>
      </w:r>
      <w:r w:rsidRPr="007C7518">
        <w:t>ИТС. Например, Министерство транспорта США выпускает Справочное руководство по архитектуре для кооперативных и интеллектуальных транспортных систем (ARC-IT)</w:t>
      </w:r>
      <w:r w:rsidRPr="007C7518">
        <w:rPr>
          <w:rStyle w:val="aa"/>
          <w:color w:val="000000"/>
        </w:rPr>
        <w:footnoteReference w:id="1"/>
      </w:r>
      <w:r w:rsidRPr="007C7518">
        <w:t>, в котором указаны около 140 услуг ИТС, а также наборы сопутствующего программного обеспечения, которые могут быть использованы любыми заинтересованными сторонами, внедряющими ИТС, для разработки собственных региональных и проектных видов архитектуры ИТС в целях поддержки необходимых услуг и желаемого уровня эксплуатационной совместимости. В</w:t>
      </w:r>
      <w:r w:rsidR="00503339">
        <w:t> </w:t>
      </w:r>
      <w:r w:rsidRPr="007C7518">
        <w:t>настоящее время международные услуги и стандарты ИКТ/ИТС представлены в девятой редакции Справочного руководства (ARC-IT Version 9) на основе материалов, полученных в рамках международного сотрудничества с Австралией, Европой, Канадой и Японией.</w:t>
      </w:r>
    </w:p>
    <w:p w14:paraId="33E07EE7" w14:textId="77777777" w:rsidR="00021101" w:rsidRPr="007C7518" w:rsidRDefault="00021101" w:rsidP="0002110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 w:right="1134"/>
        <w:jc w:val="both"/>
        <w:rPr>
          <w:color w:val="000000"/>
        </w:rPr>
      </w:pPr>
      <w:r w:rsidRPr="007C7518">
        <w:t>14.</w:t>
      </w:r>
      <w:r w:rsidRPr="007C7518">
        <w:tab/>
        <w:t>Обновленная «дорожная карта» ЕЭК ООН для ИТС направлена на выработку совместно принятой стратегии и обеспечение ее распространения и осуществления в</w:t>
      </w:r>
      <w:r w:rsidR="00503339">
        <w:t> </w:t>
      </w:r>
      <w:r w:rsidRPr="007C7518">
        <w:t xml:space="preserve">56 государствах </w:t>
      </w:r>
      <w:r w:rsidR="00E12127" w:rsidRPr="00E12127">
        <w:t>—</w:t>
      </w:r>
      <w:r w:rsidRPr="007C7518">
        <w:t xml:space="preserve"> членах ЕЭК и за ее пределами.</w:t>
      </w:r>
    </w:p>
    <w:p w14:paraId="4671263B" w14:textId="77777777" w:rsidR="00021101" w:rsidRPr="007C7518" w:rsidRDefault="00021101" w:rsidP="00981BFB">
      <w:pPr>
        <w:pStyle w:val="H1G"/>
      </w:pPr>
      <w:r w:rsidRPr="007C7518">
        <w:tab/>
      </w:r>
      <w:r w:rsidRPr="007C7518">
        <w:tab/>
        <w:t xml:space="preserve">Направление деятельности 5 </w:t>
      </w:r>
      <w:r w:rsidR="00981BFB">
        <w:rPr>
          <w:lang w:val="en-US"/>
        </w:rPr>
        <w:t>—</w:t>
      </w:r>
      <w:r w:rsidRPr="007C7518">
        <w:t xml:space="preserve"> обеспечение защиты данных </w:t>
      </w:r>
    </w:p>
    <w:p w14:paraId="7DD475C1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15.</w:t>
      </w:r>
      <w:r w:rsidRPr="007C7518">
        <w:tab/>
        <w:t>Проблемы безопасности и конфиденциальности могут стать потенциальными препятствиями для внедрения ИТС. Потеря информации и опасность кражи личных данных могут уменьшить потенциальную эффективность и преимущества ИТС. ИТС</w:t>
      </w:r>
      <w:r w:rsidR="00503339">
        <w:t> </w:t>
      </w:r>
      <w:r w:rsidRPr="007C7518">
        <w:t>должны внедряться на основе жизнеспособных экономических моделей, требующих последовательных и основанных на данных руководящих принципов, стандартов и нормативных положений об ответственности и высочайшем уровне безопасности личных данных, гарантируемом в течение всего жизненного цикла технологии на беспристрастной основе.</w:t>
      </w:r>
    </w:p>
    <w:p w14:paraId="5AB66286" w14:textId="77777777" w:rsidR="00021101" w:rsidRPr="007C7518" w:rsidRDefault="00021101" w:rsidP="00981BFB">
      <w:pPr>
        <w:pStyle w:val="H1G"/>
      </w:pPr>
      <w:r w:rsidRPr="007C7518">
        <w:tab/>
      </w:r>
      <w:r w:rsidRPr="007C7518">
        <w:tab/>
        <w:t xml:space="preserve">Направление деятельности 6 </w:t>
      </w:r>
      <w:r w:rsidR="00981BFB" w:rsidRPr="00981BFB">
        <w:t>—</w:t>
      </w:r>
      <w:r w:rsidRPr="007C7518">
        <w:t xml:space="preserve"> содействие развитию систем связи между транспортными средствами и инфраструктурой</w:t>
      </w:r>
    </w:p>
    <w:p w14:paraId="21EEA0CC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16.</w:t>
      </w:r>
      <w:r w:rsidRPr="007C7518">
        <w:tab/>
        <w:t xml:space="preserve">Всемирный форум для согласования правил в области транспортных средств (WP.29) поощряет внедрение технологических инноваций для транспортных средств </w:t>
      </w:r>
      <w:r w:rsidRPr="007C7518">
        <w:lastRenderedPageBreak/>
        <w:t>на основе руководящих принципов, добровольных стандартов и, при необходимости, правил, применимых в мировом масштабе.</w:t>
      </w:r>
    </w:p>
    <w:p w14:paraId="5A9B7E16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17.</w:t>
      </w:r>
      <w:r w:rsidRPr="007C7518">
        <w:tab/>
        <w:t>Технологии автоматизации кооперативного вождения включают в себя интеллектуальные транспортные устройства, связанные с инфраструктурой и транспортными средствами, которые активно «сотрудничают» в целях предоставления той или иной общей услуги. Следовательно, в кооперативных системах связь может устанавливаться между транспортными средствами, между транспортными средствами и инфраструктурой, или в обеих плоскостях.</w:t>
      </w:r>
    </w:p>
    <w:p w14:paraId="1A40F2E1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18.</w:t>
      </w:r>
      <w:r w:rsidRPr="007C7518">
        <w:tab/>
        <w:t>Учитывая, что автоматические системы помощи при вождении (АСПВ) являются важным технологическим достижениям в области безопасности транспортных средств, экономически выгодная оптимизация их потенциальных преимуществ имеет решающее значение. В 2002 году WP.29 учредила неофициальную группу по ИТС для рассмотрения необходимости создания нормативной базы по АСПВ, которые все чаще используются на транспортных средствах.</w:t>
      </w:r>
    </w:p>
    <w:p w14:paraId="48B24FE5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19.</w:t>
      </w:r>
      <w:r w:rsidRPr="007C7518">
        <w:tab/>
        <w:t xml:space="preserve">Ожидается, что разработка положений для таких </w:t>
      </w:r>
      <w:bookmarkStart w:id="0" w:name="_Hlk59984974"/>
      <w:r w:rsidRPr="007C7518">
        <w:t xml:space="preserve">АСПВ, как автоматизированные функции рулевого управления (АФРУ) и системы автоматического экстренного торможения (САЭТ), </w:t>
      </w:r>
      <w:bookmarkEnd w:id="0"/>
      <w:r w:rsidRPr="007C7518">
        <w:t xml:space="preserve">которые задействовались только в чрезвычайных ситуациях, приведет к появлению проектов предложений по нормативному тексту, который примет форму новых самостоятельных </w:t>
      </w:r>
      <w:r w:rsidR="00E12127">
        <w:br/>
      </w:r>
      <w:r w:rsidRPr="007C7518">
        <w:t>правил ООН в рамках Соглашения 1958 года. Согласно оценке воздействия, проведенной Европейской комиссией, обязательное введение САЭТ, возможно, позволит ежегодно предотвращать порядка 5000 смертей и 35 000 серьезных травм в 27 странах — членах ЕС.</w:t>
      </w:r>
    </w:p>
    <w:p w14:paraId="7BAFD9D5" w14:textId="77777777" w:rsidR="00021101" w:rsidRPr="007C7518" w:rsidRDefault="00021101" w:rsidP="00981BFB">
      <w:pPr>
        <w:pStyle w:val="SingleTxtG"/>
      </w:pPr>
      <w:r w:rsidRPr="007C7518">
        <w:t>20.</w:t>
      </w:r>
      <w:r w:rsidRPr="007C7518">
        <w:tab/>
      </w:r>
      <w:r w:rsidRPr="007C7518">
        <w:rPr>
          <w:rFonts w:eastAsiaTheme="minorEastAsia"/>
          <w:lang w:eastAsia="zh-CN" w:bidi="ar-TN"/>
        </w:rPr>
        <w:t>Для содействия применению</w:t>
      </w:r>
      <w:r w:rsidRPr="007C7518">
        <w:t xml:space="preserve"> согласованного и комплексного подхода к быстрому внедрению современных автомобильных технологий в целях поддержки ИТС в архитектуре систем транспорта, управления дорожным движением и логистики важно, чтобы соответствующие рабочие группы координировали свою деятельность. Рабочие группы КВТ будут сотрудничать во избежание задержек и дублирования усилий и обмениваться передовым опытом. </w:t>
      </w:r>
    </w:p>
    <w:p w14:paraId="2444B1D3" w14:textId="77777777" w:rsidR="00021101" w:rsidRPr="007C7518" w:rsidRDefault="00021101" w:rsidP="00981BFB">
      <w:pPr>
        <w:pStyle w:val="H1G"/>
      </w:pPr>
      <w:r w:rsidRPr="007C7518">
        <w:tab/>
      </w:r>
      <w:r w:rsidRPr="007C7518">
        <w:tab/>
        <w:t xml:space="preserve">Направление деятельности 7 </w:t>
      </w:r>
      <w:r w:rsidR="00981BFB" w:rsidRPr="00981BFB">
        <w:t>—</w:t>
      </w:r>
      <w:r w:rsidRPr="007C7518">
        <w:t xml:space="preserve"> технологии связи между транспортными средствами </w:t>
      </w:r>
    </w:p>
    <w:p w14:paraId="7A669F6D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21.</w:t>
      </w:r>
      <w:r w:rsidRPr="007C7518">
        <w:tab/>
        <w:t>Связь между транспортными средствами (V2V) можно определить как кооперативный одноранговый обмен данными между транспортными средствами и с переносными устройствами пассажиров с помощью беспроводной технологии с упором на обеспечение безопасности при столкновении и общественной безопасности, системной эффективности и мобильности.</w:t>
      </w:r>
    </w:p>
    <w:p w14:paraId="4DFF0624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22.</w:t>
      </w:r>
      <w:r w:rsidRPr="007C7518">
        <w:tab/>
        <w:t>Предполагается, что в кооперативных системах будет использоваться выделенный спектр частот без вредных помех от других типов устройств. Кооперативные системы связи представляют собой высокоспециализированные подклассы технологий Wi-Fi или сотовой связи и позволяют получить представление об угрозах и опасностях, возникающих на проезжей части по всему периметру транспортного средства, с тем чтобы водитель, пешеход или транспортное средство могли принять упреждающие меры во избежание столкновений, одновременно уведомляя других пользователей системы V2V, находящихся в этом районе.</w:t>
      </w:r>
    </w:p>
    <w:p w14:paraId="4B9B827F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23.</w:t>
      </w:r>
      <w:r w:rsidRPr="007C7518">
        <w:tab/>
        <w:t>Тесное сотрудничество между ЕЭК, Международным союзом электросвязи (МСЭ), Международной организацией по стандартизации (ИСО) и другими организациями, занимающимися разработкой стандартов ИТС, имеет важное значение и будет и далее расширяться для проработки вопросов, касающихся частот и международных стандартов. Орган ЕЭК, занимающийся кооперативными системами обеспечения безопасности на транспорте и информационными технологиями, будет взаимодействовать с правительствами и глобальными партнерами.</w:t>
      </w:r>
    </w:p>
    <w:p w14:paraId="27EA1FCD" w14:textId="77777777" w:rsidR="00021101" w:rsidRPr="007C7518" w:rsidRDefault="00021101" w:rsidP="00981BFB">
      <w:pPr>
        <w:pStyle w:val="H1G"/>
      </w:pPr>
      <w:r w:rsidRPr="007C7518">
        <w:lastRenderedPageBreak/>
        <w:tab/>
      </w:r>
      <w:r w:rsidRPr="007C7518">
        <w:tab/>
        <w:t xml:space="preserve">Направление деятельности 8 </w:t>
      </w:r>
      <w:r w:rsidR="00981BFB" w:rsidRPr="00981BFB">
        <w:t>—</w:t>
      </w:r>
      <w:r w:rsidRPr="007C7518">
        <w:t xml:space="preserve"> повышение безопасности дорожного движения</w:t>
      </w:r>
    </w:p>
    <w:p w14:paraId="5BD2B0E5" w14:textId="77777777" w:rsidR="00021101" w:rsidRPr="007C7518" w:rsidRDefault="00021101" w:rsidP="00981BFB">
      <w:pPr>
        <w:pStyle w:val="SingleTxtG"/>
      </w:pPr>
      <w:r w:rsidRPr="007C7518">
        <w:t>24.</w:t>
      </w:r>
      <w:r w:rsidRPr="007C7518">
        <w:tab/>
        <w:t>ЕЭК активно участвует в продвижении решений, которые могут способствовать повышению безопасности дорожного движения на национальном, региональном и глобальном уровнях. С этой целью ЕЭК уделяет первоочередное внимание регулярному проведению специализированных мероприятий по вопросам обеспечения безопасности дорожного движения в рамках деятельности Комитета по внутреннему транспорту и соответствующих рабочих групп. Эти мероприятия, в рамках которых задействуются потенциальные возможности ИТС применительно к системам управления дорожным движением и обеспечения безопасности, установленным на транспортных средствах, направлены на пропаганду принципов безопасности дорожного движения, поддержку, просвещение и повышение осведомленности о согласованных правилах дорожного движения с уделением особого внимания уязвимым участникам дорожного движения. В этом контексте для дальнейшего повышения безопасности дорожного движения важно продолжать скоординированное и последовательное сотрудничество между Глобальным форумом по безопасности дорожного движения (WP.1) и Всемирным форумом для согласования правил в области транспортных средств (WP.29), с тем чтобы надлежащим образом учитывать эволюцию автоматических систем помощи при вождении (АСПВ), которые могут уменьшить количество человеческих ошибок и значительно повысить безопасность дорожного движения, способствуя предотвращению дорожно-транспортных происшествий, минимизации (снижению тяжести) травм в результате ДТП и оптимизации шансов на выживание с помощью систем обеспечения послеаварийной безопасности. Особое внимание ЕЭК к развитию автомобильных технологий наряду с обновлением и внедрением соответствующих рамочных основ безопасности дорожного движения будет способствовать формированию новой культуры безопасности дорожного движения во всем мире. Кроме того, это будет способствовать выполнению роли, действий и стратегии, которые поддерживает Целевой фонд ООН по безопасности дорожного движения, а</w:t>
      </w:r>
      <w:r w:rsidR="00503339">
        <w:t> </w:t>
      </w:r>
      <w:r w:rsidRPr="007C7518">
        <w:t>также работе Специального посланника Генерального секретаря ООН по безопасности дорожного движения.</w:t>
      </w:r>
    </w:p>
    <w:p w14:paraId="3CD92E96" w14:textId="77777777" w:rsidR="00021101" w:rsidRPr="007C7518" w:rsidRDefault="00021101" w:rsidP="00981BFB">
      <w:pPr>
        <w:pStyle w:val="SingleTxtG"/>
      </w:pPr>
      <w:r w:rsidRPr="007C7518">
        <w:t>25.</w:t>
      </w:r>
      <w:r w:rsidRPr="007C7518">
        <w:tab/>
        <w:t xml:space="preserve">Сейчас, как никогда ранее, прогресс в автомобильном секторе в сочетании с технологиями ИТС рассматриваются как ключевые факторы снижения количества жертв дорожно-транспортных происшествий и снижения тяжести травм при столкновениях. «Дорожная карта» призвана поддерживать пути оптимизации договаривающимися сторонами структуры и управления национальными системами обеспечения безопасности дорожного движения, а также внедрения хорошо известных пяти основных принципов </w:t>
      </w:r>
      <w:r w:rsidR="00E12127" w:rsidRPr="00E12127">
        <w:t>—</w:t>
      </w:r>
      <w:r w:rsidRPr="007C7518">
        <w:t xml:space="preserve"> безопасность участников дорожного движения, безопасность транспортных средств, безопасность инфраструктуры, реагирование на дорожно-транспортные происшествия и всеобъемлющий принцип управления безопасностью дорожного движения.</w:t>
      </w:r>
      <w:bookmarkStart w:id="1" w:name="_Hlk57891736"/>
    </w:p>
    <w:bookmarkEnd w:id="1"/>
    <w:p w14:paraId="72DD11D2" w14:textId="77777777" w:rsidR="00021101" w:rsidRPr="007C7518" w:rsidRDefault="00021101" w:rsidP="00021101">
      <w:pPr>
        <w:spacing w:after="120"/>
        <w:ind w:left="1134" w:right="1134"/>
        <w:jc w:val="both"/>
      </w:pPr>
      <w:r w:rsidRPr="007C7518">
        <w:t>26.</w:t>
      </w:r>
      <w:r w:rsidRPr="007C7518">
        <w:tab/>
        <w:t>Кроме того, в контексте развития автомобильных технологий, когда автоматизированные системы помощи при вождении задействуются в критических с точки зрения безопасности ситуациях и подают водителям предупреждающие сигналы, представляется крайне важным фиксировать общественные выгоды высокоавтоматизированных транспортных средств, поскольку они станут ключевым элементом повышения безопасности дорожного движения в предстоящие годы. Имеются данные, свидетельствующие о том, что около 85</w:t>
      </w:r>
      <w:r w:rsidR="00E12127" w:rsidRPr="00E12127">
        <w:t xml:space="preserve"> </w:t>
      </w:r>
      <w:r w:rsidR="00E12127">
        <w:t>процентов</w:t>
      </w:r>
      <w:r w:rsidRPr="007C7518">
        <w:t xml:space="preserve"> </w:t>
      </w:r>
      <w:r w:rsidR="00005309">
        <w:br/>
      </w:r>
      <w:r w:rsidRPr="007C7518">
        <w:t>дорожно-транспортных происшествий являются результатом человеческих ошибок, и скорейшее внедрение автоматизации как части комплексной интеллектуальной транспортной системы могло бы заложить основу для создания безопасной, инклюзивной и устойчивой транспортной сети на благо пользователей и нашего общества в целом.</w:t>
      </w:r>
    </w:p>
    <w:p w14:paraId="2601A39F" w14:textId="77777777" w:rsidR="00021101" w:rsidRPr="007C7518" w:rsidRDefault="00021101" w:rsidP="00981BFB">
      <w:pPr>
        <w:pStyle w:val="SingleTxtG"/>
      </w:pPr>
      <w:r w:rsidRPr="007C7518">
        <w:t>27.</w:t>
      </w:r>
      <w:r w:rsidRPr="007C7518">
        <w:tab/>
        <w:t xml:space="preserve">С этой целью все соответствующие рабочие группы, включая Глобальный форум по безопасности дорожного движения и Всемирный форум для согласования правил в области транспортных средств, могут по мере необходимости обновлять свои </w:t>
      </w:r>
      <w:r w:rsidRPr="007C7518">
        <w:lastRenderedPageBreak/>
        <w:t xml:space="preserve">повестки дня и планы работы, с тем чтобы учитывать революционное развитие автомобильных технологий и мобильности, своевременно предлагая соответствующие руководящие принципы для новых условий дорожного движения будущего, например в виде постановки конкретных задач для составления оперативных справочников по инновационной кооперативной и </w:t>
      </w:r>
      <w:r w:rsidRPr="007C7518">
        <w:rPr>
          <w:rFonts w:eastAsiaTheme="minorEastAsia"/>
          <w:lang w:eastAsia="zh-CN" w:bidi="ar-TN"/>
        </w:rPr>
        <w:t>подключенной</w:t>
      </w:r>
      <w:r w:rsidRPr="007C7518">
        <w:t xml:space="preserve"> системе дорожного движения, и принимая во внимание потребности уязвимых участников дорожного движения и содействуя инклюзивности; или рамочную основу для новой концепции </w:t>
      </w:r>
      <w:r w:rsidR="00E12127">
        <w:br/>
      </w:r>
      <w:r w:rsidRPr="007C7518">
        <w:t>обучения водителей в целях обеспечения безопасного взаимодействия высокоавтоматизированных транспортных средств в условиях дорожного движения.</w:t>
      </w:r>
    </w:p>
    <w:p w14:paraId="27EEC7D4" w14:textId="77777777" w:rsidR="00021101" w:rsidRPr="007C7518" w:rsidRDefault="00021101" w:rsidP="00981BFB">
      <w:pPr>
        <w:pStyle w:val="H1G"/>
      </w:pPr>
      <w:r w:rsidRPr="007C7518">
        <w:tab/>
      </w:r>
      <w:r w:rsidRPr="007C7518">
        <w:tab/>
        <w:t xml:space="preserve">Направление деятельности 9 </w:t>
      </w:r>
      <w:r w:rsidR="00981BFB" w:rsidRPr="00981BFB">
        <w:t>—</w:t>
      </w:r>
      <w:r w:rsidRPr="007C7518">
        <w:t xml:space="preserve"> обеспечение более безопасных перевозок опасных грузов</w:t>
      </w:r>
    </w:p>
    <w:p w14:paraId="0E74EB48" w14:textId="77777777" w:rsidR="00021101" w:rsidRPr="007C7518" w:rsidRDefault="00021101" w:rsidP="00981BFB">
      <w:pPr>
        <w:pStyle w:val="SingleTxtG"/>
        <w:rPr>
          <w:color w:val="000000"/>
        </w:rPr>
      </w:pPr>
      <w:r w:rsidRPr="007C7518">
        <w:t>28.</w:t>
      </w:r>
      <w:r w:rsidRPr="007C7518">
        <w:tab/>
        <w:t>Рабочая группа по перевозкам опасных грузов (WP.15) продолжит рассмотрение вопроса о том, каким образом такие приложения ИТС, как телематические системы, могли бы использоваться для повышения надежности и безопасности и облегчения перевозок опасных грузов путем стандартизации и использования систем мониторинга и отслеживания в результате объединения усилий грузоотправителей, транспортных операторов, аварийно-спасательных служб и право</w:t>
      </w:r>
      <w:r w:rsidRPr="007C7518">
        <w:rPr>
          <w:rFonts w:eastAsiaTheme="minorEastAsia"/>
          <w:lang w:eastAsia="zh-CN" w:bidi="ar-TN"/>
        </w:rPr>
        <w:t>охрани</w:t>
      </w:r>
      <w:r w:rsidRPr="007C7518">
        <w:t>тельных, контрольных и регулятивных органов.</w:t>
      </w:r>
    </w:p>
    <w:p w14:paraId="3672E5C6" w14:textId="77777777" w:rsidR="00021101" w:rsidRPr="007C7518" w:rsidRDefault="00021101" w:rsidP="00981BFB">
      <w:pPr>
        <w:pStyle w:val="H1G"/>
      </w:pPr>
      <w:r w:rsidRPr="007C7518">
        <w:tab/>
      </w:r>
      <w:r w:rsidRPr="007C7518">
        <w:tab/>
        <w:t xml:space="preserve">Направление деятельности 10 </w:t>
      </w:r>
      <w:r w:rsidR="00981BFB" w:rsidRPr="00981BFB">
        <w:t>—</w:t>
      </w:r>
      <w:r w:rsidRPr="007C7518">
        <w:t xml:space="preserve"> интеграция с железнодорожным транспортом </w:t>
      </w:r>
    </w:p>
    <w:p w14:paraId="70E5B4BE" w14:textId="77777777" w:rsidR="00021101" w:rsidRPr="007C7518" w:rsidRDefault="00021101" w:rsidP="00981BFB">
      <w:pPr>
        <w:pStyle w:val="SingleTxtG"/>
      </w:pPr>
      <w:r w:rsidRPr="007C7518">
        <w:t>29.</w:t>
      </w:r>
      <w:r w:rsidRPr="007C7518">
        <w:tab/>
        <w:t>Согласованные решения в сфере ИТС стали фундаментальным элементом повышения эффективности железнодорожных перевозок. Это видно на примере безопасности железнодорожных операций (с использованием современных систем сигнализации); способов отслеживания грузоперевозок; автоматизации продажи билетов с расширением доступности и путей мониторинга и обслуживания железнодорожной инфраструктуры. Все эти виды использования ИТС повышают конкурентоспособность железнодорожного сектора и способствуют перераспределению пассажиропотоков и грузопотоков в пользу железнодорожного транспорта.</w:t>
      </w:r>
    </w:p>
    <w:p w14:paraId="3753D8BB" w14:textId="77777777" w:rsidR="00021101" w:rsidRPr="007C7518" w:rsidRDefault="00021101" w:rsidP="00981BFB">
      <w:pPr>
        <w:pStyle w:val="SingleTxtG"/>
      </w:pPr>
      <w:r w:rsidRPr="007C7518">
        <w:t>30.</w:t>
      </w:r>
      <w:r w:rsidRPr="007C7518">
        <w:tab/>
        <w:t>Вместе с тем на уровне региона эти решения внедряются непоследовательно. Для извлечения наибольшей пользы в интересах развития интегрированного и устойчивого транспортного сектора важно, чтобы государства-члены рассмотрели вопрос о том, как лучше всего внедрять эти решения на согласованной основе во избежание того, чтобы принятые на вооружение решения вызвали обратный эффект в виде создания барьеров в этом секторе. Рабочая группа по железнодорожному транспорту наряду с проектом Трансъевропейской железнодорожной магистрали продолжит изучение этих вопросов.</w:t>
      </w:r>
    </w:p>
    <w:p w14:paraId="26AE5394" w14:textId="77777777" w:rsidR="00021101" w:rsidRPr="007C7518" w:rsidRDefault="00021101" w:rsidP="00981BFB">
      <w:pPr>
        <w:pStyle w:val="H1G"/>
      </w:pPr>
      <w:r w:rsidRPr="007C7518">
        <w:tab/>
      </w:r>
      <w:r w:rsidRPr="007C7518">
        <w:tab/>
        <w:t xml:space="preserve">Направление деятельности 11 </w:t>
      </w:r>
      <w:r w:rsidR="00981BFB" w:rsidRPr="00981BFB">
        <w:t>—</w:t>
      </w:r>
      <w:r w:rsidRPr="007C7518">
        <w:t xml:space="preserve"> интеграция с внутренним водным транспортом</w:t>
      </w:r>
    </w:p>
    <w:p w14:paraId="08C91FD9" w14:textId="77777777" w:rsidR="00021101" w:rsidRPr="007C7518" w:rsidRDefault="00021101" w:rsidP="0002110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 w:right="1134"/>
        <w:jc w:val="both"/>
        <w:rPr>
          <w:rFonts w:eastAsiaTheme="minorEastAsia"/>
        </w:rPr>
      </w:pPr>
      <w:r w:rsidRPr="007C7518">
        <w:t>31.</w:t>
      </w:r>
      <w:r w:rsidRPr="007C7518">
        <w:tab/>
        <w:t>В «Белой книге ЕЭК о прогрессе, достижениях и будущем устойчивого внутреннего водного транспорта», одобренной КВТ на его восемьдесят второй сессии, изложены следующие стратегические рекомендации, касающиеся ИТС: а)</w:t>
      </w:r>
      <w:r w:rsidR="00E12127">
        <w:t> </w:t>
      </w:r>
      <w:r w:rsidRPr="007C7518">
        <w:t>стратегическая рекомендация №</w:t>
      </w:r>
      <w:r w:rsidR="00E12127">
        <w:t> </w:t>
      </w:r>
      <w:r w:rsidRPr="007C7518">
        <w:t>5: содействие развитию и общеевропейскому использованию речных информационных служб (РИС) и других информационных технологий; и b) стратегическая рекомендация №</w:t>
      </w:r>
      <w:r w:rsidR="00E12127">
        <w:t> </w:t>
      </w:r>
      <w:r w:rsidRPr="007C7518">
        <w:t>6: содействие процессам автоматизации, цифровизации и другим инновациям в секторе внутреннего водного транспорта.</w:t>
      </w:r>
    </w:p>
    <w:p w14:paraId="26D77B76" w14:textId="77777777" w:rsidR="00021101" w:rsidRPr="007C7518" w:rsidRDefault="00021101" w:rsidP="00021101">
      <w:pPr>
        <w:pStyle w:val="SingleTxtG"/>
        <w:rPr>
          <w:rFonts w:eastAsiaTheme="minorEastAsia"/>
        </w:rPr>
      </w:pPr>
      <w:r w:rsidRPr="007C7518">
        <w:t>32.</w:t>
      </w:r>
      <w:r w:rsidRPr="007C7518">
        <w:tab/>
        <w:t xml:space="preserve">Рабочая группа по внутреннему водному транспорту (SC.3) продолжит работу по поддержке внедрения РИС и других информационных технологий на европейских внутренних водных путях путем обновления своих резолюций по РИС и их </w:t>
      </w:r>
      <w:r w:rsidRPr="007C7518">
        <w:lastRenderedPageBreak/>
        <w:t>согласования с современными международными, региональными и национальными стандартами РИС.</w:t>
      </w:r>
    </w:p>
    <w:p w14:paraId="33A8171D" w14:textId="77777777" w:rsidR="00021101" w:rsidRPr="007C7518" w:rsidRDefault="00021101" w:rsidP="0002110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 w:right="1134"/>
        <w:jc w:val="both"/>
        <w:rPr>
          <w:color w:val="000000"/>
        </w:rPr>
      </w:pPr>
      <w:r w:rsidRPr="007C7518">
        <w:t>33.</w:t>
      </w:r>
      <w:r w:rsidRPr="007C7518">
        <w:tab/>
        <w:t>В резолюции №</w:t>
      </w:r>
      <w:r w:rsidR="00005309">
        <w:t> </w:t>
      </w:r>
      <w:r w:rsidRPr="007C7518">
        <w:t>95 «Укрепление международного сотрудничества в целях поддержки развития автоматизации во внутреннем судоходстве», принятая SC.3 8</w:t>
      </w:r>
      <w:r w:rsidR="00005309">
        <w:t> </w:t>
      </w:r>
      <w:r w:rsidRPr="007C7518">
        <w:t xml:space="preserve">ноября 2019 года, и прилагаемой «дорожной карте» на период с 2020 по 2024 год «Укрепление международного сотрудничества в целях создания международных законодательных рамок для внедрения автоматизации во внутреннем судоходстве» для SC.3 и ее вспомогательного органа </w:t>
      </w:r>
      <w:r w:rsidR="00005309">
        <w:t>—</w:t>
      </w:r>
      <w:r w:rsidRPr="007C7518">
        <w:t xml:space="preserve"> Рабочей группы по унификации технических предписаний и правил безопасности на внутренних водных путях (SC.3/WP.3) намечены семь действий. В частности, они включают в себя подготовительную работу для внедрения автоматизированного внутреннего судоходства в рамках программы помощи в укреплении национального потенциала, оказываемой секретариатом ЕЭК</w:t>
      </w:r>
      <w:r w:rsidR="00E12127">
        <w:t> </w:t>
      </w:r>
      <w:r w:rsidRPr="007C7518">
        <w:t>ООН государствам-членам, и распространение информации и повышение осведомленности по вопросам автоматизации во внутреннем судоходстве и связанным с этим вопросам посредством</w:t>
      </w:r>
      <w:r w:rsidR="00005309">
        <w:t>:</w:t>
      </w:r>
      <w:r w:rsidRPr="007C7518">
        <w:t xml:space="preserve"> а) организации рабочих совещаний и «круглых столов» по автоматизации во внутреннем судоходстве в рамках ЕЭК ООН с привлечением ключевых заинтересованных сторон; и b) участия и вклада правительств, речных комиссий, международных организаций и других заинтересованных сторон в обсуждения, проводимые в формате «круглых столов» под эгидой ЕЭК ООН по вопросам, связанным с ИТС и автоматизацией.</w:t>
      </w:r>
    </w:p>
    <w:p w14:paraId="528B84AF" w14:textId="77777777" w:rsidR="00021101" w:rsidRPr="007C7518" w:rsidRDefault="00021101" w:rsidP="00E12127">
      <w:pPr>
        <w:pStyle w:val="H1G"/>
      </w:pPr>
      <w:r w:rsidRPr="007C7518">
        <w:tab/>
      </w:r>
      <w:r w:rsidRPr="007C7518">
        <w:tab/>
        <w:t xml:space="preserve">Направление деятельности 12 </w:t>
      </w:r>
      <w:r w:rsidR="00E12127" w:rsidRPr="00E12127">
        <w:t>—</w:t>
      </w:r>
      <w:r w:rsidRPr="007C7518">
        <w:t xml:space="preserve"> усиление интегрирующей роли ИТС в развитии различных видов транспорта</w:t>
      </w:r>
    </w:p>
    <w:p w14:paraId="4D6DFC8C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t>34.</w:t>
      </w:r>
      <w:r w:rsidRPr="007C7518">
        <w:tab/>
        <w:t>Мандат Рабочей группы по автомобильному транспорту (SC.1) включает в себя упрощение и согласование правил и требований, касающихся международных автомобильных перевозок, и соответствующих административных процедур и документации. В свою очередь мандат Рабочей группы по интермодальным перевозкам и логистике (WP.24) охватывает мониторинг правил и требований, непосредственно касающихся интермодальных перевозок. В последнее десятилетие наблюдается тенденция к цифровизации информации о грузовых автомобильных перевозках, а также об интермодальных перевозках и производственно-сбытовых цепочках, с тем чтобы повысить интеграцию и автоматизацию грузовых перевозок, логистики и мер обеспечения безопасности, а тем самым и эффективность и надежность административных процедур.</w:t>
      </w:r>
    </w:p>
    <w:p w14:paraId="0F7E71EF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t>35.</w:t>
      </w:r>
      <w:r w:rsidRPr="007C7518">
        <w:tab/>
        <w:t>Например, Дополнительный протокол к Конвенции о договоре международной дорожной перевозки грузов, касающийся электронной накладной (e-CMR), служит правовой основой для цифровизации накладных, дополняющей правовые рамки для бумажных накладных, которые широко используются с 1950-х годов. На момент составления настоящего документа использование электронных накладных осуществлялось на экспериментальной и добровольной основе. Следует надеяться, что с увеличением числа участников, присоединившихся к e-CMR, договаривающиеся стороны сочтут целесообразным принять электронные накладные в качестве стандартной практики.</w:t>
      </w:r>
    </w:p>
    <w:p w14:paraId="00E5A6F5" w14:textId="77777777" w:rsidR="00021101" w:rsidRPr="007C7518" w:rsidRDefault="00021101" w:rsidP="00E12127">
      <w:pPr>
        <w:pStyle w:val="H1G"/>
      </w:pPr>
      <w:r w:rsidRPr="007C7518">
        <w:tab/>
      </w:r>
      <w:r w:rsidRPr="007C7518">
        <w:tab/>
        <w:t xml:space="preserve">Направление деятельности 13 </w:t>
      </w:r>
      <w:r w:rsidR="00E12127" w:rsidRPr="00E12127">
        <w:t>—</w:t>
      </w:r>
      <w:r w:rsidRPr="007C7518">
        <w:t xml:space="preserve"> разработка методологий оценки экономической эффективности</w:t>
      </w:r>
    </w:p>
    <w:p w14:paraId="0542C346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t>36.</w:t>
      </w:r>
      <w:r w:rsidRPr="007C7518">
        <w:tab/>
        <w:t>Отсутствие согласованной методологии анализа экономической эффективности ИТС затрудняет внедрение инновационных решений с наибольшей совокупной общественной отдачей и может стать стимулом к использованию менее выгодных решений, что приведет к дополнительным затратам для клиентов. Необходима дополнительная информация в этой области, поскольку по общему признанию анализ экономической эффективности оказывает серьезное воздействие на планирование устойчивых транспортных систем будущего. Речь идет об инструменте, представляющем большой интерес для правительств и директивных органов.</w:t>
      </w:r>
    </w:p>
    <w:p w14:paraId="6D4A05BB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lastRenderedPageBreak/>
        <w:t>37.</w:t>
      </w:r>
      <w:r w:rsidRPr="007C7518">
        <w:tab/>
        <w:t>ЕЭК и, в частности, WP.5 поручено также проводить дополнительную работу в этой области и предоставлять руководящие указания, опираясь на предыдущие достижения и техническую помощь в разработке методологий оценки инвестиций. Министерства транспорта Канады и Соединенных Штатов обладают передовыми знаниями и опытом в этой области и могут оказать содействие. Всем правительствам и директивным органам рекомендуется обмениваться соответствующими данными и методологиями и передавать открытый исходный код и документацию, с тем чтобы ускорить совместное освоение методологий оценки экономической эффективности и ознакомление с их результатами.</w:t>
      </w:r>
    </w:p>
    <w:p w14:paraId="4BCAD033" w14:textId="77777777" w:rsidR="00021101" w:rsidRPr="007C7518" w:rsidRDefault="00021101" w:rsidP="00E12127">
      <w:pPr>
        <w:pStyle w:val="H1G"/>
      </w:pPr>
      <w:r w:rsidRPr="007C7518">
        <w:tab/>
      </w:r>
      <w:r w:rsidRPr="007C7518">
        <w:tab/>
        <w:t xml:space="preserve">Направление деятельности 14 </w:t>
      </w:r>
      <w:r w:rsidR="00E12127" w:rsidRPr="00E12127">
        <w:t>—</w:t>
      </w:r>
      <w:r w:rsidRPr="007C7518">
        <w:t xml:space="preserve"> повышение долгосрочной экологической устойчивости транспорта</w:t>
      </w:r>
    </w:p>
    <w:p w14:paraId="3EA21975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t>38.</w:t>
      </w:r>
      <w:r w:rsidRPr="007C7518">
        <w:tab/>
        <w:t>Потенциальный вклад ИТС в уменьшение загрязнения и перегруженности дорог имеет решающее значение. В январе 2011 года Отдел устойчивого транспорта ЕЭК приступил к осуществлению проекта в области изменения климата и транспорта, финансируемого по линии Счета развития Организации Объединенных Наций. Цель проекта состояла в разработке и внедрении инструмента оценки и мониторинга выбросов CO</w:t>
      </w:r>
      <w:r w:rsidRPr="007C7518">
        <w:rPr>
          <w:vertAlign w:val="subscript"/>
        </w:rPr>
        <w:t>2</w:t>
      </w:r>
      <w:r w:rsidRPr="007C7518">
        <w:t xml:space="preserve"> на внутреннем транспорте для содействия смягчению последствий изменения климата.</w:t>
      </w:r>
    </w:p>
    <w:p w14:paraId="6BB76AAD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t>39.</w:t>
      </w:r>
      <w:r w:rsidRPr="007C7518">
        <w:tab/>
        <w:t>Этот проект позволил разработать инструмент ForFITS («В интересах будущих систем внутреннего транспорта»), ориентированный в первую очередь на выбросы</w:t>
      </w:r>
      <w:r w:rsidR="00005309">
        <w:t> </w:t>
      </w:r>
      <w:r w:rsidRPr="007C7518">
        <w:t>СО</w:t>
      </w:r>
      <w:r w:rsidRPr="007C7518">
        <w:rPr>
          <w:vertAlign w:val="subscript"/>
        </w:rPr>
        <w:t>2</w:t>
      </w:r>
      <w:r w:rsidRPr="007C7518">
        <w:t xml:space="preserve"> в результате внутренних перевозок, в том числе автомобильным, железнодорожным и водным транспортом, и позволяющий на основе текущих тенденций составить прогноз в отношении объема выбросов в будущем. Этот инструмент находится в свободном доступе для всех государств </w:t>
      </w:r>
      <w:r w:rsidR="00E12127">
        <w:t>—</w:t>
      </w:r>
      <w:r w:rsidRPr="007C7518">
        <w:t xml:space="preserve"> членов Организации Объединенных Наций и используется рядом государств-членов в регионе ЕЭК. Она обеспечивает надежную основу для анализа различных сценариев устойчивого развития транспорта и разработки стратегий транспортной политики, в том числе дальнейшего развития ИТС. </w:t>
      </w:r>
    </w:p>
    <w:p w14:paraId="7684727E" w14:textId="77777777" w:rsidR="00021101" w:rsidRPr="007C7518" w:rsidRDefault="00021101" w:rsidP="00E12127">
      <w:pPr>
        <w:pStyle w:val="SingleTxtG"/>
        <w:rPr>
          <w:bCs/>
          <w:color w:val="000000"/>
        </w:rPr>
      </w:pPr>
      <w:r w:rsidRPr="007C7518">
        <w:t>40.</w:t>
      </w:r>
      <w:r w:rsidRPr="007C7518">
        <w:tab/>
        <w:t xml:space="preserve">Наши города все больше страдают от негативного воздействия транспорта на окружающую среду. Внедрение решений в области ИТС для городского транспорта имеет фундаментальное значение для долгосрочной устойчивости транспорта, в частности на основе реализации решений в области управляемой мобильности, совместного использования транспортных средств, концепции «Мобильность как услуга», автоматизации продажи билетов и таких схем, как взимание платы за въезд в перегруженную транспортом часть города, и это лишь некоторые примеры. Продолжение деятельности рабочих групп Комитета по внутреннему транспорту и Общеевропейской программы по транспорту, окружающей среде и охране </w:t>
      </w:r>
      <w:r w:rsidR="00005309">
        <w:br/>
      </w:r>
      <w:r w:rsidRPr="007C7518">
        <w:t>здоровья (ОПТОСОЗ) в этой сфере будет и далее способствовать тому, чтобы государства-члены могли наилучшим образом воспользоваться преимуществами ИТС для достижения экологических целей в рамках Повестки дня в области устойчивого развития.</w:t>
      </w:r>
    </w:p>
    <w:p w14:paraId="52295185" w14:textId="77777777" w:rsidR="00021101" w:rsidRPr="007C7518" w:rsidRDefault="00021101" w:rsidP="00005309">
      <w:pPr>
        <w:pStyle w:val="H1G"/>
      </w:pPr>
      <w:r w:rsidRPr="007C7518">
        <w:tab/>
      </w:r>
      <w:r w:rsidRPr="007C7518">
        <w:tab/>
        <w:t>Направление деятельности 15</w:t>
      </w:r>
      <w:r w:rsidR="00E12127" w:rsidRPr="00E12127">
        <w:t xml:space="preserve"> —</w:t>
      </w:r>
      <w:r w:rsidRPr="007C7518">
        <w:t xml:space="preserve"> содействие проведению аналитической работы среди Договаривающихся Сторон</w:t>
      </w:r>
    </w:p>
    <w:p w14:paraId="16293E00" w14:textId="77777777" w:rsidR="00021101" w:rsidRPr="00E12127" w:rsidRDefault="00021101" w:rsidP="00E12127">
      <w:pPr>
        <w:pStyle w:val="SingleTxtG"/>
      </w:pPr>
      <w:r w:rsidRPr="007C7518">
        <w:t>41.</w:t>
      </w:r>
      <w:r w:rsidRPr="007C7518">
        <w:tab/>
        <w:t xml:space="preserve">Каждая </w:t>
      </w:r>
      <w:r w:rsidRPr="00E12127">
        <w:t>услуга ИТС зависит от наличия магистральной сети ИКТ и вспомогательных систем, составляющих ядро инфраструктуры ИКТ.</w:t>
      </w:r>
    </w:p>
    <w:p w14:paraId="473C41F1" w14:textId="77777777" w:rsidR="00021101" w:rsidRPr="007C7518" w:rsidRDefault="00021101" w:rsidP="00E12127">
      <w:pPr>
        <w:pStyle w:val="SingleTxtG"/>
        <w:rPr>
          <w:color w:val="000000"/>
        </w:rPr>
      </w:pPr>
      <w:r w:rsidRPr="00E12127">
        <w:t>42.</w:t>
      </w:r>
      <w:r w:rsidRPr="00E12127">
        <w:tab/>
        <w:t>Успешность внедрения ИТС тесно связана с наличием инфраструктуры ИКТ, основанной на дан</w:t>
      </w:r>
      <w:r w:rsidRPr="007C7518">
        <w:t xml:space="preserve">ных. </w:t>
      </w:r>
    </w:p>
    <w:p w14:paraId="6DBAA060" w14:textId="77777777" w:rsidR="00021101" w:rsidRPr="007C7518" w:rsidRDefault="00021101" w:rsidP="00005309">
      <w:pPr>
        <w:pStyle w:val="H1G"/>
      </w:pPr>
      <w:r w:rsidRPr="007C7518">
        <w:lastRenderedPageBreak/>
        <w:tab/>
      </w:r>
      <w:r w:rsidRPr="007C7518">
        <w:tab/>
        <w:t xml:space="preserve">Направление деятельности 16 </w:t>
      </w:r>
      <w:r w:rsidR="00E12127" w:rsidRPr="00E12127">
        <w:t>—</w:t>
      </w:r>
      <w:r w:rsidRPr="007C7518">
        <w:t xml:space="preserve"> содействие наращиванию потенциала, просветительской работе и повышению информированности с уделением особого внимания странам с</w:t>
      </w:r>
      <w:r w:rsidR="00E12127">
        <w:rPr>
          <w:lang w:val="en-US"/>
        </w:rPr>
        <w:t> </w:t>
      </w:r>
      <w:r w:rsidRPr="007C7518">
        <w:t>формирующейся экономикой</w:t>
      </w:r>
    </w:p>
    <w:p w14:paraId="2BA77D4F" w14:textId="77777777" w:rsidR="00021101" w:rsidRPr="007C7518" w:rsidRDefault="00021101" w:rsidP="00E12127">
      <w:pPr>
        <w:pStyle w:val="H23G"/>
        <w:rPr>
          <w:color w:val="000000"/>
        </w:rPr>
      </w:pPr>
      <w:r w:rsidRPr="007C7518">
        <w:tab/>
        <w:t>a)</w:t>
      </w:r>
      <w:r w:rsidRPr="007C7518">
        <w:tab/>
        <w:t>Оказание помощи правительствам</w:t>
      </w:r>
    </w:p>
    <w:p w14:paraId="537F120B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t>43.</w:t>
      </w:r>
      <w:r w:rsidRPr="007C7518">
        <w:tab/>
        <w:t>Основной целью ЕЭК является содействие экономической интеграции. С этой целью она проводит анализ, предоставляет правительствам консультации по вопросам политики и оказывает им помощь; она поддерживает глобальные мандаты Организации Объединенных Наций в сфере экономики в сотрудничестве с другими глобальными игроками и ключевыми заинтересованными сторонами. С учетом этого мандата Отдел устойчивого транспорта готов оказывать правительствам и заинтересованным сторонам помощь во внедрении ИТС. Это может осуществляться на основе рабочих совещаний по наращиванию потенциала, а также в сотрудничестве с другими региональными комиссиями, такими как Экономическая и социальная комиссия для Азии и Тихого океана (ЭСКАТО), Экономическая комиссия для Латинской Америки и Карибского бассейна (ЭКЛАК), Экономическая комиссия для Африки (ЭКА) и Экономическая и социальная комиссия для Западной Азии (ЭСКЗА).</w:t>
      </w:r>
    </w:p>
    <w:p w14:paraId="4CE421BD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t>44.</w:t>
      </w:r>
      <w:r w:rsidRPr="007C7518">
        <w:tab/>
        <w:t>Рост объемов автомобильных перевозок по-прежнему значителен, особенно в странах с формирующейся экономикой. Он сопровождается быстрой урбанизацией, которая, как ожидается, будет продолжаться теми же темпами и в будущем. Растущая концентрация населения в городах сопровождается ростом таких социальных проблем, как обострение перегруженности дорог, увеличение загрязнения воздуха и рост числа дорожно-транспортных происшествий. Однако эти изменения затрагивают не только городские районы. Рост объемов автомобильных перевозок может превысить возможности существующей инфраструктуры, и может потребоваться дополнительная оптимизация современной системы управления транспортом. Во всех этих областях ИТС могут предложить осуществимые на практике решения.</w:t>
      </w:r>
    </w:p>
    <w:p w14:paraId="66EF1F28" w14:textId="77777777" w:rsidR="00021101" w:rsidRPr="007C7518" w:rsidRDefault="00021101" w:rsidP="0002110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 w:right="1134"/>
        <w:jc w:val="both"/>
        <w:rPr>
          <w:color w:val="000000"/>
        </w:rPr>
      </w:pPr>
      <w:r w:rsidRPr="007C7518">
        <w:t>45.</w:t>
      </w:r>
      <w:r w:rsidRPr="007C7518">
        <w:tab/>
        <w:t>Просветительская работа и повышение информированности являются ключом к инновациям на транспорте. Необходимо обеспечить, чтобы руководящие принципы и правила основывались на научных исследованиях и данных. Кроме того, необходимо информировать общественность о возможных путях будущего развития мобильности, с тем чтобы способствовать развитию этой новой культуры, держать общественность в курсе происходящего, обеспечивать понимание и получать признание и поддержку.</w:t>
      </w:r>
    </w:p>
    <w:p w14:paraId="7E8B3704" w14:textId="77777777" w:rsidR="00021101" w:rsidRPr="007C7518" w:rsidRDefault="00021101" w:rsidP="00E12127">
      <w:pPr>
        <w:pStyle w:val="H23G"/>
        <w:rPr>
          <w:color w:val="000000"/>
        </w:rPr>
      </w:pPr>
      <w:r w:rsidRPr="007C7518">
        <w:tab/>
        <w:t>b)</w:t>
      </w:r>
      <w:r w:rsidRPr="007C7518">
        <w:tab/>
        <w:t>Скачкообразное развитие</w:t>
      </w:r>
    </w:p>
    <w:p w14:paraId="3DCA8D76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t>46.</w:t>
      </w:r>
      <w:r w:rsidRPr="007C7518">
        <w:tab/>
        <w:t>Платформа ЕЭК могла бы использоваться в качестве связующего звена для распространения знаний и передовой практики, с тем чтобы заложить основу для скоординированных политических действий в области интеллектуальных транспортных систем во всем мире. Развивающиеся страны могут гораздо быстрее совершить скачкообразный переход к инфраструктуре, основанной на ИТС, при гораздо меньших затратах, чем развитые страны. Это укрепило бы важную роль ЕЭК в содействии интеграции регионов, не имеющих выхода к морю (таких, как Центральная Азия), благодаря новым возможностям интеграции для более широкого круга стран с формирующейся экономикой, поддержке экономии за счет эффекта масштаба и наращиванию потенциала для сотрудничества и обмена информацией.</w:t>
      </w:r>
    </w:p>
    <w:p w14:paraId="1EA1CF32" w14:textId="77777777" w:rsidR="00021101" w:rsidRPr="007C7518" w:rsidRDefault="00021101" w:rsidP="00E12127">
      <w:pPr>
        <w:pStyle w:val="H1G"/>
      </w:pPr>
      <w:r w:rsidRPr="007C7518">
        <w:tab/>
      </w:r>
      <w:r w:rsidRPr="007C7518">
        <w:tab/>
        <w:t xml:space="preserve">Направление деятельности 17 </w:t>
      </w:r>
      <w:r w:rsidR="00E12127" w:rsidRPr="00E12127">
        <w:t>—</w:t>
      </w:r>
      <w:r w:rsidRPr="007C7518">
        <w:t xml:space="preserve"> организация ежегодного «круглого стола» Организации Объединенных Наций по</w:t>
      </w:r>
      <w:r w:rsidR="00E12127">
        <w:t> </w:t>
      </w:r>
      <w:r w:rsidRPr="007C7518">
        <w:t>интеллектуальным транспортным системам</w:t>
      </w:r>
    </w:p>
    <w:p w14:paraId="40967726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t>47.</w:t>
      </w:r>
      <w:r w:rsidRPr="007C7518">
        <w:tab/>
        <w:t xml:space="preserve">Под эгидой ЕЭК все страны получат возможность вести диалог и развивать сотрудничество по вопросам ИТС путем ежегодного проведения обсуждений в формате «круглого стола». </w:t>
      </w:r>
    </w:p>
    <w:p w14:paraId="6765B94E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lastRenderedPageBreak/>
        <w:t>48.</w:t>
      </w:r>
      <w:r w:rsidRPr="007C7518">
        <w:tab/>
        <w:t>Итоги этих «круглых столов» будут служить руководством и ориентиром для работы соответствующих органов ЕЭК, в рамках которых соответствующие действия будут предприниматься по инициативе правительств, других ключевых заинтересованных сторон и глобальных участников, включая деловые круги.</w:t>
      </w:r>
    </w:p>
    <w:p w14:paraId="4482D0A2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t>49.</w:t>
      </w:r>
      <w:r w:rsidRPr="007C7518">
        <w:tab/>
        <w:t>Отдел устойчивого транспорта ЕЭК будет служить платформой для обмена мнениями и фиксировать проводимые обсуждения с целью информирования правительств по мере разработки ими собственной национальной политики и программ.</w:t>
      </w:r>
    </w:p>
    <w:p w14:paraId="698AB4E2" w14:textId="77777777" w:rsidR="00021101" w:rsidRPr="007C7518" w:rsidRDefault="00021101" w:rsidP="00E12127">
      <w:pPr>
        <w:pStyle w:val="H1G"/>
      </w:pPr>
      <w:bookmarkStart w:id="2" w:name="_heading=h.30j0zll" w:colFirst="0" w:colLast="0"/>
      <w:bookmarkEnd w:id="2"/>
      <w:r w:rsidRPr="007C7518">
        <w:tab/>
      </w:r>
      <w:r w:rsidRPr="007C7518">
        <w:tab/>
        <w:t xml:space="preserve">Направление деятельности 18 </w:t>
      </w:r>
      <w:r w:rsidR="00E12127" w:rsidRPr="00E12127">
        <w:t>—</w:t>
      </w:r>
      <w:r w:rsidRPr="007C7518">
        <w:t xml:space="preserve"> автоматизация колесных транспортных средств и новые технологии</w:t>
      </w:r>
    </w:p>
    <w:p w14:paraId="094A40BC" w14:textId="77777777" w:rsidR="00021101" w:rsidRPr="007C7518" w:rsidRDefault="00021101" w:rsidP="00E12127">
      <w:pPr>
        <w:pStyle w:val="SingleTxtG"/>
        <w:rPr>
          <w:color w:val="000000"/>
        </w:rPr>
      </w:pPr>
      <w:r w:rsidRPr="007C7518">
        <w:t>50.</w:t>
      </w:r>
      <w:r w:rsidRPr="007C7518">
        <w:tab/>
        <w:t xml:space="preserve">Технология, позволяющая широко внедрять автоматизированные транспортные средства, быстро развивается, а состоявшиеся изготовители транспортных средств и появляющиеся на рынке новаторы </w:t>
      </w:r>
      <w:r>
        <w:t>налаживают</w:t>
      </w:r>
      <w:r w:rsidRPr="007C7518">
        <w:t xml:space="preserve"> новые отношения, чтобы оперативно поставлять новую продукцию. Эти инновационные технологии и новшества должны беспрепятственно интегрироваться в транспортные средства для обеспечения их безопасной и эффективной эксплуатации при одновременном повышении безопасности и защищенности участников дорожного движения. Осознавая темпы развития этих технологий, договаривающиеся стороны направляют свои усилия на облегчение их вывода на рынок в целях максимизации общественных выгод.</w:t>
      </w:r>
    </w:p>
    <w:p w14:paraId="00A21EBA" w14:textId="77777777" w:rsidR="00021101" w:rsidRDefault="00021101" w:rsidP="00E12127">
      <w:pPr>
        <w:pStyle w:val="SingleTxtG"/>
      </w:pPr>
      <w:r w:rsidRPr="007C7518">
        <w:t>51.</w:t>
      </w:r>
      <w:r w:rsidRPr="007C7518">
        <w:tab/>
        <w:t xml:space="preserve">Всемирный форум ЕЭК для согласования правил в области транспортных средств (WP.29) в качестве глобальной платформы способствует комплексному обсуждению интеллектуальных и подключенных транспортных систем </w:t>
      </w:r>
      <w:r w:rsidR="00E12127">
        <w:br/>
      </w:r>
      <w:r w:rsidRPr="007C7518">
        <w:t>(включая интермодальные перевозки), телекоммуникаций, планирования инфраструктуры, концепции «Мобильность как услуга» (MaaS) и аналогичных вопросов, связанных с эксплуатацией транспортных средств, оборудованных системами автоматизированного вождения. Неофициальная рабочая группа WP.29 по ИТС укрепляет информационные связи Рабочей группы с другими группами ЕЭК и внешними организациями для поддержания их осведомленности о разработках, связанных с технологиями автоматизированных транспортных средств, и обеспечения осведомленности этих других организаций и учреждений о WP.29, его роли и обязанностях в этой важной области.</w:t>
      </w:r>
      <w:bookmarkStart w:id="3" w:name="_GoBack"/>
      <w:bookmarkEnd w:id="3"/>
    </w:p>
    <w:p w14:paraId="66818269" w14:textId="77777777" w:rsidR="00E12127" w:rsidRPr="00E12127" w:rsidRDefault="00E12127" w:rsidP="00E12127">
      <w:pPr>
        <w:pStyle w:val="SingleTxtG"/>
        <w:spacing w:before="240" w:after="0"/>
        <w:jc w:val="center"/>
        <w:rPr>
          <w:color w:val="00000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74E2DF" w14:textId="77777777" w:rsidR="00E12C5F" w:rsidRPr="008D53B6" w:rsidRDefault="00E12C5F" w:rsidP="00D9145B"/>
    <w:sectPr w:rsidR="00E12C5F" w:rsidRPr="008D53B6" w:rsidSect="000211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AEB96" w14:textId="77777777" w:rsidR="00535EA5" w:rsidRPr="00A312BC" w:rsidRDefault="00535EA5" w:rsidP="00A312BC"/>
  </w:endnote>
  <w:endnote w:type="continuationSeparator" w:id="0">
    <w:p w14:paraId="2AA8D5DE" w14:textId="77777777" w:rsidR="00535EA5" w:rsidRPr="00A312BC" w:rsidRDefault="00535E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9C8B" w14:textId="77777777" w:rsidR="00021101" w:rsidRPr="00021101" w:rsidRDefault="00021101">
    <w:pPr>
      <w:pStyle w:val="a8"/>
    </w:pPr>
    <w:r w:rsidRPr="00021101">
      <w:rPr>
        <w:b/>
        <w:sz w:val="18"/>
      </w:rPr>
      <w:fldChar w:fldCharType="begin"/>
    </w:r>
    <w:r w:rsidRPr="00021101">
      <w:rPr>
        <w:b/>
        <w:sz w:val="18"/>
      </w:rPr>
      <w:instrText xml:space="preserve"> PAGE  \* MERGEFORMAT </w:instrText>
    </w:r>
    <w:r w:rsidRPr="00021101">
      <w:rPr>
        <w:b/>
        <w:sz w:val="18"/>
      </w:rPr>
      <w:fldChar w:fldCharType="separate"/>
    </w:r>
    <w:r w:rsidRPr="00021101">
      <w:rPr>
        <w:b/>
        <w:noProof/>
        <w:sz w:val="18"/>
      </w:rPr>
      <w:t>2</w:t>
    </w:r>
    <w:r w:rsidRPr="00021101">
      <w:rPr>
        <w:b/>
        <w:sz w:val="18"/>
      </w:rPr>
      <w:fldChar w:fldCharType="end"/>
    </w:r>
    <w:r>
      <w:rPr>
        <w:b/>
        <w:sz w:val="18"/>
      </w:rPr>
      <w:tab/>
    </w:r>
    <w:r>
      <w:t>GE.20-17121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0DA7" w14:textId="77777777" w:rsidR="00021101" w:rsidRPr="00021101" w:rsidRDefault="00021101" w:rsidP="00021101">
    <w:pPr>
      <w:pStyle w:val="a8"/>
      <w:tabs>
        <w:tab w:val="clear" w:pos="9639"/>
        <w:tab w:val="right" w:pos="9638"/>
      </w:tabs>
      <w:rPr>
        <w:b/>
        <w:sz w:val="18"/>
      </w:rPr>
    </w:pPr>
    <w:r>
      <w:t>GE.20-17121</w:t>
    </w:r>
    <w:r>
      <w:tab/>
    </w:r>
    <w:r w:rsidRPr="00021101">
      <w:rPr>
        <w:b/>
        <w:sz w:val="18"/>
      </w:rPr>
      <w:fldChar w:fldCharType="begin"/>
    </w:r>
    <w:r w:rsidRPr="00021101">
      <w:rPr>
        <w:b/>
        <w:sz w:val="18"/>
      </w:rPr>
      <w:instrText xml:space="preserve"> PAGE  \* MERGEFORMAT </w:instrText>
    </w:r>
    <w:r w:rsidRPr="00021101">
      <w:rPr>
        <w:b/>
        <w:sz w:val="18"/>
      </w:rPr>
      <w:fldChar w:fldCharType="separate"/>
    </w:r>
    <w:r w:rsidRPr="00021101">
      <w:rPr>
        <w:b/>
        <w:noProof/>
        <w:sz w:val="18"/>
      </w:rPr>
      <w:t>3</w:t>
    </w:r>
    <w:r w:rsidRPr="000211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D05D" w14:textId="77777777" w:rsidR="00042B72" w:rsidRPr="00021101" w:rsidRDefault="00021101" w:rsidP="0002110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143E30" wp14:editId="08A272B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20-17121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4F211A" wp14:editId="5BB5989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281220  281220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2675" w14:textId="77777777" w:rsidR="00535EA5" w:rsidRPr="001075E9" w:rsidRDefault="00535E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18EFFB" w14:textId="77777777" w:rsidR="00535EA5" w:rsidRDefault="00535E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ACCBC0" w14:textId="77777777" w:rsidR="00021101" w:rsidRPr="00981BFB" w:rsidRDefault="00021101" w:rsidP="00021101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="00981BFB">
        <w:tab/>
      </w:r>
      <w:hyperlink r:id="rId1" w:history="1">
        <w:r w:rsidRPr="00981BFB">
          <w:rPr>
            <w:rStyle w:val="af1"/>
          </w:rPr>
          <w:t>www.arc-it.org</w:t>
        </w:r>
      </w:hyperlink>
      <w:r w:rsidR="00981BFB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EE5F0" w14:textId="6CC3B41E" w:rsidR="00021101" w:rsidRPr="00021101" w:rsidRDefault="00021101">
    <w:pPr>
      <w:pStyle w:val="a5"/>
    </w:pPr>
    <w:fldSimple w:instr=" TITLE  \* MERGEFORMAT ">
      <w:r w:rsidR="004B0F1D">
        <w:t>ECE/TRANS/2021/15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6EC7" w14:textId="37002C20" w:rsidR="00021101" w:rsidRPr="00021101" w:rsidRDefault="00021101" w:rsidP="00021101">
    <w:pPr>
      <w:pStyle w:val="a5"/>
      <w:jc w:val="right"/>
    </w:pPr>
    <w:fldSimple w:instr=" TITLE  \* MERGEFORMAT ">
      <w:r w:rsidR="004B0F1D">
        <w:t>ECE/TRANS/2021/15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BC23C0"/>
    <w:multiLevelType w:val="hybridMultilevel"/>
    <w:tmpl w:val="62908FC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 w:tplc="08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A5"/>
    <w:rsid w:val="00005309"/>
    <w:rsid w:val="0002110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A8C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0F1D"/>
    <w:rsid w:val="004E05B7"/>
    <w:rsid w:val="0050108D"/>
    <w:rsid w:val="00503339"/>
    <w:rsid w:val="00513081"/>
    <w:rsid w:val="00517901"/>
    <w:rsid w:val="00526683"/>
    <w:rsid w:val="00526DB8"/>
    <w:rsid w:val="00535EA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4D37"/>
    <w:rsid w:val="008A08D7"/>
    <w:rsid w:val="008A37C8"/>
    <w:rsid w:val="008B6909"/>
    <w:rsid w:val="008D53B6"/>
    <w:rsid w:val="008F7609"/>
    <w:rsid w:val="00906890"/>
    <w:rsid w:val="00911BE4"/>
    <w:rsid w:val="00951972"/>
    <w:rsid w:val="00952EFC"/>
    <w:rsid w:val="009608F3"/>
    <w:rsid w:val="00981BFB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019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7E8C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127"/>
    <w:rsid w:val="00E12C5F"/>
    <w:rsid w:val="00E73F76"/>
    <w:rsid w:val="00EA2C9F"/>
    <w:rsid w:val="00EA420E"/>
    <w:rsid w:val="00ED0BDA"/>
    <w:rsid w:val="00ED481B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893C1C"/>
  <w15:docId w15:val="{06B3DF40-908F-4358-8C54-F92A7A4D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21101"/>
    <w:rPr>
      <w:lang w:val="ru-RU" w:eastAsia="en-US"/>
    </w:rPr>
  </w:style>
  <w:style w:type="character" w:customStyle="1" w:styleId="H1GChar">
    <w:name w:val="_ H_1_G Char"/>
    <w:link w:val="H1G"/>
    <w:rsid w:val="00021101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21101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021101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GB" w:eastAsia="zh-CN"/>
    </w:rPr>
  </w:style>
  <w:style w:type="character" w:styleId="af4">
    <w:name w:val="Unresolved Mention"/>
    <w:basedOn w:val="a0"/>
    <w:uiPriority w:val="99"/>
    <w:semiHidden/>
    <w:unhideWhenUsed/>
    <w:rsid w:val="0098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-i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11</Pages>
  <Words>4183</Words>
  <Characters>30698</Characters>
  <Application>Microsoft Office Word</Application>
  <DocSecurity>0</DocSecurity>
  <Lines>2790</Lines>
  <Paragraphs>1162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ECE/TRANS/2021/15</vt:lpstr>
      <vt:lpstr>A/</vt:lpstr>
      <vt:lpstr>A/</vt:lpstr>
    </vt:vector>
  </TitlesOfParts>
  <Company>DCM</Company>
  <LinksUpToDate>false</LinksUpToDate>
  <CharactersWithSpaces>33719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ECE/TRANS/2021/15</dc:title>
  <dc:subject/>
  <dc:creator>Elena IZOTOVA</dc:creator>
  <cp:keywords/>
  <cp:lastModifiedBy>Elena IZOTOVA</cp:lastModifiedBy>
  <cp:revision>3</cp:revision>
  <cp:lastPrinted>2020-12-28T10:25:00Z</cp:lastPrinted>
  <dcterms:created xsi:type="dcterms:W3CDTF">2020-12-28T10:25:00Z</dcterms:created>
  <dcterms:modified xsi:type="dcterms:W3CDTF">2020-12-28T10:28:00Z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