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22A6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22A60" w:rsidP="00422A60">
            <w:pPr>
              <w:jc w:val="right"/>
            </w:pPr>
            <w:r w:rsidRPr="00422A60">
              <w:rPr>
                <w:sz w:val="40"/>
              </w:rPr>
              <w:t>ECE</w:t>
            </w:r>
            <w:r>
              <w:t>/TRANS/WP.29/GRVA/2021/16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22A60" w:rsidP="00C97039">
            <w:pPr>
              <w:spacing w:before="240"/>
            </w:pPr>
            <w:r>
              <w:t>Distr. générale</w:t>
            </w:r>
          </w:p>
          <w:p w:rsidR="00422A60" w:rsidRDefault="00422A60" w:rsidP="00422A60">
            <w:pPr>
              <w:spacing w:line="240" w:lineRule="exact"/>
            </w:pPr>
            <w:r>
              <w:t>20 novembre 2020</w:t>
            </w:r>
          </w:p>
          <w:p w:rsidR="00422A60" w:rsidRDefault="00422A60" w:rsidP="00422A60">
            <w:pPr>
              <w:spacing w:line="240" w:lineRule="exact"/>
            </w:pPr>
            <w:r>
              <w:t>Français</w:t>
            </w:r>
          </w:p>
          <w:p w:rsidR="00422A60" w:rsidRPr="00DB58B5" w:rsidRDefault="00422A60" w:rsidP="00422A6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22A6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22A60" w:rsidRDefault="00422A60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22A60" w:rsidRDefault="00422A60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422A60" w:rsidRPr="00842993" w:rsidRDefault="00422A60" w:rsidP="00422A60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Neuvième session</w:t>
      </w:r>
    </w:p>
    <w:p w:rsidR="00422A60" w:rsidRPr="00842993" w:rsidRDefault="00422A60" w:rsidP="00422A60">
      <w:pPr>
        <w:rPr>
          <w:lang w:val="fr-FR"/>
        </w:rPr>
      </w:pPr>
      <w:bookmarkStart w:id="0" w:name="OLE_LINK2"/>
      <w:r>
        <w:rPr>
          <w:lang w:val="fr-FR"/>
        </w:rPr>
        <w:t>Point 8 c)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422A60" w:rsidRPr="00842993" w:rsidRDefault="00422A60" w:rsidP="00422A60">
      <w:pPr>
        <w:rPr>
          <w:b/>
          <w:bCs/>
          <w:lang w:val="fr-FR"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13, 13-H, 139 et 140, et RTM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8 :</w:t>
      </w:r>
    </w:p>
    <w:p w:rsidR="00422A60" w:rsidRPr="00842993" w:rsidRDefault="00422A60" w:rsidP="00422A60">
      <w:pPr>
        <w:rPr>
          <w:b/>
          <w:bCs/>
          <w:lang w:val="fr-FR"/>
        </w:rPr>
      </w:pPr>
      <w:r>
        <w:rPr>
          <w:b/>
          <w:bCs/>
          <w:lang w:val="fr-FR"/>
        </w:rPr>
        <w:t>Précisions</w:t>
      </w:r>
    </w:p>
    <w:p w:rsidR="00422A60" w:rsidRPr="00842993" w:rsidRDefault="00422A60" w:rsidP="00422A6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à la série 11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 (Freinage des véhicules lourds)</w:t>
      </w:r>
      <w:bookmarkEnd w:id="0"/>
    </w:p>
    <w:p w:rsidR="00422A60" w:rsidRPr="00842993" w:rsidRDefault="00422A60" w:rsidP="00422A60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de la Pologne</w:t>
      </w:r>
      <w:r w:rsidRPr="00422A60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422A60" w:rsidRPr="00842993" w:rsidRDefault="00422A60" w:rsidP="00422A60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proposition, établie par l</w:t>
      </w:r>
      <w:r>
        <w:rPr>
          <w:lang w:val="fr-FR"/>
        </w:rPr>
        <w:t>’</w:t>
      </w:r>
      <w:r>
        <w:rPr>
          <w:lang w:val="fr-FR"/>
        </w:rPr>
        <w:t>expert de la Pologne, est fondée sur le document informel GRVA-07-67, qui a été soumis pour examen à la septième session du Groupe de travail des véhicules automatisés/autonomes et connectés (GRVA), en septembre 2020. Le Groupe de travail a décidé que, par manque de temps, le document informel serait distribué sous une cote officielle pour examen à sa session de février 2021.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422A60" w:rsidRPr="00842993" w:rsidRDefault="00422A60" w:rsidP="00422A60">
      <w:pPr>
        <w:suppressAutoHyphens w:val="0"/>
        <w:spacing w:line="240" w:lineRule="auto"/>
        <w:rPr>
          <w:lang w:val="fr-FR"/>
        </w:rPr>
      </w:pPr>
      <w:r w:rsidRPr="00842993">
        <w:rPr>
          <w:lang w:val="fr-FR"/>
        </w:rPr>
        <w:br w:type="page"/>
      </w:r>
    </w:p>
    <w:p w:rsidR="00422A60" w:rsidRDefault="00422A60" w:rsidP="00422A60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lang w:val="fr-FR"/>
        </w:rPr>
        <w:t>Proposition</w:t>
      </w:r>
    </w:p>
    <w:p w:rsidR="00422A60" w:rsidRPr="00842993" w:rsidRDefault="00422A60" w:rsidP="00422A60">
      <w:pPr>
        <w:pStyle w:val="SingleTxtG"/>
        <w:ind w:left="2268" w:hanging="1134"/>
        <w:rPr>
          <w:iCs/>
          <w:lang w:val="fr-FR"/>
        </w:rPr>
      </w:pPr>
      <w:r w:rsidRPr="002C2342">
        <w:rPr>
          <w:i/>
          <w:iCs/>
          <w:lang w:val="fr-FR"/>
        </w:rPr>
        <w:t>Annexe 4, tableau du paragraphe 2.1.1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422A60" w:rsidRPr="00842993" w:rsidRDefault="00422A60" w:rsidP="00422A60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Performances des systèmes de freinage des véhicules des catégories M</w:t>
      </w:r>
      <w:r w:rsidRPr="00395AE8">
        <w:rPr>
          <w:vertAlign w:val="subscript"/>
          <w:lang w:val="fr-FR"/>
        </w:rPr>
        <w:t>2</w:t>
      </w:r>
      <w:r>
        <w:rPr>
          <w:lang w:val="fr-FR"/>
        </w:rPr>
        <w:t>, M</w:t>
      </w:r>
      <w:r w:rsidRPr="00395AE8">
        <w:rPr>
          <w:vertAlign w:val="subscript"/>
          <w:lang w:val="fr-FR"/>
        </w:rPr>
        <w:t>3</w:t>
      </w:r>
      <w:r>
        <w:rPr>
          <w:lang w:val="fr-FR"/>
        </w:rPr>
        <w:t xml:space="preserve"> et N</w:t>
      </w:r>
    </w:p>
    <w:p w:rsidR="00422A60" w:rsidRPr="00842993" w:rsidRDefault="00422A60" w:rsidP="00422A60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2.1</w:t>
      </w:r>
      <w:r>
        <w:rPr>
          <w:lang w:val="fr-FR"/>
        </w:rPr>
        <w:tab/>
        <w:t>Système de freinage de service</w:t>
      </w:r>
    </w:p>
    <w:p w:rsidR="00422A60" w:rsidRPr="00842993" w:rsidRDefault="00422A60" w:rsidP="00422A60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2.1.1</w:t>
      </w:r>
      <w:r>
        <w:rPr>
          <w:lang w:val="fr-FR"/>
        </w:rPr>
        <w:tab/>
        <w:t>Les essais des freins de service des véhicules des catégories M</w:t>
      </w:r>
      <w:r w:rsidRPr="00395AE8">
        <w:rPr>
          <w:vertAlign w:val="subscript"/>
          <w:lang w:val="fr-FR"/>
        </w:rPr>
        <w:t>2</w:t>
      </w:r>
      <w:r>
        <w:rPr>
          <w:lang w:val="fr-FR"/>
        </w:rPr>
        <w:t>, M</w:t>
      </w:r>
      <w:r w:rsidRPr="00395AE8">
        <w:rPr>
          <w:vertAlign w:val="subscript"/>
          <w:lang w:val="fr-FR"/>
        </w:rPr>
        <w:t>3</w:t>
      </w:r>
      <w:r>
        <w:rPr>
          <w:lang w:val="fr-FR"/>
        </w:rPr>
        <w:t xml:space="preserve"> et N sont exécutés dans les conditions indiquées dans le tableau ci-après</w:t>
      </w:r>
      <w:r>
        <w:rPr>
          <w:lang w:val="fr-FR"/>
        </w:rPr>
        <w:t> </w:t>
      </w:r>
      <w:r>
        <w:rPr>
          <w:lang w:val="fr-FR"/>
        </w:rPr>
        <w:t>: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1845"/>
        <w:gridCol w:w="952"/>
        <w:gridCol w:w="1316"/>
        <w:gridCol w:w="1074"/>
        <w:gridCol w:w="955"/>
        <w:gridCol w:w="953"/>
      </w:tblGrid>
      <w:tr w:rsidR="00422A60" w:rsidRPr="009D6D3A" w:rsidTr="00422A60">
        <w:trPr>
          <w:tblHeader/>
          <w:jc w:val="right"/>
        </w:trPr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rPr>
                <w:lang w:val="fr-FR"/>
              </w:rPr>
            </w:pP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Catégorie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M</w:t>
            </w:r>
            <w:r w:rsidRPr="009D6D3A">
              <w:rPr>
                <w:i/>
                <w:sz w:val="16"/>
                <w:szCs w:val="16"/>
                <w:vertAlign w:val="subscript"/>
                <w:lang w:val="fr-FR"/>
              </w:rPr>
              <w:t>2</w:t>
            </w:r>
          </w:p>
        </w:tc>
        <w:tc>
          <w:tcPr>
            <w:tcW w:w="1316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M</w:t>
            </w:r>
            <w:r w:rsidRPr="009D6D3A">
              <w:rPr>
                <w:i/>
                <w:sz w:val="16"/>
                <w:szCs w:val="16"/>
                <w:vertAlign w:val="subscript"/>
                <w:lang w:val="fr-FR"/>
              </w:rPr>
              <w:t>3</w:t>
            </w:r>
          </w:p>
        </w:tc>
        <w:tc>
          <w:tcPr>
            <w:tcW w:w="1074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N</w:t>
            </w:r>
            <w:r w:rsidRPr="009D6D3A">
              <w:rPr>
                <w:i/>
                <w:sz w:val="16"/>
                <w:szCs w:val="16"/>
                <w:vertAlign w:val="subscript"/>
                <w:lang w:val="fr-FR"/>
              </w:rPr>
              <w:t>1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N</w:t>
            </w:r>
            <w:r w:rsidRPr="009D6D3A">
              <w:rPr>
                <w:i/>
                <w:sz w:val="16"/>
                <w:szCs w:val="16"/>
                <w:vertAlign w:val="subscript"/>
                <w:lang w:val="fr-FR"/>
              </w:rPr>
              <w:t>2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N</w:t>
            </w:r>
            <w:r w:rsidRPr="009D6D3A">
              <w:rPr>
                <w:i/>
                <w:sz w:val="16"/>
                <w:szCs w:val="16"/>
                <w:vertAlign w:val="subscript"/>
                <w:lang w:val="fr-FR"/>
              </w:rPr>
              <w:t>3</w:t>
            </w:r>
          </w:p>
        </w:tc>
      </w:tr>
      <w:tr w:rsidR="00422A60" w:rsidRPr="009D6D3A" w:rsidTr="00422A60">
        <w:trPr>
          <w:tblHeader/>
          <w:jc w:val="right"/>
        </w:trPr>
        <w:tc>
          <w:tcPr>
            <w:tcW w:w="141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Type d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9D6D3A">
              <w:rPr>
                <w:i/>
                <w:sz w:val="16"/>
                <w:szCs w:val="16"/>
                <w:lang w:val="fr-FR"/>
              </w:rPr>
              <w:t>essai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0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</w:t>
            </w:r>
          </w:p>
        </w:tc>
        <w:tc>
          <w:tcPr>
            <w:tcW w:w="1316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0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II ou IIA</w:t>
            </w:r>
          </w:p>
        </w:tc>
        <w:tc>
          <w:tcPr>
            <w:tcW w:w="1074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0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0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D6D3A">
              <w:rPr>
                <w:i/>
                <w:sz w:val="16"/>
                <w:szCs w:val="16"/>
                <w:lang w:val="fr-FR"/>
              </w:rPr>
              <w:t>0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>I</w:t>
            </w:r>
            <w:r w:rsidRPr="009D6D3A">
              <w:rPr>
                <w:i/>
                <w:sz w:val="16"/>
                <w:szCs w:val="16"/>
                <w:lang w:val="fr-FR"/>
              </w:rPr>
              <w:noBreakHyphen/>
              <w:t xml:space="preserve">II </w:t>
            </w:r>
            <w:r w:rsidRPr="00772A76">
              <w:rPr>
                <w:b/>
                <w:bCs/>
                <w:i/>
                <w:sz w:val="16"/>
                <w:szCs w:val="16"/>
                <w:lang w:val="fr-FR"/>
              </w:rPr>
              <w:t>ou IIA</w:t>
            </w:r>
          </w:p>
        </w:tc>
      </w:tr>
      <w:tr w:rsidR="00422A60" w:rsidRPr="009D6D3A" w:rsidTr="003B0E57">
        <w:trPr>
          <w:jc w:val="right"/>
        </w:trPr>
        <w:tc>
          <w:tcPr>
            <w:tcW w:w="1410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Essai de type 0 moteur débrayé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v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60 km/h</w:t>
            </w:r>
          </w:p>
        </w:tc>
        <w:tc>
          <w:tcPr>
            <w:tcW w:w="1316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60 km/h</w:t>
            </w:r>
          </w:p>
        </w:tc>
        <w:tc>
          <w:tcPr>
            <w:tcW w:w="1074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80 km/h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60 km/h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60 km/h</w:t>
            </w:r>
          </w:p>
        </w:tc>
      </w:tr>
      <w:tr w:rsidR="00422A60" w:rsidRPr="009D6D3A" w:rsidTr="003B0E57">
        <w:trPr>
          <w:trHeight w:val="495"/>
          <w:jc w:val="right"/>
        </w:trPr>
        <w:tc>
          <w:tcPr>
            <w:tcW w:w="1410" w:type="dxa"/>
            <w:vMerge/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s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position w:val="-20"/>
                <w:lang w:val="fr-FR"/>
              </w:rPr>
              <w:object w:dxaOrig="10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29.1pt" o:ole="">
                  <v:imagedata r:id="rId8" o:title=""/>
                </v:shape>
                <o:OLEObject Type="Embed" ProgID="Equation.3" ShapeID="_x0000_i1025" DrawAspect="Content" ObjectID="_1668598890" r:id="rId9"/>
              </w:object>
            </w:r>
          </w:p>
        </w:tc>
      </w:tr>
      <w:tr w:rsidR="00422A60" w:rsidRPr="009D6D3A" w:rsidTr="00422A60">
        <w:trPr>
          <w:trHeight w:val="495"/>
          <w:jc w:val="right"/>
        </w:trPr>
        <w:tc>
          <w:tcPr>
            <w:tcW w:w="1410" w:type="dxa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d</w:t>
            </w:r>
            <w:r w:rsidRPr="009D6D3A">
              <w:rPr>
                <w:szCs w:val="18"/>
                <w:vertAlign w:val="subscript"/>
                <w:lang w:val="fr-FR"/>
              </w:rPr>
              <w:t>m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2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9D6D3A">
              <w:rPr>
                <w:szCs w:val="18"/>
                <w:lang w:val="fr-FR"/>
              </w:rPr>
              <w:t>5,0 m/s</w:t>
            </w:r>
            <w:r w:rsidRPr="009D6D3A">
              <w:rPr>
                <w:szCs w:val="18"/>
                <w:vertAlign w:val="superscript"/>
                <w:lang w:val="fr-FR"/>
              </w:rPr>
              <w:t>2</w:t>
            </w:r>
          </w:p>
        </w:tc>
      </w:tr>
      <w:tr w:rsidR="00422A60" w:rsidRPr="009D6D3A" w:rsidTr="00422A60">
        <w:trPr>
          <w:jc w:val="right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 xml:space="preserve">Essai de type 0 </w:t>
            </w:r>
            <w:r w:rsidRPr="009D6D3A">
              <w:rPr>
                <w:spacing w:val="-2"/>
                <w:szCs w:val="18"/>
                <w:lang w:val="fr-FR"/>
              </w:rPr>
              <w:t>moteur embrayé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v = 0,80 v</w:t>
            </w:r>
            <w:r w:rsidRPr="009D6D3A">
              <w:rPr>
                <w:szCs w:val="18"/>
                <w:vertAlign w:val="subscript"/>
                <w:lang w:val="fr-FR"/>
              </w:rPr>
              <w:t xml:space="preserve">max </w:t>
            </w:r>
            <w:r w:rsidRPr="009D6D3A">
              <w:rPr>
                <w:szCs w:val="18"/>
                <w:lang w:val="fr-FR"/>
              </w:rPr>
              <w:t>mais pas supérieure à</w:t>
            </w:r>
            <w:r>
              <w:rPr>
                <w:szCs w:val="18"/>
                <w:lang w:val="fr-FR"/>
              </w:rPr>
              <w:t> </w:t>
            </w:r>
            <w:r w:rsidRPr="009D6D3A">
              <w:rPr>
                <w:szCs w:val="18"/>
                <w:lang w:val="fr-FR"/>
              </w:rPr>
              <w:t>:</w:t>
            </w:r>
          </w:p>
        </w:tc>
        <w:tc>
          <w:tcPr>
            <w:tcW w:w="952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100 km/h</w:t>
            </w:r>
          </w:p>
        </w:tc>
        <w:tc>
          <w:tcPr>
            <w:tcW w:w="1316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90 km/h</w:t>
            </w:r>
          </w:p>
        </w:tc>
        <w:tc>
          <w:tcPr>
            <w:tcW w:w="107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120 km/h</w:t>
            </w:r>
          </w:p>
        </w:tc>
        <w:tc>
          <w:tcPr>
            <w:tcW w:w="955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100 km/h</w:t>
            </w:r>
          </w:p>
        </w:tc>
        <w:tc>
          <w:tcPr>
            <w:tcW w:w="953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keepNext/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90 km/h</w:t>
            </w:r>
          </w:p>
        </w:tc>
      </w:tr>
      <w:tr w:rsidR="00422A60" w:rsidRPr="009D6D3A" w:rsidTr="00422A60">
        <w:trPr>
          <w:trHeight w:val="518"/>
          <w:jc w:val="right"/>
        </w:trPr>
        <w:tc>
          <w:tcPr>
            <w:tcW w:w="1410" w:type="dxa"/>
            <w:vMerge/>
            <w:tcBorders>
              <w:top w:val="single" w:sz="6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s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position w:val="-24"/>
                <w:lang w:val="fr-FR"/>
              </w:rPr>
              <w:object w:dxaOrig="1140" w:dyaOrig="620">
                <v:shape id="_x0000_i1026" type="#_x0000_t75" style="width:56.75pt;height:31.15pt" o:ole="">
                  <v:imagedata r:id="rId10" o:title=""/>
                </v:shape>
                <o:OLEObject Type="Embed" ProgID="Equation.3" ShapeID="_x0000_i1026" DrawAspect="Content" ObjectID="_1668598891" r:id="rId11"/>
              </w:object>
            </w:r>
          </w:p>
        </w:tc>
      </w:tr>
      <w:tr w:rsidR="00422A60" w:rsidRPr="009D6D3A" w:rsidTr="00422A60">
        <w:trPr>
          <w:trHeight w:val="517"/>
          <w:jc w:val="right"/>
        </w:trPr>
        <w:tc>
          <w:tcPr>
            <w:tcW w:w="1410" w:type="dxa"/>
            <w:vMerge/>
            <w:tcBorders>
              <w:top w:val="single" w:sz="6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d</w:t>
            </w:r>
            <w:r w:rsidRPr="009D6D3A">
              <w:rPr>
                <w:szCs w:val="18"/>
                <w:vertAlign w:val="subscript"/>
                <w:lang w:val="fr-FR"/>
              </w:rPr>
              <w:t>m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2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9D6D3A">
              <w:rPr>
                <w:szCs w:val="18"/>
                <w:lang w:val="fr-FR"/>
              </w:rPr>
              <w:t>4,0 m/s</w:t>
            </w:r>
            <w:r w:rsidRPr="009D6D3A">
              <w:rPr>
                <w:szCs w:val="18"/>
                <w:vertAlign w:val="superscript"/>
                <w:lang w:val="fr-FR"/>
              </w:rPr>
              <w:t>2</w:t>
            </w:r>
          </w:p>
        </w:tc>
      </w:tr>
      <w:tr w:rsidR="00422A60" w:rsidRPr="009D6D3A" w:rsidTr="00422A60">
        <w:trPr>
          <w:jc w:val="right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</w:p>
        </w:tc>
        <w:tc>
          <w:tcPr>
            <w:tcW w:w="1845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F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A60" w:rsidRPr="009D6D3A" w:rsidRDefault="00422A60" w:rsidP="00422A60">
            <w:pPr>
              <w:spacing w:before="60" w:after="60" w:line="220" w:lineRule="atLeast"/>
              <w:ind w:left="57" w:right="57"/>
              <w:jc w:val="center"/>
              <w:rPr>
                <w:szCs w:val="18"/>
                <w:lang w:val="fr-FR"/>
              </w:rPr>
            </w:pPr>
            <w:r w:rsidRPr="009D6D3A">
              <w:rPr>
                <w:szCs w:val="18"/>
                <w:lang w:val="fr-FR"/>
              </w:rPr>
              <w:t>70 daN</w:t>
            </w:r>
          </w:p>
        </w:tc>
      </w:tr>
    </w:tbl>
    <w:p w:rsidR="00422A60" w:rsidRPr="006D0011" w:rsidRDefault="00422A60" w:rsidP="00422A60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  <w:bookmarkStart w:id="1" w:name="_GoBack"/>
      <w:bookmarkEnd w:id="1"/>
    </w:p>
    <w:p w:rsidR="00422A60" w:rsidRPr="00842993" w:rsidRDefault="00422A60" w:rsidP="00422A6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proposition consiste à apporter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 une correction concernant les prescriptions d</w:t>
      </w:r>
      <w:r>
        <w:rPr>
          <w:lang w:val="fr-FR"/>
        </w:rPr>
        <w:t>’</w:t>
      </w:r>
      <w:r>
        <w:rPr>
          <w:lang w:val="fr-FR"/>
        </w:rPr>
        <w:t>essais du type IIA. Selon le tableau du paragraphe 2.1.1 de l</w:t>
      </w:r>
      <w:r>
        <w:rPr>
          <w:lang w:val="fr-FR"/>
        </w:rPr>
        <w:t>’</w:t>
      </w:r>
      <w:r>
        <w:rPr>
          <w:lang w:val="fr-FR"/>
        </w:rPr>
        <w:t>annexe</w:t>
      </w:r>
      <w:r>
        <w:rPr>
          <w:lang w:val="fr-FR"/>
        </w:rPr>
        <w:t> </w:t>
      </w:r>
      <w:r>
        <w:rPr>
          <w:lang w:val="fr-FR"/>
        </w:rPr>
        <w:t>4, seuls des essais des types 0-I-II sont prescrits pour les véhicules de la catégorie</w:t>
      </w:r>
      <w:r>
        <w:rPr>
          <w:lang w:val="fr-FR"/>
        </w:rPr>
        <w:t> </w:t>
      </w:r>
      <w:r>
        <w:rPr>
          <w:lang w:val="fr-FR"/>
        </w:rPr>
        <w:t>N</w:t>
      </w:r>
      <w:r>
        <w:rPr>
          <w:vertAlign w:val="subscript"/>
          <w:lang w:val="fr-FR"/>
        </w:rPr>
        <w:t>3</w:t>
      </w:r>
      <w:r>
        <w:rPr>
          <w:lang w:val="fr-FR"/>
        </w:rPr>
        <w:t>. Il manque la mention « ou IIA », qui doit être ajoutée puisque les mêmes types d</w:t>
      </w:r>
      <w:r>
        <w:rPr>
          <w:lang w:val="fr-FR"/>
        </w:rPr>
        <w:t>’</w:t>
      </w:r>
      <w:r>
        <w:rPr>
          <w:lang w:val="fr-FR"/>
        </w:rPr>
        <w:t>essais devraient être prescrits pour les véhicules de la catégorie N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que pour ceux de la catégorie M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(pour laquelle figure la mention</w:t>
      </w:r>
      <w:r>
        <w:rPr>
          <w:lang w:val="fr-FR"/>
        </w:rPr>
        <w:t> </w:t>
      </w:r>
      <w:r>
        <w:rPr>
          <w:lang w:val="fr-FR"/>
        </w:rPr>
        <w:t xml:space="preserve">: « 0-I-II ou IIA »). </w:t>
      </w:r>
    </w:p>
    <w:p w:rsidR="00422A60" w:rsidRPr="00842993" w:rsidRDefault="00422A60" w:rsidP="00422A60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Cela découle des dispositions du paragraphe 1.8 de l</w:t>
      </w:r>
      <w:r>
        <w:rPr>
          <w:lang w:val="fr-FR"/>
        </w:rPr>
        <w:t>’</w:t>
      </w:r>
      <w:r>
        <w:rPr>
          <w:lang w:val="fr-FR"/>
        </w:rPr>
        <w:t>annexe 4, qui se lit comme suit :</w:t>
      </w:r>
    </w:p>
    <w:p w:rsidR="00422A60" w:rsidRPr="00612997" w:rsidRDefault="00422A60" w:rsidP="00612997">
      <w:pPr>
        <w:pStyle w:val="SingleTxtG"/>
        <w:ind w:left="2268" w:hanging="1134"/>
        <w:rPr>
          <w:i/>
          <w:iCs/>
          <w:lang w:val="fr-FR"/>
        </w:rPr>
      </w:pPr>
      <w:r w:rsidRPr="00612997">
        <w:rPr>
          <w:i/>
          <w:iCs/>
          <w:lang w:val="fr-FR"/>
        </w:rPr>
        <w:t>1.8</w:t>
      </w:r>
      <w:r w:rsidRPr="00612997">
        <w:rPr>
          <w:i/>
          <w:iCs/>
          <w:lang w:val="fr-FR"/>
        </w:rPr>
        <w:tab/>
        <w:t>Essai de type IIA (efficacité du freinage d</w:t>
      </w:r>
      <w:r w:rsidRPr="00612997">
        <w:rPr>
          <w:i/>
          <w:iCs/>
          <w:lang w:val="fr-FR"/>
        </w:rPr>
        <w:t>’</w:t>
      </w:r>
      <w:r w:rsidRPr="00612997">
        <w:rPr>
          <w:i/>
          <w:iCs/>
          <w:lang w:val="fr-FR"/>
        </w:rPr>
        <w:t>endurance)</w:t>
      </w:r>
    </w:p>
    <w:p w:rsidR="00422A60" w:rsidRPr="00612997" w:rsidRDefault="00422A60" w:rsidP="00612997">
      <w:pPr>
        <w:pStyle w:val="SingleTxtG"/>
        <w:ind w:left="2268" w:hanging="1134"/>
        <w:rPr>
          <w:i/>
          <w:iCs/>
          <w:lang w:val="fr-FR"/>
        </w:rPr>
      </w:pPr>
      <w:r w:rsidRPr="00612997">
        <w:rPr>
          <w:i/>
          <w:iCs/>
          <w:lang w:val="fr-FR"/>
        </w:rPr>
        <w:t>1.8.1</w:t>
      </w:r>
      <w:r w:rsidRPr="00612997">
        <w:rPr>
          <w:i/>
          <w:iCs/>
          <w:lang w:val="fr-FR"/>
        </w:rPr>
        <w:tab/>
        <w:t>Les véhicules des catégories ci-après doivent être soumis à l</w:t>
      </w:r>
      <w:r w:rsidRPr="00612997">
        <w:rPr>
          <w:i/>
          <w:iCs/>
          <w:lang w:val="fr-FR"/>
        </w:rPr>
        <w:t>’</w:t>
      </w:r>
      <w:r w:rsidRPr="00612997">
        <w:rPr>
          <w:i/>
          <w:iCs/>
          <w:lang w:val="fr-FR"/>
        </w:rPr>
        <w:t>essai de type IIA</w:t>
      </w:r>
      <w:r w:rsidR="00612997">
        <w:rPr>
          <w:i/>
          <w:iCs/>
          <w:lang w:val="fr-FR"/>
        </w:rPr>
        <w:t> </w:t>
      </w:r>
      <w:r w:rsidRPr="00612997">
        <w:rPr>
          <w:i/>
          <w:iCs/>
          <w:lang w:val="fr-FR"/>
        </w:rPr>
        <w:t>:</w:t>
      </w:r>
    </w:p>
    <w:p w:rsidR="00422A60" w:rsidRPr="00612997" w:rsidRDefault="00422A60" w:rsidP="00612997">
      <w:pPr>
        <w:pStyle w:val="SingleTxtG"/>
        <w:ind w:left="2268" w:hanging="1134"/>
        <w:rPr>
          <w:i/>
          <w:iCs/>
          <w:lang w:val="fr-FR"/>
        </w:rPr>
      </w:pPr>
      <w:r w:rsidRPr="00612997">
        <w:rPr>
          <w:i/>
          <w:iCs/>
          <w:lang w:val="fr-FR"/>
        </w:rPr>
        <w:t>1.8.1.1</w:t>
      </w:r>
      <w:r w:rsidRPr="00612997">
        <w:rPr>
          <w:i/>
          <w:iCs/>
          <w:lang w:val="fr-FR"/>
        </w:rPr>
        <w:tab/>
        <w:t>Les véhicules de la catégorie M</w:t>
      </w:r>
      <w:r w:rsidRPr="00612997">
        <w:rPr>
          <w:i/>
          <w:iCs/>
          <w:vertAlign w:val="subscript"/>
          <w:lang w:val="fr-FR"/>
        </w:rPr>
        <w:t>3</w:t>
      </w:r>
      <w:r w:rsidRPr="00612997">
        <w:rPr>
          <w:i/>
          <w:iCs/>
          <w:lang w:val="fr-FR"/>
        </w:rPr>
        <w:t>, relevant de la classe II, III ou B selon les définitions de l</w:t>
      </w:r>
      <w:r w:rsidRPr="00612997">
        <w:rPr>
          <w:i/>
          <w:iCs/>
          <w:lang w:val="fr-FR"/>
        </w:rPr>
        <w:t>’</w:t>
      </w:r>
      <w:r w:rsidRPr="00612997">
        <w:rPr>
          <w:i/>
          <w:iCs/>
          <w:lang w:val="fr-FR"/>
        </w:rPr>
        <w:t>annexe 7 de la Résolution d</w:t>
      </w:r>
      <w:r w:rsidRPr="00612997">
        <w:rPr>
          <w:i/>
          <w:iCs/>
          <w:lang w:val="fr-FR"/>
        </w:rPr>
        <w:t>’</w:t>
      </w:r>
      <w:r w:rsidRPr="00612997">
        <w:rPr>
          <w:i/>
          <w:iCs/>
          <w:lang w:val="fr-FR"/>
        </w:rPr>
        <w:t xml:space="preserve">ensemble sur la construction des véhicules (R.E.3). </w:t>
      </w:r>
    </w:p>
    <w:p w:rsidR="00422A60" w:rsidRPr="00612997" w:rsidRDefault="00422A60" w:rsidP="00612997">
      <w:pPr>
        <w:pStyle w:val="SingleTxtG"/>
        <w:ind w:left="2268" w:hanging="1134"/>
        <w:rPr>
          <w:i/>
          <w:iCs/>
          <w:lang w:val="fr-FR"/>
        </w:rPr>
      </w:pPr>
      <w:r w:rsidRPr="00612997">
        <w:rPr>
          <w:i/>
          <w:iCs/>
          <w:lang w:val="fr-FR"/>
        </w:rPr>
        <w:t>1.8.1.2</w:t>
      </w:r>
      <w:r w:rsidRPr="00612997">
        <w:rPr>
          <w:i/>
          <w:iCs/>
          <w:lang w:val="fr-FR"/>
        </w:rPr>
        <w:tab/>
      </w:r>
      <w:r w:rsidRPr="00612997">
        <w:rPr>
          <w:i/>
          <w:iCs/>
          <w:u w:val="single"/>
          <w:lang w:val="fr-FR"/>
        </w:rPr>
        <w:t>Les véhicules de la catégorie N</w:t>
      </w:r>
      <w:r w:rsidRPr="00612997">
        <w:rPr>
          <w:i/>
          <w:iCs/>
          <w:u w:val="single"/>
          <w:vertAlign w:val="subscript"/>
          <w:lang w:val="fr-FR"/>
        </w:rPr>
        <w:t>3</w:t>
      </w:r>
      <w:r w:rsidRPr="00612997">
        <w:rPr>
          <w:i/>
          <w:iCs/>
          <w:u w:val="single"/>
          <w:lang w:val="fr-FR"/>
        </w:rPr>
        <w:t xml:space="preserve"> admis à tracter une remorque de la catégorie O</w:t>
      </w:r>
      <w:r w:rsidRPr="00612997">
        <w:rPr>
          <w:i/>
          <w:iCs/>
          <w:u w:val="single"/>
          <w:vertAlign w:val="subscript"/>
          <w:lang w:val="fr-FR"/>
        </w:rPr>
        <w:t>4</w:t>
      </w:r>
      <w:r w:rsidRPr="00612997">
        <w:rPr>
          <w:i/>
          <w:iCs/>
          <w:lang w:val="fr-FR"/>
        </w:rPr>
        <w:t>. ………………..</w:t>
      </w:r>
    </w:p>
    <w:p w:rsidR="00422A60" w:rsidRPr="00842993" w:rsidRDefault="00422A60" w:rsidP="00612997">
      <w:pPr>
        <w:pStyle w:val="SingleTxtG"/>
        <w:ind w:left="2268" w:hanging="1134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Cela justifie l</w:t>
      </w:r>
      <w:r>
        <w:rPr>
          <w:lang w:val="fr-FR"/>
        </w:rPr>
        <w:t>’</w:t>
      </w:r>
      <w:r>
        <w:rPr>
          <w:lang w:val="fr-FR"/>
        </w:rPr>
        <w:t>ajout de la mention proposée dans le tableau.</w:t>
      </w:r>
    </w:p>
    <w:p w:rsidR="00F9573C" w:rsidRPr="00422A60" w:rsidRDefault="00422A60" w:rsidP="00422A6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422A60" w:rsidSect="00422A6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67" w:rsidRDefault="00913267" w:rsidP="00F95C08">
      <w:pPr>
        <w:spacing w:line="240" w:lineRule="auto"/>
      </w:pPr>
    </w:p>
  </w:endnote>
  <w:endnote w:type="continuationSeparator" w:id="0">
    <w:p w:rsidR="00913267" w:rsidRPr="00AC3823" w:rsidRDefault="00913267" w:rsidP="00AC3823">
      <w:pPr>
        <w:pStyle w:val="Pieddepage"/>
      </w:pPr>
    </w:p>
  </w:endnote>
  <w:endnote w:type="continuationNotice" w:id="1">
    <w:p w:rsidR="00913267" w:rsidRDefault="009132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60" w:rsidRPr="00422A60" w:rsidRDefault="00422A60" w:rsidP="00422A60">
    <w:pPr>
      <w:pStyle w:val="Pieddepage"/>
      <w:tabs>
        <w:tab w:val="right" w:pos="9638"/>
      </w:tabs>
    </w:pPr>
    <w:r w:rsidRPr="00422A60">
      <w:rPr>
        <w:b/>
        <w:sz w:val="18"/>
      </w:rPr>
      <w:fldChar w:fldCharType="begin"/>
    </w:r>
    <w:r w:rsidRPr="00422A60">
      <w:rPr>
        <w:b/>
        <w:sz w:val="18"/>
      </w:rPr>
      <w:instrText xml:space="preserve"> PAGE  \* MERGEFORMAT </w:instrText>
    </w:r>
    <w:r w:rsidRPr="00422A60">
      <w:rPr>
        <w:b/>
        <w:sz w:val="18"/>
      </w:rPr>
      <w:fldChar w:fldCharType="separate"/>
    </w:r>
    <w:r w:rsidRPr="00422A60">
      <w:rPr>
        <w:b/>
        <w:noProof/>
        <w:sz w:val="18"/>
      </w:rPr>
      <w:t>2</w:t>
    </w:r>
    <w:r w:rsidRPr="00422A60">
      <w:rPr>
        <w:b/>
        <w:sz w:val="18"/>
      </w:rPr>
      <w:fldChar w:fldCharType="end"/>
    </w:r>
    <w:r>
      <w:rPr>
        <w:b/>
        <w:sz w:val="18"/>
      </w:rPr>
      <w:tab/>
    </w:r>
    <w:r>
      <w:t>GE.20-15683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60" w:rsidRPr="00422A60" w:rsidRDefault="00422A60" w:rsidP="00422A60">
    <w:pPr>
      <w:pStyle w:val="Pieddepage"/>
      <w:tabs>
        <w:tab w:val="right" w:pos="9638"/>
      </w:tabs>
      <w:rPr>
        <w:b/>
        <w:sz w:val="18"/>
      </w:rPr>
    </w:pPr>
    <w:r>
      <w:t>GE.20-15683</w:t>
    </w:r>
    <w:r>
      <w:tab/>
    </w:r>
    <w:r w:rsidRPr="00422A60">
      <w:rPr>
        <w:b/>
        <w:sz w:val="18"/>
      </w:rPr>
      <w:fldChar w:fldCharType="begin"/>
    </w:r>
    <w:r w:rsidRPr="00422A60">
      <w:rPr>
        <w:b/>
        <w:sz w:val="18"/>
      </w:rPr>
      <w:instrText xml:space="preserve"> PAGE  \* MERGEFORMAT </w:instrText>
    </w:r>
    <w:r w:rsidRPr="00422A60">
      <w:rPr>
        <w:b/>
        <w:sz w:val="18"/>
      </w:rPr>
      <w:fldChar w:fldCharType="separate"/>
    </w:r>
    <w:r w:rsidRPr="00422A60">
      <w:rPr>
        <w:b/>
        <w:noProof/>
        <w:sz w:val="18"/>
      </w:rPr>
      <w:t>3</w:t>
    </w:r>
    <w:r w:rsidRPr="00422A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22A60" w:rsidRDefault="00422A60" w:rsidP="00422A6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20-15683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041220    041220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67" w:rsidRPr="00AC3823" w:rsidRDefault="009132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3267" w:rsidRPr="00AC3823" w:rsidRDefault="009132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3267" w:rsidRPr="00AC3823" w:rsidRDefault="00913267">
      <w:pPr>
        <w:spacing w:line="240" w:lineRule="auto"/>
        <w:rPr>
          <w:sz w:val="2"/>
          <w:szCs w:val="2"/>
        </w:rPr>
      </w:pPr>
    </w:p>
  </w:footnote>
  <w:footnote w:id="2">
    <w:p w:rsidR="00422A60" w:rsidRPr="00842993" w:rsidRDefault="00422A60" w:rsidP="00422A60">
      <w:pPr>
        <w:pStyle w:val="Notedebasdepage"/>
        <w:rPr>
          <w:lang w:val="fr-FR"/>
        </w:rPr>
      </w:pPr>
      <w:r>
        <w:rPr>
          <w:lang w:val="fr-FR"/>
        </w:rPr>
        <w:tab/>
      </w:r>
      <w:r w:rsidRPr="00422A60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60" w:rsidRPr="00422A60" w:rsidRDefault="00422A60">
    <w:pPr>
      <w:pStyle w:val="En-tte"/>
    </w:pPr>
    <w:fldSimple w:instr=" TITLE  \* MERGEFORMAT ">
      <w:r>
        <w:t>ECE/TRANS/WP.29/GRVA/2021/16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60" w:rsidRPr="00422A60" w:rsidRDefault="00422A60" w:rsidP="00422A60">
    <w:pPr>
      <w:pStyle w:val="En-tte"/>
      <w:jc w:val="right"/>
    </w:pPr>
    <w:fldSimple w:instr=" TITLE  \* MERGEFORMAT ">
      <w:r>
        <w:t>ECE/TRANS/WP.29/GRVA/2021/16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A103B"/>
    <w:multiLevelType w:val="hybridMultilevel"/>
    <w:tmpl w:val="3A6006D6"/>
    <w:lvl w:ilvl="0" w:tplc="1374C0A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1374C0AC">
        <w:start w:val="1"/>
        <w:numFmt w:val="upperRoman"/>
        <w:lvlText w:val="%1."/>
        <w:lvlJc w:val="left"/>
        <w:pPr>
          <w:ind w:left="1395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7"/>
    <w:rsid w:val="00017F94"/>
    <w:rsid w:val="00023842"/>
    <w:rsid w:val="000334F9"/>
    <w:rsid w:val="00045FEB"/>
    <w:rsid w:val="0007796D"/>
    <w:rsid w:val="000B7790"/>
    <w:rsid w:val="001005CB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2A60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2997"/>
    <w:rsid w:val="0071601D"/>
    <w:rsid w:val="007A62E6"/>
    <w:rsid w:val="007F20FA"/>
    <w:rsid w:val="0080684C"/>
    <w:rsid w:val="00871C75"/>
    <w:rsid w:val="008776DC"/>
    <w:rsid w:val="008D5EF9"/>
    <w:rsid w:val="00913267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7AF5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4CCAE0"/>
  <w15:docId w15:val="{BA41D677-6933-4A61-9AE6-027487B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422A6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22A6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22A6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22A60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511</Words>
  <Characters>2511</Characters>
  <Application>Microsoft Office Word</Application>
  <DocSecurity>0</DocSecurity>
  <Lines>104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ECE/TRANS/WP.29/GRVA/2021/16</vt:lpstr>
    </vt:vector>
  </TitlesOfParts>
  <Company>DCM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ECE/TRANS/WP.29/GRVA/2021/16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2020-12-04T13:55:00Z</dcterms:created>
  <dcterms:modified xsi:type="dcterms:W3CDTF">2020-12-04T13:55:00Z</dcterms:modified>
</cp:coreProperties>
</file>