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80BE4"/>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80BE4" w:rsidRPr="00B80BE4" w:rsidRDefault="00B80BE4" w:rsidP="00B80BE4">
            <w:pPr>
              <w:jc w:val="right"/>
            </w:pPr>
            <w:r w:rsidRPr="00B80BE4">
              <w:rPr>
                <w:sz w:val="40"/>
              </w:rPr>
              <w:t>ECE</w:t>
            </w:r>
            <w:r>
              <w:t>/TRANS/WP.29/GRVA/2021/15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B80BE4" w:rsidRDefault="00B80BE4" w:rsidP="00C97039">
            <w:pPr>
              <w:spacing w:before="240"/>
            </w:pPr>
            <w:r>
              <w:t>Distr. générale</w:t>
            </w:r>
          </w:p>
          <w:p w:rsidR="00F35BAF" w:rsidRDefault="00B80BE4" w:rsidP="00B80BE4">
            <w:pPr>
              <w:spacing w:line="240" w:lineRule="exact"/>
            </w:pPr>
            <w:r>
              <w:t>20 novembre 2020</w:t>
            </w:r>
          </w:p>
          <w:p w:rsidR="00B80BE4" w:rsidRDefault="00B80BE4" w:rsidP="00B80BE4">
            <w:pPr>
              <w:spacing w:line="240" w:lineRule="exact"/>
            </w:pPr>
            <w:r>
              <w:t>Français</w:t>
            </w:r>
          </w:p>
          <w:p w:rsidR="00B80BE4" w:rsidRPr="00DB58B5" w:rsidRDefault="00B80BE4" w:rsidP="00B80BE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B80BE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B80BE4" w:rsidRDefault="00B80BE4"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80BE4" w:rsidRDefault="00B80BE4"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rsidR="00B80BE4" w:rsidRPr="00462BC2" w:rsidRDefault="00B80BE4" w:rsidP="00B80BE4">
      <w:pPr>
        <w:spacing w:before="120"/>
        <w:rPr>
          <w:b/>
          <w:lang w:val="fr-FR"/>
        </w:rPr>
      </w:pPr>
      <w:r>
        <w:rPr>
          <w:b/>
          <w:bCs/>
          <w:lang w:val="fr-FR"/>
        </w:rPr>
        <w:t>Neuvième session</w:t>
      </w:r>
    </w:p>
    <w:p w:rsidR="00B80BE4" w:rsidRPr="00462BC2" w:rsidRDefault="00B80BE4" w:rsidP="00B80BE4">
      <w:pPr>
        <w:rPr>
          <w:lang w:val="fr-FR"/>
        </w:rPr>
      </w:pPr>
      <w:bookmarkStart w:id="0" w:name="OLE_LINK2"/>
      <w:r>
        <w:rPr>
          <w:lang w:val="fr-FR"/>
        </w:rPr>
        <w:t>Point 5 a) de l</w:t>
      </w:r>
      <w:r>
        <w:rPr>
          <w:lang w:val="fr-FR"/>
        </w:rPr>
        <w:t>’</w:t>
      </w:r>
      <w:r>
        <w:rPr>
          <w:lang w:val="fr-FR"/>
        </w:rPr>
        <w:t>ordre du jour provisoire</w:t>
      </w:r>
    </w:p>
    <w:p w:rsidR="00B80BE4" w:rsidRPr="00462BC2" w:rsidRDefault="00B80BE4" w:rsidP="00B80BE4">
      <w:pPr>
        <w:rPr>
          <w:b/>
          <w:bCs/>
          <w:lang w:val="fr-FR"/>
        </w:rPr>
      </w:pPr>
      <w:r>
        <w:rPr>
          <w:b/>
          <w:bCs/>
          <w:lang w:val="fr-FR"/>
        </w:rPr>
        <w:t>Véhicules connectés</w:t>
      </w:r>
      <w:r>
        <w:rPr>
          <w:b/>
          <w:bCs/>
          <w:lang w:val="fr-FR"/>
        </w:rPr>
        <w:t> </w:t>
      </w:r>
      <w:r>
        <w:rPr>
          <w:b/>
          <w:bCs/>
          <w:lang w:val="fr-FR"/>
        </w:rPr>
        <w:t>:</w:t>
      </w:r>
      <w:r>
        <w:rPr>
          <w:b/>
          <w:bCs/>
          <w:lang w:val="fr-FR"/>
        </w:rPr>
        <w:br/>
      </w:r>
      <w:r>
        <w:rPr>
          <w:b/>
          <w:bCs/>
          <w:lang w:val="fr-FR"/>
        </w:rPr>
        <w:t>Cybersécurité et protection des données</w:t>
      </w:r>
    </w:p>
    <w:p w:rsidR="00B80BE4" w:rsidRPr="00462BC2" w:rsidRDefault="00B80BE4" w:rsidP="00B80BE4">
      <w:pPr>
        <w:pStyle w:val="HChG"/>
        <w:rPr>
          <w:lang w:val="fr-FR"/>
        </w:rPr>
      </w:pPr>
      <w:r>
        <w:rPr>
          <w:lang w:val="fr-FR"/>
        </w:rPr>
        <w:tab/>
      </w:r>
      <w:r>
        <w:rPr>
          <w:lang w:val="fr-FR"/>
        </w:rPr>
        <w:tab/>
        <w:t>Pr</w:t>
      </w:r>
      <w:bookmarkStart w:id="1" w:name="_GoBack"/>
      <w:bookmarkEnd w:id="1"/>
      <w:r>
        <w:rPr>
          <w:lang w:val="fr-FR"/>
        </w:rPr>
        <w:t>oposition de nouveau complément aux séries 01 et 02 d</w:t>
      </w:r>
      <w:r>
        <w:rPr>
          <w:lang w:val="fr-FR"/>
        </w:rPr>
        <w:t>’</w:t>
      </w:r>
      <w:r>
        <w:rPr>
          <w:lang w:val="fr-FR"/>
        </w:rPr>
        <w:t>amendements au Règlement ONU n</w:t>
      </w:r>
      <w:r>
        <w:rPr>
          <w:vertAlign w:val="superscript"/>
          <w:lang w:val="fr-FR"/>
        </w:rPr>
        <w:t>o</w:t>
      </w:r>
      <w:r>
        <w:rPr>
          <w:lang w:val="fr-FR"/>
        </w:rPr>
        <w:t xml:space="preserve"> 90 (Garnitures </w:t>
      </w:r>
      <w:r>
        <w:rPr>
          <w:lang w:val="fr-FR"/>
        </w:rPr>
        <w:br/>
      </w:r>
      <w:r>
        <w:rPr>
          <w:lang w:val="fr-FR"/>
        </w:rPr>
        <w:t>de frein de rechange)</w:t>
      </w:r>
      <w:bookmarkEnd w:id="0"/>
    </w:p>
    <w:p w:rsidR="00B80BE4" w:rsidRPr="00462BC2" w:rsidRDefault="00B80BE4" w:rsidP="00B80BE4">
      <w:pPr>
        <w:pStyle w:val="H1G"/>
        <w:rPr>
          <w:szCs w:val="24"/>
          <w:lang w:val="fr-FR"/>
        </w:rPr>
      </w:pPr>
      <w:r>
        <w:rPr>
          <w:lang w:val="fr-FR"/>
        </w:rPr>
        <w:tab/>
      </w:r>
      <w:r>
        <w:rPr>
          <w:lang w:val="fr-FR"/>
        </w:rPr>
        <w:tab/>
        <w:t>Communication de l</w:t>
      </w:r>
      <w:r>
        <w:rPr>
          <w:lang w:val="fr-FR"/>
        </w:rPr>
        <w:t>’</w:t>
      </w:r>
      <w:r>
        <w:rPr>
          <w:lang w:val="fr-FR"/>
        </w:rPr>
        <w:t>expert de l</w:t>
      </w:r>
      <w:r>
        <w:rPr>
          <w:lang w:val="fr-FR"/>
        </w:rPr>
        <w:t>’</w:t>
      </w:r>
      <w:r>
        <w:rPr>
          <w:lang w:val="fr-FR"/>
        </w:rPr>
        <w:t xml:space="preserve">Association européenne </w:t>
      </w:r>
      <w:r>
        <w:rPr>
          <w:lang w:val="fr-FR"/>
        </w:rPr>
        <w:br/>
      </w:r>
      <w:r>
        <w:rPr>
          <w:lang w:val="fr-FR"/>
        </w:rPr>
        <w:t>des fournisseurs de l</w:t>
      </w:r>
      <w:r>
        <w:rPr>
          <w:lang w:val="fr-FR"/>
        </w:rPr>
        <w:t>’</w:t>
      </w:r>
      <w:r>
        <w:rPr>
          <w:lang w:val="fr-FR"/>
        </w:rPr>
        <w:t>automobile</w:t>
      </w:r>
      <w:r w:rsidRPr="00B80BE4">
        <w:rPr>
          <w:rStyle w:val="Appelnotedebasdep"/>
          <w:b w:val="0"/>
          <w:bCs/>
          <w:sz w:val="20"/>
          <w:vertAlign w:val="baseline"/>
          <w:lang w:val="fr-FR"/>
        </w:rPr>
        <w:footnoteReference w:customMarkFollows="1" w:id="2"/>
        <w:t>*</w:t>
      </w:r>
    </w:p>
    <w:p w:rsidR="00B80BE4" w:rsidRPr="00462BC2" w:rsidRDefault="00B80BE4" w:rsidP="00B80BE4">
      <w:pPr>
        <w:pStyle w:val="SingleTxtG"/>
        <w:ind w:firstLine="567"/>
        <w:rPr>
          <w:lang w:val="fr-FR"/>
        </w:rPr>
      </w:pPr>
      <w:r>
        <w:rPr>
          <w:lang w:val="fr-FR"/>
        </w:rPr>
        <w:t>La présente proposition, établie par l</w:t>
      </w:r>
      <w:r>
        <w:rPr>
          <w:lang w:val="fr-FR"/>
        </w:rPr>
        <w:t>’</w:t>
      </w:r>
      <w:r>
        <w:rPr>
          <w:lang w:val="fr-FR"/>
        </w:rPr>
        <w:t>expert de l</w:t>
      </w:r>
      <w:r>
        <w:rPr>
          <w:lang w:val="fr-FR"/>
        </w:rPr>
        <w:t>’</w:t>
      </w:r>
      <w:r>
        <w:rPr>
          <w:lang w:val="fr-FR"/>
        </w:rPr>
        <w:t>Association européenne des fournisseurs de l</w:t>
      </w:r>
      <w:r>
        <w:rPr>
          <w:lang w:val="fr-FR"/>
        </w:rPr>
        <w:t>’</w:t>
      </w:r>
      <w:r>
        <w:rPr>
          <w:lang w:val="fr-FR"/>
        </w:rPr>
        <w:t>automobile (CLEPA), vise à résoudre le problème du respect de plus en plus difficile des obligations courantes en matière de conformité de la production, qui est lié à l</w:t>
      </w:r>
      <w:r>
        <w:rPr>
          <w:lang w:val="fr-FR"/>
        </w:rPr>
        <w:t>’</w:t>
      </w:r>
      <w:r>
        <w:rPr>
          <w:lang w:val="fr-FR"/>
        </w:rPr>
        <w:t>indisponibilité du matériel expressément prescrit. Elle est fondée sur le document informel GRVA-07-52. Les modifications qu</w:t>
      </w:r>
      <w:r>
        <w:rPr>
          <w:lang w:val="fr-FR"/>
        </w:rPr>
        <w:t>’</w:t>
      </w:r>
      <w:r>
        <w:rPr>
          <w:lang w:val="fr-FR"/>
        </w:rPr>
        <w:t>il est proposé d</w:t>
      </w:r>
      <w:r>
        <w:rPr>
          <w:lang w:val="fr-FR"/>
        </w:rPr>
        <w:t>’</w:t>
      </w:r>
      <w:r>
        <w:rPr>
          <w:lang w:val="fr-FR"/>
        </w:rPr>
        <w:t>apporter au texte actuel du Règlement figurent en caractères gras pour les ajouts et biffés pour les suppressions.</w:t>
      </w:r>
    </w:p>
    <w:p w:rsidR="00B80BE4" w:rsidRPr="00462BC2" w:rsidRDefault="00B80BE4" w:rsidP="00B80BE4">
      <w:pPr>
        <w:suppressAutoHyphens w:val="0"/>
        <w:spacing w:line="240" w:lineRule="auto"/>
        <w:rPr>
          <w:lang w:val="fr-FR"/>
        </w:rPr>
      </w:pPr>
      <w:r w:rsidRPr="00462BC2">
        <w:rPr>
          <w:lang w:val="fr-FR"/>
        </w:rPr>
        <w:br w:type="page"/>
      </w:r>
    </w:p>
    <w:p w:rsidR="00B80BE4" w:rsidRPr="00462BC2" w:rsidRDefault="00B80BE4" w:rsidP="00B80BE4">
      <w:pPr>
        <w:pStyle w:val="HChG"/>
        <w:rPr>
          <w:lang w:val="fr-FR"/>
        </w:rPr>
      </w:pPr>
      <w:r>
        <w:rPr>
          <w:lang w:val="fr-FR"/>
        </w:rPr>
        <w:lastRenderedPageBreak/>
        <w:tab/>
        <w:t>I.</w:t>
      </w:r>
      <w:r>
        <w:rPr>
          <w:lang w:val="fr-FR"/>
        </w:rPr>
        <w:tab/>
        <w:t>Proposition</w:t>
      </w:r>
    </w:p>
    <w:p w:rsidR="00B80BE4" w:rsidRPr="00462BC2" w:rsidRDefault="00B80BE4" w:rsidP="00B80BE4">
      <w:pPr>
        <w:pStyle w:val="SingleTxtG"/>
        <w:rPr>
          <w:bCs/>
          <w:i/>
          <w:iCs/>
          <w:lang w:val="fr-FR"/>
        </w:rPr>
      </w:pPr>
      <w:r w:rsidRPr="00B80BE4">
        <w:rPr>
          <w:i/>
          <w:iCs/>
          <w:lang w:val="fr-FR"/>
        </w:rPr>
        <w:t>Annexe 9, Partie A, paragraphe 3.1.1</w:t>
      </w:r>
      <w:r>
        <w:rPr>
          <w:lang w:val="fr-FR"/>
        </w:rPr>
        <w:t>, lire :</w:t>
      </w:r>
    </w:p>
    <w:p w:rsidR="00B80BE4" w:rsidRPr="00462BC2" w:rsidRDefault="00B80BE4" w:rsidP="00B80BE4">
      <w:pPr>
        <w:pStyle w:val="SingleTxtG"/>
        <w:ind w:left="2268" w:hanging="1134"/>
        <w:rPr>
          <w:lang w:val="fr-FR"/>
        </w:rPr>
      </w:pPr>
      <w:r>
        <w:rPr>
          <w:lang w:val="fr-FR"/>
        </w:rPr>
        <w:t>3.1.1</w:t>
      </w:r>
      <w:r>
        <w:rPr>
          <w:lang w:val="fr-FR"/>
        </w:rPr>
        <w:tab/>
        <w:t>Le banc doit être équipé d</w:t>
      </w:r>
      <w:r>
        <w:rPr>
          <w:lang w:val="fr-FR"/>
        </w:rPr>
        <w:t>’</w:t>
      </w:r>
      <w:r>
        <w:rPr>
          <w:lang w:val="fr-FR"/>
        </w:rPr>
        <w:t xml:space="preserve">un frein à disque </w:t>
      </w:r>
      <w:r>
        <w:rPr>
          <w:strike/>
          <w:lang w:val="fr-FR"/>
        </w:rPr>
        <w:t>à étrier fixe, muni d</w:t>
      </w:r>
      <w:r>
        <w:rPr>
          <w:strike/>
          <w:lang w:val="fr-FR"/>
        </w:rPr>
        <w:t>’</w:t>
      </w:r>
      <w:r>
        <w:rPr>
          <w:strike/>
          <w:lang w:val="fr-FR"/>
        </w:rPr>
        <w:t>un cylindre récepteur de 60 mm de diamètre</w:t>
      </w:r>
      <w:r w:rsidRPr="00B80BE4">
        <w:rPr>
          <w:strike/>
          <w:lang w:val="fr-FR"/>
        </w:rPr>
        <w:t xml:space="preserve"> </w:t>
      </w:r>
      <w:r>
        <w:rPr>
          <w:lang w:val="fr-FR"/>
        </w:rPr>
        <w:t>et d</w:t>
      </w:r>
      <w:r>
        <w:rPr>
          <w:lang w:val="fr-FR"/>
        </w:rPr>
        <w:t>’</w:t>
      </w:r>
      <w:r>
        <w:rPr>
          <w:lang w:val="fr-FR"/>
        </w:rPr>
        <w:t xml:space="preserve">un disque </w:t>
      </w:r>
      <w:r>
        <w:rPr>
          <w:b/>
          <w:bCs/>
          <w:lang w:val="fr-FR"/>
        </w:rPr>
        <w:t>correspondant</w:t>
      </w:r>
      <w:r>
        <w:rPr>
          <w:lang w:val="fr-FR"/>
        </w:rPr>
        <w:t xml:space="preserve"> </w:t>
      </w:r>
      <w:r>
        <w:rPr>
          <w:strike/>
          <w:lang w:val="fr-FR"/>
        </w:rPr>
        <w:t>plein (non ventilé) d</w:t>
      </w:r>
      <w:r>
        <w:rPr>
          <w:strike/>
          <w:lang w:val="fr-FR"/>
        </w:rPr>
        <w:t>’</w:t>
      </w:r>
      <w:r>
        <w:rPr>
          <w:strike/>
          <w:lang w:val="fr-FR"/>
        </w:rPr>
        <w:t>un diamètre de 278 ± 2 mm et d</w:t>
      </w:r>
      <w:r>
        <w:rPr>
          <w:strike/>
          <w:lang w:val="fr-FR"/>
        </w:rPr>
        <w:t>’</w:t>
      </w:r>
      <w:r>
        <w:rPr>
          <w:strike/>
          <w:lang w:val="fr-FR"/>
        </w:rPr>
        <w:t>une épaisseur de 12 ± 0,5 mm. Un</w:t>
      </w:r>
      <w:r>
        <w:rPr>
          <w:lang w:val="fr-FR"/>
        </w:rPr>
        <w:t xml:space="preserve"> </w:t>
      </w:r>
      <w:r>
        <w:rPr>
          <w:b/>
          <w:bCs/>
          <w:lang w:val="fr-FR"/>
        </w:rPr>
        <w:t>permettant à un</w:t>
      </w:r>
      <w:r>
        <w:rPr>
          <w:lang w:val="fr-FR"/>
        </w:rPr>
        <w:t xml:space="preserve"> morceau rectangulaire du matériau de friction d</w:t>
      </w:r>
      <w:r>
        <w:rPr>
          <w:lang w:val="fr-FR"/>
        </w:rPr>
        <w:t>’</w:t>
      </w:r>
      <w:r>
        <w:rPr>
          <w:lang w:val="fr-FR"/>
        </w:rPr>
        <w:t xml:space="preserve">une superficie de 44 </w:t>
      </w:r>
      <w:r>
        <w:rPr>
          <w:lang w:val="fr-FR"/>
        </w:rPr>
        <w:sym w:font="Symbol" w:char="F0B1"/>
      </w:r>
      <w:r>
        <w:rPr>
          <w:lang w:val="fr-FR"/>
        </w:rPr>
        <w:t xml:space="preserve"> 0,5 cm</w:t>
      </w:r>
      <w:r>
        <w:rPr>
          <w:vertAlign w:val="superscript"/>
          <w:lang w:val="fr-FR"/>
        </w:rPr>
        <w:t>2</w:t>
      </w:r>
      <w:r>
        <w:rPr>
          <w:lang w:val="fr-FR"/>
        </w:rPr>
        <w:t xml:space="preserve"> et d</w:t>
      </w:r>
      <w:r>
        <w:rPr>
          <w:lang w:val="fr-FR"/>
        </w:rPr>
        <w:t>’</w:t>
      </w:r>
      <w:r>
        <w:rPr>
          <w:lang w:val="fr-FR"/>
        </w:rPr>
        <w:t>une épaisseur d</w:t>
      </w:r>
      <w:r>
        <w:rPr>
          <w:lang w:val="fr-FR"/>
        </w:rPr>
        <w:t>’</w:t>
      </w:r>
      <w:r>
        <w:rPr>
          <w:lang w:val="fr-FR"/>
        </w:rPr>
        <w:t xml:space="preserve">au moins 6 mm </w:t>
      </w:r>
      <w:r>
        <w:rPr>
          <w:strike/>
          <w:lang w:val="fr-FR"/>
        </w:rPr>
        <w:t>doit</w:t>
      </w:r>
      <w:r w:rsidRPr="00B80BE4">
        <w:rPr>
          <w:strike/>
          <w:lang w:val="fr-FR"/>
        </w:rPr>
        <w:t xml:space="preserve"> </w:t>
      </w:r>
      <w:r>
        <w:rPr>
          <w:b/>
          <w:bCs/>
          <w:lang w:val="fr-FR"/>
        </w:rPr>
        <w:t>d</w:t>
      </w:r>
      <w:r>
        <w:rPr>
          <w:b/>
          <w:bCs/>
          <w:lang w:val="fr-FR"/>
        </w:rPr>
        <w:t>’</w:t>
      </w:r>
      <w:r>
        <w:rPr>
          <w:lang w:val="fr-FR"/>
        </w:rPr>
        <w:t xml:space="preserve">être fixé sur </w:t>
      </w:r>
      <w:r w:rsidRPr="00B80BE4">
        <w:rPr>
          <w:b/>
          <w:bCs/>
          <w:lang w:val="fr-FR"/>
        </w:rPr>
        <w:t>l</w:t>
      </w:r>
      <w:r>
        <w:rPr>
          <w:b/>
          <w:bCs/>
          <w:lang w:val="fr-FR"/>
        </w:rPr>
        <w:t>es semelles du frein à disque</w:t>
      </w:r>
      <w:r w:rsidRPr="00B80BE4">
        <w:rPr>
          <w:lang w:val="fr-FR"/>
        </w:rPr>
        <w:t>.</w:t>
      </w:r>
    </w:p>
    <w:p w:rsidR="00B80BE4" w:rsidRPr="00462BC2" w:rsidRDefault="00B80BE4" w:rsidP="00B80BE4">
      <w:pPr>
        <w:pStyle w:val="HChG"/>
        <w:rPr>
          <w:lang w:val="fr-FR"/>
        </w:rPr>
      </w:pPr>
      <w:r>
        <w:rPr>
          <w:lang w:val="fr-FR"/>
        </w:rPr>
        <w:tab/>
        <w:t>II.</w:t>
      </w:r>
      <w:r>
        <w:rPr>
          <w:lang w:val="fr-FR"/>
        </w:rPr>
        <w:tab/>
        <w:t>Justification</w:t>
      </w:r>
    </w:p>
    <w:p w:rsidR="00B80BE4" w:rsidRPr="00462BC2" w:rsidRDefault="00B80BE4" w:rsidP="00B80BE4">
      <w:pPr>
        <w:pStyle w:val="SingleTxtG"/>
        <w:rPr>
          <w:lang w:val="fr-FR"/>
        </w:rPr>
      </w:pPr>
      <w:r>
        <w:rPr>
          <w:lang w:val="fr-FR"/>
        </w:rPr>
        <w:t>1.</w:t>
      </w:r>
      <w:r>
        <w:rPr>
          <w:lang w:val="fr-FR"/>
        </w:rPr>
        <w:tab/>
        <w:t>Le paragraphe 3.1.1 de l</w:t>
      </w:r>
      <w:r>
        <w:rPr>
          <w:lang w:val="fr-FR"/>
        </w:rPr>
        <w:t>’</w:t>
      </w:r>
      <w:r>
        <w:rPr>
          <w:lang w:val="fr-FR"/>
        </w:rPr>
        <w:t>annexe 9 du Règlement ONU n</w:t>
      </w:r>
      <w:r>
        <w:rPr>
          <w:vertAlign w:val="superscript"/>
          <w:lang w:val="fr-FR"/>
        </w:rPr>
        <w:t>o</w:t>
      </w:r>
      <w:r>
        <w:rPr>
          <w:lang w:val="fr-FR"/>
        </w:rPr>
        <w:t xml:space="preserve"> 90, qui porte sur les essais de conformité de la production pour les garnitures de frein assemblées et les garnitures de frein à tambour pour les véhicules des catégories M</w:t>
      </w:r>
      <w:r>
        <w:rPr>
          <w:vertAlign w:val="subscript"/>
          <w:lang w:val="fr-FR"/>
        </w:rPr>
        <w:t>3</w:t>
      </w:r>
      <w:r>
        <w:rPr>
          <w:lang w:val="fr-FR"/>
        </w:rPr>
        <w:t>, N</w:t>
      </w:r>
      <w:r>
        <w:rPr>
          <w:vertAlign w:val="subscript"/>
          <w:lang w:val="fr-FR"/>
        </w:rPr>
        <w:t>2</w:t>
      </w:r>
      <w:r>
        <w:rPr>
          <w:lang w:val="fr-FR"/>
        </w:rPr>
        <w:t>, N</w:t>
      </w:r>
      <w:r>
        <w:rPr>
          <w:vertAlign w:val="subscript"/>
          <w:lang w:val="fr-FR"/>
        </w:rPr>
        <w:t>3</w:t>
      </w:r>
      <w:r>
        <w:rPr>
          <w:lang w:val="fr-FR"/>
        </w:rPr>
        <w:t>, O</w:t>
      </w:r>
      <w:r>
        <w:rPr>
          <w:vertAlign w:val="subscript"/>
          <w:lang w:val="fr-FR"/>
        </w:rPr>
        <w:t>3</w:t>
      </w:r>
      <w:r>
        <w:rPr>
          <w:lang w:val="fr-FR"/>
        </w:rPr>
        <w:t xml:space="preserve"> et O</w:t>
      </w:r>
      <w:r>
        <w:rPr>
          <w:vertAlign w:val="subscript"/>
          <w:lang w:val="fr-FR"/>
        </w:rPr>
        <w:t>4</w:t>
      </w:r>
      <w:r>
        <w:rPr>
          <w:lang w:val="fr-FR"/>
        </w:rPr>
        <w:t>, exige actuellement l</w:t>
      </w:r>
      <w:r>
        <w:rPr>
          <w:lang w:val="fr-FR"/>
        </w:rPr>
        <w:t>’</w:t>
      </w:r>
      <w:r>
        <w:rPr>
          <w:lang w:val="fr-FR"/>
        </w:rPr>
        <w:t>utilisation d</w:t>
      </w:r>
      <w:r>
        <w:rPr>
          <w:lang w:val="fr-FR"/>
        </w:rPr>
        <w:t>’</w:t>
      </w:r>
      <w:r>
        <w:rPr>
          <w:lang w:val="fr-FR"/>
        </w:rPr>
        <w:t>un type et d</w:t>
      </w:r>
      <w:r>
        <w:rPr>
          <w:lang w:val="fr-FR"/>
        </w:rPr>
        <w:t>’</w:t>
      </w:r>
      <w:r>
        <w:rPr>
          <w:lang w:val="fr-FR"/>
        </w:rPr>
        <w:t>une taille très spécifiques d</w:t>
      </w:r>
      <w:r>
        <w:rPr>
          <w:lang w:val="fr-FR"/>
        </w:rPr>
        <w:t>’</w:t>
      </w:r>
      <w:r>
        <w:rPr>
          <w:lang w:val="fr-FR"/>
        </w:rPr>
        <w:t>étrier et de disque pour que le fabricant de garnitures puisse démontrer à l</w:t>
      </w:r>
      <w:r>
        <w:rPr>
          <w:lang w:val="fr-FR"/>
        </w:rPr>
        <w:t>’</w:t>
      </w:r>
      <w:r>
        <w:rPr>
          <w:lang w:val="fr-FR"/>
        </w:rPr>
        <w:t>autorité d</w:t>
      </w:r>
      <w:r>
        <w:rPr>
          <w:lang w:val="fr-FR"/>
        </w:rPr>
        <w:t>’</w:t>
      </w:r>
      <w:r>
        <w:rPr>
          <w:lang w:val="fr-FR"/>
        </w:rPr>
        <w:t>homologation la constance de la production, lot par lot.</w:t>
      </w:r>
    </w:p>
    <w:p w:rsidR="00B80BE4" w:rsidRPr="00462BC2" w:rsidRDefault="00B80BE4" w:rsidP="00B80BE4">
      <w:pPr>
        <w:pStyle w:val="SingleTxtG"/>
        <w:rPr>
          <w:lang w:val="fr-FR"/>
        </w:rPr>
      </w:pPr>
      <w:r>
        <w:rPr>
          <w:lang w:val="fr-FR"/>
        </w:rPr>
        <w:t>2.</w:t>
      </w:r>
      <w:r>
        <w:rPr>
          <w:lang w:val="fr-FR"/>
        </w:rPr>
        <w:tab/>
        <w:t>Ces types d</w:t>
      </w:r>
      <w:r>
        <w:rPr>
          <w:lang w:val="fr-FR"/>
        </w:rPr>
        <w:t>’</w:t>
      </w:r>
      <w:r>
        <w:rPr>
          <w:lang w:val="fr-FR"/>
        </w:rPr>
        <w:t>étrier de frein et d</w:t>
      </w:r>
      <w:r>
        <w:rPr>
          <w:lang w:val="fr-FR"/>
        </w:rPr>
        <w:t>’</w:t>
      </w:r>
      <w:r>
        <w:rPr>
          <w:lang w:val="fr-FR"/>
        </w:rPr>
        <w:t>élément rotatif correspondant étaient courants lorsque le Règlement a été initialement publié, au début des années 1990, mais ce n</w:t>
      </w:r>
      <w:r>
        <w:rPr>
          <w:lang w:val="fr-FR"/>
        </w:rPr>
        <w:t>’</w:t>
      </w:r>
      <w:r>
        <w:rPr>
          <w:lang w:val="fr-FR"/>
        </w:rPr>
        <w:t>est plus le cas</w:t>
      </w:r>
      <w:r>
        <w:rPr>
          <w:lang w:val="fr-FR"/>
        </w:rPr>
        <w:t> </w:t>
      </w:r>
      <w:r>
        <w:rPr>
          <w:lang w:val="fr-FR"/>
        </w:rPr>
        <w:t>: tous les grands fabricants d</w:t>
      </w:r>
      <w:r>
        <w:rPr>
          <w:lang w:val="fr-FR"/>
        </w:rPr>
        <w:t>’</w:t>
      </w:r>
      <w:r>
        <w:rPr>
          <w:lang w:val="fr-FR"/>
        </w:rPr>
        <w:t xml:space="preserve">étriers confirment que ces freins ne sont plus produits en série. </w:t>
      </w:r>
    </w:p>
    <w:p w:rsidR="00B80BE4" w:rsidRPr="00462BC2" w:rsidRDefault="00B80BE4" w:rsidP="00B80BE4">
      <w:pPr>
        <w:pStyle w:val="SingleTxtG"/>
        <w:rPr>
          <w:lang w:val="fr-FR"/>
        </w:rPr>
      </w:pPr>
      <w:r>
        <w:rPr>
          <w:lang w:val="fr-FR"/>
        </w:rPr>
        <w:t>3.</w:t>
      </w:r>
      <w:r>
        <w:rPr>
          <w:lang w:val="fr-FR"/>
        </w:rPr>
        <w:tab/>
        <w:t>Par conséquent, dans le monde entier, les titulaires d</w:t>
      </w:r>
      <w:r>
        <w:rPr>
          <w:lang w:val="fr-FR"/>
        </w:rPr>
        <w:t>’</w:t>
      </w:r>
      <w:r>
        <w:rPr>
          <w:lang w:val="fr-FR"/>
        </w:rPr>
        <w:t>homologations conformes au Règlement ONU n</w:t>
      </w:r>
      <w:r>
        <w:rPr>
          <w:vertAlign w:val="superscript"/>
          <w:lang w:val="fr-FR"/>
        </w:rPr>
        <w:t>o</w:t>
      </w:r>
      <w:r>
        <w:rPr>
          <w:lang w:val="fr-FR"/>
        </w:rPr>
        <w:t xml:space="preserve"> 90 ont de plus en plus de mal à remplir leurs obligations courantes en matière de conformité de la production, étant donné qu</w:t>
      </w:r>
      <w:r>
        <w:rPr>
          <w:lang w:val="fr-FR"/>
        </w:rPr>
        <w:t>’</w:t>
      </w:r>
      <w:r>
        <w:rPr>
          <w:lang w:val="fr-FR"/>
        </w:rPr>
        <w:t>ils ne peuvent plus trouver et acheter le matériel expressément prescrit pour la réalisation des essais. Il est donc nécessaire de mettre à jour le paragraphe 3.1.1 de manière à tenir compte de la réalité actuelle et à éviter tout problème lié au matériel à l</w:t>
      </w:r>
      <w:r>
        <w:rPr>
          <w:lang w:val="fr-FR"/>
        </w:rPr>
        <w:t>’</w:t>
      </w:r>
      <w:r>
        <w:rPr>
          <w:lang w:val="fr-FR"/>
        </w:rPr>
        <w:t xml:space="preserve">avenir. </w:t>
      </w:r>
    </w:p>
    <w:p w:rsidR="00B80BE4" w:rsidRPr="00462BC2" w:rsidRDefault="00B80BE4" w:rsidP="00B80BE4">
      <w:pPr>
        <w:pStyle w:val="SingleTxtG"/>
        <w:rPr>
          <w:lang w:val="fr-FR"/>
        </w:rPr>
      </w:pPr>
      <w:r>
        <w:rPr>
          <w:lang w:val="fr-FR"/>
        </w:rPr>
        <w:t>4.</w:t>
      </w:r>
      <w:r>
        <w:rPr>
          <w:lang w:val="fr-FR"/>
        </w:rPr>
        <w:tab/>
        <w:t>Il est donc proposé de modifier le Règlement afin de supprimer les prescriptions précises concernant le type et la taille du frein, ainsi que la taille et la forme du disque, tout en maintenant l</w:t>
      </w:r>
      <w:r>
        <w:rPr>
          <w:lang w:val="fr-FR"/>
        </w:rPr>
        <w:t>’</w:t>
      </w:r>
      <w:r>
        <w:rPr>
          <w:lang w:val="fr-FR"/>
        </w:rPr>
        <w:t>exigence relative à la superficie et à l</w:t>
      </w:r>
      <w:r>
        <w:rPr>
          <w:lang w:val="fr-FR"/>
        </w:rPr>
        <w:t>’</w:t>
      </w:r>
      <w:r>
        <w:rPr>
          <w:lang w:val="fr-FR"/>
        </w:rPr>
        <w:t xml:space="preserve">épaisseur de la plaquette, pour assurer une continuité avec les données antérieures. </w:t>
      </w:r>
    </w:p>
    <w:p w:rsidR="00B80BE4" w:rsidRPr="00462BC2" w:rsidRDefault="00B80BE4" w:rsidP="00B80BE4">
      <w:pPr>
        <w:pStyle w:val="SingleTxtG"/>
        <w:rPr>
          <w:b/>
          <w:lang w:val="fr-FR"/>
        </w:rPr>
      </w:pPr>
      <w:r>
        <w:rPr>
          <w:lang w:val="fr-FR"/>
        </w:rPr>
        <w:t>5.</w:t>
      </w:r>
      <w:r>
        <w:rPr>
          <w:lang w:val="fr-FR"/>
        </w:rPr>
        <w:tab/>
        <w:t>Il est prévu que le fabricant devra, en accord avec l</w:t>
      </w:r>
      <w:r>
        <w:rPr>
          <w:lang w:val="fr-FR"/>
        </w:rPr>
        <w:t>’</w:t>
      </w:r>
      <w:r>
        <w:rPr>
          <w:lang w:val="fr-FR"/>
        </w:rPr>
        <w:t>autorité d</w:t>
      </w:r>
      <w:r>
        <w:rPr>
          <w:lang w:val="fr-FR"/>
        </w:rPr>
        <w:t>’</w:t>
      </w:r>
      <w:r>
        <w:rPr>
          <w:lang w:val="fr-FR"/>
        </w:rPr>
        <w:t>homologation de type, réaliser une nouvelle série d</w:t>
      </w:r>
      <w:r>
        <w:rPr>
          <w:lang w:val="fr-FR"/>
        </w:rPr>
        <w:t>’</w:t>
      </w:r>
      <w:r>
        <w:rPr>
          <w:lang w:val="fr-FR"/>
        </w:rPr>
        <w:t>essais initiaux avec le nouveau matériel afin de redéfinir ou de confirmer les valeurs attestant la conformité de la production qui serviront de données de référence pour l</w:t>
      </w:r>
      <w:r>
        <w:rPr>
          <w:lang w:val="fr-FR"/>
        </w:rPr>
        <w:t>’</w:t>
      </w:r>
      <w:r>
        <w:rPr>
          <w:lang w:val="fr-FR"/>
        </w:rPr>
        <w:t>avenir.</w:t>
      </w:r>
    </w:p>
    <w:p w:rsidR="00F9573C" w:rsidRPr="00B80BE4" w:rsidRDefault="00B80BE4" w:rsidP="00B80BE4">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B80BE4" w:rsidSect="00B80BE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D42" w:rsidRDefault="00977D42" w:rsidP="00F95C08">
      <w:pPr>
        <w:spacing w:line="240" w:lineRule="auto"/>
      </w:pPr>
    </w:p>
  </w:endnote>
  <w:endnote w:type="continuationSeparator" w:id="0">
    <w:p w:rsidR="00977D42" w:rsidRPr="00AC3823" w:rsidRDefault="00977D42" w:rsidP="00AC3823">
      <w:pPr>
        <w:pStyle w:val="Pieddepage"/>
      </w:pPr>
    </w:p>
  </w:endnote>
  <w:endnote w:type="continuationNotice" w:id="1">
    <w:p w:rsidR="00977D42" w:rsidRDefault="00977D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BE4" w:rsidRPr="00B80BE4" w:rsidRDefault="00B80BE4" w:rsidP="00B80BE4">
    <w:pPr>
      <w:pStyle w:val="Pieddepage"/>
      <w:tabs>
        <w:tab w:val="right" w:pos="9638"/>
      </w:tabs>
    </w:pPr>
    <w:r w:rsidRPr="00B80BE4">
      <w:rPr>
        <w:b/>
        <w:sz w:val="18"/>
      </w:rPr>
      <w:fldChar w:fldCharType="begin"/>
    </w:r>
    <w:r w:rsidRPr="00B80BE4">
      <w:rPr>
        <w:b/>
        <w:sz w:val="18"/>
      </w:rPr>
      <w:instrText xml:space="preserve"> PAGE  \* MERGEFORMAT </w:instrText>
    </w:r>
    <w:r w:rsidRPr="00B80BE4">
      <w:rPr>
        <w:b/>
        <w:sz w:val="18"/>
      </w:rPr>
      <w:fldChar w:fldCharType="separate"/>
    </w:r>
    <w:r w:rsidRPr="00B80BE4">
      <w:rPr>
        <w:b/>
        <w:noProof/>
        <w:sz w:val="18"/>
      </w:rPr>
      <w:t>2</w:t>
    </w:r>
    <w:r w:rsidRPr="00B80BE4">
      <w:rPr>
        <w:b/>
        <w:sz w:val="18"/>
      </w:rPr>
      <w:fldChar w:fldCharType="end"/>
    </w:r>
    <w:r>
      <w:rPr>
        <w:b/>
        <w:sz w:val="18"/>
      </w:rPr>
      <w:tab/>
    </w:r>
    <w:r>
      <w:t>GE.20-15682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BE4" w:rsidRPr="00B80BE4" w:rsidRDefault="00B80BE4" w:rsidP="00B80BE4">
    <w:pPr>
      <w:pStyle w:val="Pieddepage"/>
      <w:tabs>
        <w:tab w:val="right" w:pos="9638"/>
      </w:tabs>
      <w:rPr>
        <w:b/>
        <w:sz w:val="18"/>
      </w:rPr>
    </w:pPr>
    <w:r>
      <w:t>GE.20-15682</w:t>
    </w:r>
    <w:r>
      <w:tab/>
    </w:r>
    <w:r w:rsidRPr="00B80BE4">
      <w:rPr>
        <w:b/>
        <w:sz w:val="18"/>
      </w:rPr>
      <w:fldChar w:fldCharType="begin"/>
    </w:r>
    <w:r w:rsidRPr="00B80BE4">
      <w:rPr>
        <w:b/>
        <w:sz w:val="18"/>
      </w:rPr>
      <w:instrText xml:space="preserve"> PAGE  \* MERGEFORMAT </w:instrText>
    </w:r>
    <w:r w:rsidRPr="00B80BE4">
      <w:rPr>
        <w:b/>
        <w:sz w:val="18"/>
      </w:rPr>
      <w:fldChar w:fldCharType="separate"/>
    </w:r>
    <w:r w:rsidRPr="00B80BE4">
      <w:rPr>
        <w:b/>
        <w:noProof/>
        <w:sz w:val="18"/>
      </w:rPr>
      <w:t>3</w:t>
    </w:r>
    <w:r w:rsidRPr="00B80B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80BE4" w:rsidRDefault="00B80BE4" w:rsidP="00B80BE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20-15682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041220    041220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D42" w:rsidRPr="00AC3823" w:rsidRDefault="00977D42" w:rsidP="00AC3823">
      <w:pPr>
        <w:pStyle w:val="Pieddepage"/>
        <w:tabs>
          <w:tab w:val="right" w:pos="2155"/>
        </w:tabs>
        <w:spacing w:after="80" w:line="240" w:lineRule="atLeast"/>
        <w:ind w:left="680"/>
        <w:rPr>
          <w:u w:val="single"/>
        </w:rPr>
      </w:pPr>
      <w:r>
        <w:rPr>
          <w:u w:val="single"/>
        </w:rPr>
        <w:tab/>
      </w:r>
    </w:p>
  </w:footnote>
  <w:footnote w:type="continuationSeparator" w:id="0">
    <w:p w:rsidR="00977D42" w:rsidRPr="00AC3823" w:rsidRDefault="00977D42" w:rsidP="00AC3823">
      <w:pPr>
        <w:pStyle w:val="Pieddepage"/>
        <w:tabs>
          <w:tab w:val="right" w:pos="2155"/>
        </w:tabs>
        <w:spacing w:after="80" w:line="240" w:lineRule="atLeast"/>
        <w:ind w:left="680"/>
        <w:rPr>
          <w:u w:val="single"/>
        </w:rPr>
      </w:pPr>
      <w:r>
        <w:rPr>
          <w:u w:val="single"/>
        </w:rPr>
        <w:tab/>
      </w:r>
    </w:p>
  </w:footnote>
  <w:footnote w:type="continuationNotice" w:id="1">
    <w:p w:rsidR="00977D42" w:rsidRPr="00AC3823" w:rsidRDefault="00977D42">
      <w:pPr>
        <w:spacing w:line="240" w:lineRule="auto"/>
        <w:rPr>
          <w:sz w:val="2"/>
          <w:szCs w:val="2"/>
        </w:rPr>
      </w:pPr>
    </w:p>
  </w:footnote>
  <w:footnote w:id="2">
    <w:p w:rsidR="00B80BE4" w:rsidRPr="00462BC2" w:rsidRDefault="00B80BE4" w:rsidP="00B80BE4">
      <w:pPr>
        <w:pStyle w:val="Notedebasdepage"/>
        <w:rPr>
          <w:lang w:val="fr-FR"/>
        </w:rPr>
      </w:pPr>
      <w:r>
        <w:rPr>
          <w:lang w:val="fr-FR"/>
        </w:rPr>
        <w:tab/>
      </w:r>
      <w:r w:rsidRPr="00B80BE4">
        <w:rPr>
          <w:sz w:val="20"/>
          <w:lang w:val="fr-FR"/>
        </w:rPr>
        <w:t>*</w:t>
      </w:r>
      <w:r>
        <w:rPr>
          <w:lang w:val="fr-FR"/>
        </w:rPr>
        <w:tab/>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BE4" w:rsidRPr="00B80BE4" w:rsidRDefault="00B80BE4">
    <w:pPr>
      <w:pStyle w:val="En-tte"/>
    </w:pPr>
    <w:fldSimple w:instr=" TITLE  \* MERGEFORMAT ">
      <w:r>
        <w:t>ECE/TRANS/WP.29/GRVA/2021/15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BE4" w:rsidRPr="00B80BE4" w:rsidRDefault="00B80BE4" w:rsidP="00B80BE4">
    <w:pPr>
      <w:pStyle w:val="En-tte"/>
      <w:jc w:val="right"/>
    </w:pPr>
    <w:fldSimple w:instr=" TITLE  \* MERGEFORMAT ">
      <w:r>
        <w:t>ECE/TRANS/WP.29/GRVA/2021/15</w:t>
      </w:r>
    </w:fldSimple>
    <w:r>
      <w:br/>
    </w:r>
    <w:fldSimple w:instr=" KEYWORDS  \* MERGEFORMAT ">
      <w:r>
        <w:t>générale</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42"/>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03CE"/>
    <w:rsid w:val="009446C0"/>
    <w:rsid w:val="009705C8"/>
    <w:rsid w:val="00977D42"/>
    <w:rsid w:val="009C1CF4"/>
    <w:rsid w:val="009F6B74"/>
    <w:rsid w:val="00A3029F"/>
    <w:rsid w:val="00A30353"/>
    <w:rsid w:val="00AC3823"/>
    <w:rsid w:val="00AE323C"/>
    <w:rsid w:val="00AF0CB5"/>
    <w:rsid w:val="00B00181"/>
    <w:rsid w:val="00B00B0D"/>
    <w:rsid w:val="00B45F2E"/>
    <w:rsid w:val="00B765F7"/>
    <w:rsid w:val="00B77993"/>
    <w:rsid w:val="00B80BE4"/>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BA5110"/>
  <w15:docId w15:val="{232FE87D-FB4E-46FE-8F56-1C92C777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basedOn w:val="Policepardfaut"/>
    <w:link w:val="Notedebasdepage"/>
    <w:uiPriority w:val="99"/>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B80BE4"/>
    <w:rPr>
      <w:rFonts w:ascii="Times New Roman" w:eastAsiaTheme="minorHAnsi" w:hAnsi="Times New Roman" w:cs="Times New Roman"/>
      <w:sz w:val="20"/>
      <w:szCs w:val="20"/>
      <w:lang w:eastAsia="en-US"/>
    </w:rPr>
  </w:style>
  <w:style w:type="character" w:customStyle="1" w:styleId="H1GChar">
    <w:name w:val="_ H_1_G Char"/>
    <w:link w:val="H1G"/>
    <w:rsid w:val="00B80BE4"/>
    <w:rPr>
      <w:rFonts w:ascii="Times New Roman" w:eastAsiaTheme="minorHAnsi" w:hAnsi="Times New Roman" w:cs="Times New Roman"/>
      <w:b/>
      <w:sz w:val="24"/>
      <w:szCs w:val="20"/>
      <w:lang w:eastAsia="en-US"/>
    </w:rPr>
  </w:style>
  <w:style w:type="character" w:customStyle="1" w:styleId="HChGChar">
    <w:name w:val="_ H _Ch_G Char"/>
    <w:link w:val="HChG"/>
    <w:rsid w:val="00B80BE4"/>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564</Words>
  <Characters>3001</Characters>
  <Application>Microsoft Office Word</Application>
  <DocSecurity>0</DocSecurity>
  <Lines>63</Lines>
  <Paragraphs>26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ECE/TRANS/WP.29/GRVA/2021/15</dc:title>
  <dc:creator>Sandrine CLERE</dc:creator>
  <cp:keywords>générale</cp:keywords>
  <cp:lastModifiedBy>Sandrine CLERE</cp:lastModifiedBy>
  <cp:revision>2</cp:revision>
  <cp:lastPrinted>2014-05-14T10:59:00Z</cp:lastPrinted>
  <dcterms:created xsi:type="dcterms:W3CDTF">2020-12-04T13:38:00Z</dcterms:created>
  <dcterms:modified xsi:type="dcterms:W3CDTF">2020-12-04T13:38:00Z</dcterms:modified>
</cp:coreProperties>
</file>