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5F73FCD" w14:textId="77777777" w:rsidTr="00C97039">
        <w:trPr>
          <w:trHeight w:hRule="exact" w:val="851"/>
        </w:trPr>
        <w:tc>
          <w:tcPr>
            <w:tcW w:w="1276" w:type="dxa"/>
            <w:tcBorders>
              <w:bottom w:val="single" w:sz="4" w:space="0" w:color="auto"/>
            </w:tcBorders>
          </w:tcPr>
          <w:p w14:paraId="3B5FF5F1" w14:textId="77777777" w:rsidR="00F35BAF" w:rsidRPr="00DB58B5" w:rsidRDefault="00F35BAF" w:rsidP="0033195D"/>
        </w:tc>
        <w:tc>
          <w:tcPr>
            <w:tcW w:w="2268" w:type="dxa"/>
            <w:tcBorders>
              <w:bottom w:val="single" w:sz="4" w:space="0" w:color="auto"/>
            </w:tcBorders>
            <w:vAlign w:val="bottom"/>
          </w:tcPr>
          <w:p w14:paraId="6B6B005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2F8984C" w14:textId="77777777" w:rsidR="00F35BAF" w:rsidRPr="00DB58B5" w:rsidRDefault="0033195D" w:rsidP="0033195D">
            <w:pPr>
              <w:jc w:val="right"/>
            </w:pPr>
            <w:r w:rsidRPr="0033195D">
              <w:rPr>
                <w:sz w:val="40"/>
              </w:rPr>
              <w:t>ECE</w:t>
            </w:r>
            <w:r>
              <w:t>/TRANS/WP.29/GRVA/2021/9</w:t>
            </w:r>
          </w:p>
        </w:tc>
      </w:tr>
      <w:tr w:rsidR="00F35BAF" w:rsidRPr="00DB58B5" w14:paraId="0BC5E42E" w14:textId="77777777" w:rsidTr="00C97039">
        <w:trPr>
          <w:trHeight w:hRule="exact" w:val="2835"/>
        </w:trPr>
        <w:tc>
          <w:tcPr>
            <w:tcW w:w="1276" w:type="dxa"/>
            <w:tcBorders>
              <w:top w:val="single" w:sz="4" w:space="0" w:color="auto"/>
              <w:bottom w:val="single" w:sz="12" w:space="0" w:color="auto"/>
            </w:tcBorders>
          </w:tcPr>
          <w:p w14:paraId="49576B0C" w14:textId="77777777" w:rsidR="00F35BAF" w:rsidRPr="00DB58B5" w:rsidRDefault="00F35BAF" w:rsidP="00C97039">
            <w:pPr>
              <w:spacing w:before="120"/>
              <w:jc w:val="center"/>
            </w:pPr>
            <w:r>
              <w:rPr>
                <w:noProof/>
                <w:lang w:eastAsia="fr-CH"/>
              </w:rPr>
              <w:drawing>
                <wp:inline distT="0" distB="0" distL="0" distR="0" wp14:anchorId="5A6E1E56" wp14:editId="4D8EBFB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B2987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38F85F7" w14:textId="77777777" w:rsidR="00F35BAF" w:rsidRDefault="0033195D" w:rsidP="00C97039">
            <w:pPr>
              <w:spacing w:before="240"/>
            </w:pPr>
            <w:r>
              <w:t>Distr. générale</w:t>
            </w:r>
          </w:p>
          <w:p w14:paraId="041316D2" w14:textId="77777777" w:rsidR="0033195D" w:rsidRDefault="0033195D" w:rsidP="0033195D">
            <w:pPr>
              <w:spacing w:line="240" w:lineRule="exact"/>
            </w:pPr>
            <w:r>
              <w:t>20 novembre 2020</w:t>
            </w:r>
          </w:p>
          <w:p w14:paraId="6B5F31B4" w14:textId="77777777" w:rsidR="0033195D" w:rsidRDefault="0033195D" w:rsidP="0033195D">
            <w:pPr>
              <w:spacing w:line="240" w:lineRule="exact"/>
            </w:pPr>
            <w:r>
              <w:t>Français</w:t>
            </w:r>
          </w:p>
          <w:p w14:paraId="3E02C82B" w14:textId="77777777" w:rsidR="0033195D" w:rsidRPr="00DB58B5" w:rsidRDefault="0033195D" w:rsidP="0033195D">
            <w:pPr>
              <w:spacing w:line="240" w:lineRule="exact"/>
            </w:pPr>
            <w:r>
              <w:t>Original : anglais</w:t>
            </w:r>
          </w:p>
        </w:tc>
      </w:tr>
    </w:tbl>
    <w:p w14:paraId="41CF61EC" w14:textId="77777777" w:rsidR="007F20FA" w:rsidRPr="000312C0" w:rsidRDefault="007F20FA" w:rsidP="007F20FA">
      <w:pPr>
        <w:spacing w:before="120"/>
        <w:rPr>
          <w:b/>
          <w:sz w:val="28"/>
          <w:szCs w:val="28"/>
        </w:rPr>
      </w:pPr>
      <w:r w:rsidRPr="000312C0">
        <w:rPr>
          <w:b/>
          <w:sz w:val="28"/>
          <w:szCs w:val="28"/>
        </w:rPr>
        <w:t>Commission économique pour l’Europe</w:t>
      </w:r>
    </w:p>
    <w:p w14:paraId="4BEC70D4" w14:textId="77777777" w:rsidR="007F20FA" w:rsidRDefault="007F20FA" w:rsidP="007F20FA">
      <w:pPr>
        <w:spacing w:before="120"/>
        <w:rPr>
          <w:sz w:val="28"/>
          <w:szCs w:val="28"/>
        </w:rPr>
      </w:pPr>
      <w:r w:rsidRPr="00685843">
        <w:rPr>
          <w:sz w:val="28"/>
          <w:szCs w:val="28"/>
        </w:rPr>
        <w:t>Comité des transports intérieurs</w:t>
      </w:r>
    </w:p>
    <w:p w14:paraId="48B1438A" w14:textId="77777777" w:rsidR="0033195D" w:rsidRPr="0033195D" w:rsidRDefault="0033195D" w:rsidP="0033195D">
      <w:pPr>
        <w:rPr>
          <w:b/>
          <w:sz w:val="24"/>
          <w:szCs w:val="24"/>
          <w:lang w:val="fr-FR"/>
        </w:rPr>
      </w:pPr>
      <w:r w:rsidRPr="0033195D">
        <w:rPr>
          <w:b/>
          <w:bCs/>
          <w:sz w:val="24"/>
          <w:szCs w:val="24"/>
          <w:lang w:val="fr-FR"/>
        </w:rPr>
        <w:t xml:space="preserve">Forum mondial de l’harmonisation des Règlements </w:t>
      </w:r>
      <w:r>
        <w:rPr>
          <w:b/>
          <w:bCs/>
          <w:sz w:val="24"/>
          <w:szCs w:val="24"/>
          <w:lang w:val="fr-FR"/>
        </w:rPr>
        <w:br/>
      </w:r>
      <w:r w:rsidRPr="0033195D">
        <w:rPr>
          <w:b/>
          <w:bCs/>
          <w:sz w:val="24"/>
          <w:szCs w:val="24"/>
          <w:lang w:val="fr-FR"/>
        </w:rPr>
        <w:t>concernant les véhicules</w:t>
      </w:r>
    </w:p>
    <w:p w14:paraId="5378ECC2" w14:textId="77777777" w:rsidR="0033195D" w:rsidRPr="0033195D" w:rsidRDefault="0033195D" w:rsidP="00EF24C4">
      <w:pPr>
        <w:spacing w:before="120" w:after="120"/>
        <w:rPr>
          <w:b/>
          <w:lang w:val="fr-FR"/>
        </w:rPr>
      </w:pPr>
      <w:bookmarkStart w:id="0" w:name="_Hlk518466992"/>
      <w:r w:rsidRPr="0033195D">
        <w:rPr>
          <w:b/>
          <w:bCs/>
          <w:lang w:val="fr-FR"/>
        </w:rPr>
        <w:t>Groupe de travail des véhicules automatisés/autonomes et connectés</w:t>
      </w:r>
      <w:bookmarkEnd w:id="0"/>
    </w:p>
    <w:p w14:paraId="611FB055" w14:textId="77777777" w:rsidR="0033195D" w:rsidRPr="0033195D" w:rsidRDefault="0033195D" w:rsidP="0033195D">
      <w:pPr>
        <w:rPr>
          <w:b/>
          <w:lang w:val="fr-FR"/>
        </w:rPr>
      </w:pPr>
      <w:bookmarkStart w:id="1" w:name="OLE_LINK2"/>
      <w:r w:rsidRPr="0033195D">
        <w:rPr>
          <w:b/>
          <w:bCs/>
          <w:lang w:val="fr-FR"/>
        </w:rPr>
        <w:t>Neuvième session</w:t>
      </w:r>
    </w:p>
    <w:p w14:paraId="17BC8F43" w14:textId="77777777" w:rsidR="0033195D" w:rsidRPr="0033195D" w:rsidRDefault="0033195D" w:rsidP="0033195D">
      <w:pPr>
        <w:rPr>
          <w:lang w:val="fr-FR"/>
        </w:rPr>
      </w:pPr>
      <w:r w:rsidRPr="0033195D">
        <w:rPr>
          <w:lang w:val="fr-FR"/>
        </w:rPr>
        <w:t>Point 6 a) de l’ordre du jour provisoire</w:t>
      </w:r>
    </w:p>
    <w:p w14:paraId="37D0C3C6" w14:textId="77777777" w:rsidR="0033195D" w:rsidRPr="0033195D" w:rsidRDefault="0033195D" w:rsidP="0033195D">
      <w:pPr>
        <w:rPr>
          <w:b/>
          <w:lang w:val="fr-FR"/>
        </w:rPr>
      </w:pPr>
      <w:r w:rsidRPr="0033195D">
        <w:rPr>
          <w:b/>
          <w:bCs/>
          <w:lang w:val="fr-FR"/>
        </w:rPr>
        <w:t xml:space="preserve">Règlement ONU </w:t>
      </w:r>
      <w:r w:rsidRPr="0033195D">
        <w:rPr>
          <w:rFonts w:eastAsia="MS Mincho"/>
          <w:b/>
          <w:bCs/>
          <w:szCs w:val="22"/>
          <w:lang w:val="fr-FR"/>
        </w:rPr>
        <w:t>n</w:t>
      </w:r>
      <w:r w:rsidRPr="0033195D">
        <w:rPr>
          <w:rFonts w:eastAsia="MS Mincho"/>
          <w:b/>
          <w:bCs/>
          <w:szCs w:val="22"/>
          <w:vertAlign w:val="superscript"/>
          <w:lang w:val="fr-FR"/>
        </w:rPr>
        <w:t>o</w:t>
      </w:r>
      <w:r>
        <w:rPr>
          <w:b/>
          <w:bCs/>
          <w:lang w:val="fr-FR"/>
        </w:rPr>
        <w:t> </w:t>
      </w:r>
      <w:r w:rsidRPr="0033195D">
        <w:rPr>
          <w:b/>
          <w:bCs/>
          <w:lang w:val="fr-FR"/>
        </w:rPr>
        <w:t>79 (Équipement de direction)</w:t>
      </w:r>
      <w:r>
        <w:rPr>
          <w:b/>
          <w:bCs/>
          <w:lang w:val="fr-FR"/>
        </w:rPr>
        <w:t> </w:t>
      </w:r>
      <w:r w:rsidRPr="0033195D">
        <w:rPr>
          <w:b/>
          <w:bCs/>
          <w:lang w:val="fr-FR"/>
        </w:rPr>
        <w:t>:</w:t>
      </w:r>
    </w:p>
    <w:p w14:paraId="5EF352E0" w14:textId="77777777" w:rsidR="0033195D" w:rsidRPr="0033195D" w:rsidRDefault="0033195D" w:rsidP="0033195D">
      <w:pPr>
        <w:rPr>
          <w:b/>
          <w:lang w:val="fr-FR"/>
        </w:rPr>
      </w:pPr>
      <w:r w:rsidRPr="0033195D">
        <w:rPr>
          <w:b/>
          <w:bCs/>
          <w:lang w:val="fr-FR"/>
        </w:rPr>
        <w:t>Fonction de direction à commande automatique</w:t>
      </w:r>
    </w:p>
    <w:p w14:paraId="37BF544F" w14:textId="77777777" w:rsidR="0033195D" w:rsidRPr="0033195D" w:rsidRDefault="0033195D" w:rsidP="0033195D">
      <w:pPr>
        <w:pStyle w:val="HChG"/>
        <w:rPr>
          <w:lang w:val="fr-FR"/>
        </w:rPr>
      </w:pPr>
      <w:r w:rsidRPr="0033195D">
        <w:rPr>
          <w:lang w:val="fr-FR"/>
        </w:rPr>
        <w:tab/>
      </w:r>
      <w:r w:rsidRPr="0033195D">
        <w:rPr>
          <w:lang w:val="fr-FR"/>
        </w:rPr>
        <w:tab/>
        <w:t xml:space="preserve">Proposition de complément à la série 03 d’amendements </w:t>
      </w:r>
      <w:r>
        <w:rPr>
          <w:lang w:val="fr-FR"/>
        </w:rPr>
        <w:br/>
      </w:r>
      <w:r w:rsidRPr="0033195D">
        <w:rPr>
          <w:lang w:val="fr-FR"/>
        </w:rPr>
        <w:t xml:space="preserve">au Règlement ONU </w:t>
      </w:r>
      <w:r w:rsidRPr="0033195D">
        <w:rPr>
          <w:rFonts w:eastAsia="MS Mincho"/>
          <w:szCs w:val="22"/>
          <w:lang w:val="fr-FR"/>
        </w:rPr>
        <w:t>n</w:t>
      </w:r>
      <w:r w:rsidRPr="0033195D">
        <w:rPr>
          <w:rFonts w:eastAsia="MS Mincho"/>
          <w:szCs w:val="22"/>
          <w:vertAlign w:val="superscript"/>
          <w:lang w:val="fr-FR"/>
        </w:rPr>
        <w:t>o</w:t>
      </w:r>
      <w:r>
        <w:rPr>
          <w:lang w:val="fr-FR"/>
        </w:rPr>
        <w:t> </w:t>
      </w:r>
      <w:r w:rsidRPr="0033195D">
        <w:rPr>
          <w:lang w:val="fr-FR"/>
        </w:rPr>
        <w:t>79 (Équipement de direction)</w:t>
      </w:r>
      <w:bookmarkEnd w:id="1"/>
    </w:p>
    <w:p w14:paraId="42123AFB" w14:textId="77777777" w:rsidR="0033195D" w:rsidRPr="0033195D" w:rsidRDefault="0033195D" w:rsidP="0033195D">
      <w:pPr>
        <w:pStyle w:val="H1G"/>
        <w:rPr>
          <w:szCs w:val="24"/>
          <w:lang w:val="fr-FR"/>
        </w:rPr>
      </w:pPr>
      <w:r w:rsidRPr="0033195D">
        <w:rPr>
          <w:lang w:val="fr-FR"/>
        </w:rPr>
        <w:tab/>
      </w:r>
      <w:r w:rsidRPr="0033195D">
        <w:rPr>
          <w:lang w:val="fr-FR"/>
        </w:rPr>
        <w:tab/>
        <w:t xml:space="preserve">Communication des experts de l’Organisation internationale </w:t>
      </w:r>
      <w:r>
        <w:rPr>
          <w:lang w:val="fr-FR"/>
        </w:rPr>
        <w:br/>
      </w:r>
      <w:r w:rsidRPr="0033195D">
        <w:rPr>
          <w:lang w:val="fr-FR"/>
        </w:rPr>
        <w:t xml:space="preserve">des constructeurs d’automobiles et de l’Association européenne </w:t>
      </w:r>
      <w:r>
        <w:rPr>
          <w:lang w:val="fr-FR"/>
        </w:rPr>
        <w:br/>
      </w:r>
      <w:r w:rsidRPr="0033195D">
        <w:rPr>
          <w:lang w:val="fr-FR"/>
        </w:rPr>
        <w:t>des fournisseurs de l’automobile</w:t>
      </w:r>
      <w:r w:rsidRPr="0033195D">
        <w:rPr>
          <w:rStyle w:val="Appelnotedebasdep"/>
          <w:b w:val="0"/>
          <w:bCs/>
          <w:sz w:val="20"/>
          <w:vertAlign w:val="baseline"/>
        </w:rPr>
        <w:footnoteReference w:customMarkFollows="1" w:id="2"/>
        <w:t>*</w:t>
      </w:r>
    </w:p>
    <w:p w14:paraId="506D98AF" w14:textId="77777777" w:rsidR="0033195D" w:rsidRPr="0033195D" w:rsidRDefault="0033195D" w:rsidP="0033195D">
      <w:pPr>
        <w:pStyle w:val="SingleTxtG"/>
        <w:ind w:firstLine="567"/>
        <w:rPr>
          <w:lang w:val="fr-FR"/>
        </w:rPr>
      </w:pPr>
      <w:r w:rsidRPr="0033195D">
        <w:rPr>
          <w:lang w:val="fr-FR"/>
        </w:rPr>
        <w:tab/>
        <w:t>Le texte ci-après, établi par les experts de l’Organisation internationale des constructeurs d’automobiles (OICA) et de l’Association européenne des fournisseurs de l’automobile (CLEPA), est fondé sur le document ECE/TRANS/WP.29/GRVA/2020/22 et sur le document informel GRVA-07-19. Les modifications qu’il est proposé d’apporter au texte actuel du Règlement figurent en caractères gras pour les ajouts et biffés pour les suppressions.</w:t>
      </w:r>
    </w:p>
    <w:p w14:paraId="178741D3" w14:textId="77777777" w:rsidR="0033195D" w:rsidRPr="0033195D" w:rsidRDefault="0033195D" w:rsidP="0033195D">
      <w:pPr>
        <w:rPr>
          <w:lang w:val="fr-FR"/>
        </w:rPr>
      </w:pPr>
      <w:r w:rsidRPr="0033195D">
        <w:rPr>
          <w:lang w:val="fr-FR"/>
        </w:rPr>
        <w:br w:type="page"/>
      </w:r>
    </w:p>
    <w:p w14:paraId="3AF503BC" w14:textId="77777777" w:rsidR="0033195D" w:rsidRPr="0033195D" w:rsidRDefault="0033195D" w:rsidP="0033195D">
      <w:pPr>
        <w:pStyle w:val="HChG"/>
        <w:rPr>
          <w:lang w:val="fr-FR"/>
        </w:rPr>
      </w:pPr>
      <w:r w:rsidRPr="0033195D">
        <w:rPr>
          <w:lang w:val="fr-FR"/>
        </w:rPr>
        <w:lastRenderedPageBreak/>
        <w:tab/>
        <w:t>I.</w:t>
      </w:r>
      <w:r w:rsidRPr="0033195D">
        <w:rPr>
          <w:lang w:val="fr-FR"/>
        </w:rPr>
        <w:tab/>
        <w:t>Proposition</w:t>
      </w:r>
    </w:p>
    <w:p w14:paraId="649D1318" w14:textId="77777777" w:rsidR="0033195D" w:rsidRPr="0033195D" w:rsidRDefault="0033195D" w:rsidP="00C525A8">
      <w:pPr>
        <w:pStyle w:val="SingleTxtG"/>
        <w:spacing w:line="230" w:lineRule="atLeast"/>
        <w:rPr>
          <w:lang w:val="fr-FR"/>
        </w:rPr>
      </w:pPr>
      <w:r w:rsidRPr="0033195D">
        <w:rPr>
          <w:i/>
          <w:iCs/>
          <w:lang w:val="fr-FR"/>
        </w:rPr>
        <w:t>Paragraphe 5.6.4.1.2</w:t>
      </w:r>
      <w:r w:rsidRPr="0033195D">
        <w:rPr>
          <w:lang w:val="fr-FR"/>
        </w:rPr>
        <w:t>, lire</w:t>
      </w:r>
      <w:r w:rsidR="00EF24C4">
        <w:rPr>
          <w:lang w:val="fr-FR"/>
        </w:rPr>
        <w:t> </w:t>
      </w:r>
      <w:r w:rsidRPr="0033195D">
        <w:rPr>
          <w:lang w:val="fr-FR"/>
        </w:rPr>
        <w:t>:</w:t>
      </w:r>
    </w:p>
    <w:p w14:paraId="78F26AB7" w14:textId="77777777" w:rsidR="0033195D" w:rsidRPr="0033195D" w:rsidRDefault="0033195D" w:rsidP="00C525A8">
      <w:pPr>
        <w:pStyle w:val="SingleTxtG"/>
        <w:spacing w:line="230" w:lineRule="atLeast"/>
        <w:ind w:left="2268" w:hanging="1134"/>
        <w:rPr>
          <w:bCs/>
          <w:lang w:val="fr-FR"/>
        </w:rPr>
      </w:pPr>
      <w:bookmarkStart w:id="2" w:name="_Hlk56146177"/>
      <w:r w:rsidRPr="0033195D">
        <w:rPr>
          <w:lang w:val="fr-FR"/>
        </w:rPr>
        <w:t xml:space="preserve"> </w:t>
      </w:r>
      <w:r w:rsidRPr="0033195D">
        <w:rPr>
          <w:lang w:val="fr-FR"/>
        </w:rPr>
        <w:t>« 5.6.4.1.2</w:t>
      </w:r>
      <w:r w:rsidRPr="0033195D">
        <w:rPr>
          <w:lang w:val="fr-FR"/>
        </w:rPr>
        <w:tab/>
        <w:t>Lorsqu’une ACSF de catégorie C est activée (mode veille), l’ACSF de catégorie B1 doit avoir pour fonction de maintenir le véhicule au milieu de la voie</w:t>
      </w:r>
      <w:r w:rsidRPr="0033195D">
        <w:rPr>
          <w:b/>
          <w:bCs/>
          <w:lang w:val="fr-FR"/>
        </w:rPr>
        <w:t>, à moins qu’une position différente dans la voie ne soit jugée raisonnable en raison de la situation ou à la suite d’une intervention du conducteur (par exemple, lorsqu’un autre véhicule circule parallèlement à faible distance)</w:t>
      </w:r>
      <w:r w:rsidRPr="0033195D">
        <w:rPr>
          <w:lang w:val="fr-FR"/>
        </w:rPr>
        <w:t>.</w:t>
      </w:r>
      <w:bookmarkEnd w:id="2"/>
    </w:p>
    <w:p w14:paraId="06F4D702" w14:textId="77777777" w:rsidR="0033195D" w:rsidRPr="0033195D" w:rsidRDefault="0033195D" w:rsidP="00C525A8">
      <w:pPr>
        <w:pStyle w:val="SingleTxtG"/>
        <w:spacing w:line="230" w:lineRule="atLeast"/>
        <w:ind w:left="2268"/>
        <w:rPr>
          <w:lang w:val="fr-FR"/>
        </w:rPr>
      </w:pPr>
      <w:r w:rsidRPr="0033195D">
        <w:rPr>
          <w:lang w:val="fr-FR"/>
        </w:rPr>
        <w:t xml:space="preserve">Ceci doit être démontré au service technique </w:t>
      </w:r>
      <w:r w:rsidRPr="0033195D">
        <w:rPr>
          <w:b/>
          <w:bCs/>
          <w:lang w:val="fr-FR"/>
        </w:rPr>
        <w:t>par le constructeur du véhicule</w:t>
      </w:r>
      <w:r w:rsidRPr="0033195D">
        <w:rPr>
          <w:lang w:val="fr-FR"/>
        </w:rPr>
        <w:t xml:space="preserve"> lors de l’homologation de type. ».</w:t>
      </w:r>
    </w:p>
    <w:p w14:paraId="79E92A2F" w14:textId="77777777" w:rsidR="0033195D" w:rsidRPr="0033195D" w:rsidRDefault="0033195D" w:rsidP="00C525A8">
      <w:pPr>
        <w:pStyle w:val="SingleTxtG"/>
        <w:spacing w:line="230" w:lineRule="atLeast"/>
        <w:rPr>
          <w:lang w:val="fr-FR"/>
        </w:rPr>
      </w:pPr>
      <w:r w:rsidRPr="0033195D">
        <w:rPr>
          <w:i/>
          <w:iCs/>
          <w:lang w:val="fr-FR"/>
        </w:rPr>
        <w:t>Paragraphe 5.6.4.2.3</w:t>
      </w:r>
      <w:r w:rsidRPr="0033195D">
        <w:rPr>
          <w:lang w:val="fr-FR"/>
        </w:rPr>
        <w:t>, lire</w:t>
      </w:r>
      <w:r w:rsidR="00EF24C4">
        <w:rPr>
          <w:lang w:val="fr-FR"/>
        </w:rPr>
        <w:t> </w:t>
      </w:r>
      <w:r w:rsidRPr="0033195D">
        <w:rPr>
          <w:lang w:val="fr-FR"/>
        </w:rPr>
        <w:t>:</w:t>
      </w:r>
    </w:p>
    <w:p w14:paraId="010451B4" w14:textId="77777777" w:rsidR="0033195D" w:rsidRPr="0033195D" w:rsidRDefault="0033195D" w:rsidP="00C525A8">
      <w:pPr>
        <w:pStyle w:val="SingleTxtG"/>
        <w:spacing w:line="230" w:lineRule="atLeast"/>
        <w:ind w:left="2268" w:hanging="1134"/>
        <w:rPr>
          <w:lang w:val="fr-FR"/>
        </w:rPr>
      </w:pPr>
      <w:r w:rsidRPr="0033195D">
        <w:rPr>
          <w:lang w:val="fr-FR"/>
        </w:rPr>
        <w:t>« 5.6.4.2.3</w:t>
      </w:r>
      <w:r w:rsidRPr="0033195D">
        <w:rPr>
          <w:lang w:val="fr-FR"/>
        </w:rPr>
        <w:tab/>
        <w:t xml:space="preserve">Si le véhicule quitte un type de route sur lequel l’utilisation d’une ACSF de catégorie C est autorisée pour emprunter une route sur laquelle elle est interdite, le système doit être automatiquement désactivé (mode arrêt), </w:t>
      </w:r>
      <w:r w:rsidRPr="0033195D">
        <w:rPr>
          <w:b/>
          <w:bCs/>
          <w:lang w:val="fr-FR"/>
        </w:rPr>
        <w:t>à moins que l’absence d’une deuxième voie dans le sens de la circulation soit la seule condition non remplie parmi celles mentionnées ci-dessus (par exemple, sur une bretelle de raccordement entre deux autoroutes)</w:t>
      </w:r>
      <w:r w:rsidRPr="0033195D">
        <w:rPr>
          <w:lang w:val="fr-FR"/>
        </w:rPr>
        <w:t>. ».</w:t>
      </w:r>
    </w:p>
    <w:p w14:paraId="1DBF06FD" w14:textId="77777777" w:rsidR="0033195D" w:rsidRPr="0033195D" w:rsidRDefault="0033195D" w:rsidP="00C525A8">
      <w:pPr>
        <w:pStyle w:val="SingleTxtG"/>
        <w:spacing w:line="230" w:lineRule="atLeast"/>
        <w:rPr>
          <w:lang w:val="fr-FR"/>
        </w:rPr>
      </w:pPr>
      <w:r w:rsidRPr="0033195D">
        <w:rPr>
          <w:i/>
          <w:iCs/>
          <w:lang w:val="fr-FR"/>
        </w:rPr>
        <w:t>Paragraphe 5.6.4.3</w:t>
      </w:r>
      <w:r w:rsidRPr="0033195D">
        <w:rPr>
          <w:lang w:val="fr-FR"/>
        </w:rPr>
        <w:t>, lire</w:t>
      </w:r>
      <w:r w:rsidR="00EF24C4">
        <w:rPr>
          <w:lang w:val="fr-FR"/>
        </w:rPr>
        <w:t> </w:t>
      </w:r>
      <w:r w:rsidRPr="0033195D">
        <w:rPr>
          <w:lang w:val="fr-FR"/>
        </w:rPr>
        <w:t>:</w:t>
      </w:r>
    </w:p>
    <w:p w14:paraId="447BCBE9" w14:textId="77777777" w:rsidR="0033195D" w:rsidRPr="0033195D" w:rsidRDefault="0033195D" w:rsidP="00C525A8">
      <w:pPr>
        <w:pStyle w:val="SingleTxtG"/>
        <w:spacing w:line="230" w:lineRule="atLeast"/>
        <w:ind w:left="2268" w:hanging="1134"/>
        <w:rPr>
          <w:lang w:val="fr-FR"/>
        </w:rPr>
      </w:pPr>
      <w:r w:rsidRPr="0033195D">
        <w:rPr>
          <w:lang w:val="fr-FR"/>
        </w:rPr>
        <w:t>« 5.6.4.3</w:t>
      </w:r>
      <w:r w:rsidRPr="0033195D">
        <w:rPr>
          <w:lang w:val="fr-FR"/>
        </w:rPr>
        <w:tab/>
        <w:t>Neutralisation</w:t>
      </w:r>
    </w:p>
    <w:p w14:paraId="5C4A913B" w14:textId="77777777" w:rsidR="0033195D" w:rsidRPr="0033195D" w:rsidRDefault="0033195D" w:rsidP="00C525A8">
      <w:pPr>
        <w:pStyle w:val="SingleTxtG"/>
        <w:spacing w:line="230" w:lineRule="atLeast"/>
        <w:ind w:left="2268"/>
        <w:rPr>
          <w:lang w:val="fr-FR"/>
        </w:rPr>
      </w:pPr>
      <w:r w:rsidRPr="0033195D">
        <w:rPr>
          <w:lang w:val="fr-FR"/>
        </w:rPr>
        <w:tab/>
        <w:t>Le conducteur doit exercer une force sur la commande de direction afin de neutraliser l’action du système sur la direction. La force nécessaire pour neutraliser le changement de trajectoire déclenché par le système ne doit pas dépasser 50 N.</w:t>
      </w:r>
    </w:p>
    <w:p w14:paraId="33B27607" w14:textId="77777777" w:rsidR="0033195D" w:rsidRPr="0033195D" w:rsidRDefault="0033195D" w:rsidP="00C525A8">
      <w:pPr>
        <w:pStyle w:val="SingleTxtG"/>
        <w:spacing w:line="230" w:lineRule="atLeast"/>
        <w:ind w:left="2268"/>
        <w:rPr>
          <w:lang w:val="fr-FR"/>
        </w:rPr>
      </w:pPr>
      <w:r w:rsidRPr="0033195D">
        <w:rPr>
          <w:lang w:val="fr-FR"/>
        </w:rPr>
        <w:tab/>
        <w:t xml:space="preserve">Le système peut rester activé </w:t>
      </w:r>
      <w:r w:rsidRPr="0033195D">
        <w:rPr>
          <w:strike/>
          <w:lang w:val="fr-FR"/>
        </w:rPr>
        <w:t>(mode veille)</w:t>
      </w:r>
      <w:r w:rsidRPr="0033195D">
        <w:rPr>
          <w:lang w:val="fr-FR"/>
        </w:rPr>
        <w:t xml:space="preserve"> </w:t>
      </w:r>
      <w:r w:rsidRPr="0033195D">
        <w:rPr>
          <w:b/>
          <w:bCs/>
          <w:lang w:val="fr-FR"/>
        </w:rPr>
        <w:t>(mode actif)</w:t>
      </w:r>
      <w:r w:rsidRPr="0033195D">
        <w:rPr>
          <w:lang w:val="fr-FR"/>
        </w:rPr>
        <w:t xml:space="preserve"> pendant la période de neutralisation à condition que la priorité soit donnée au conducteur. ».</w:t>
      </w:r>
    </w:p>
    <w:p w14:paraId="6066AC1B" w14:textId="77777777" w:rsidR="0033195D" w:rsidRPr="0033195D" w:rsidRDefault="0033195D" w:rsidP="00A565F2">
      <w:pPr>
        <w:pStyle w:val="SingleTxtG"/>
        <w:rPr>
          <w:lang w:val="fr-FR"/>
        </w:rPr>
      </w:pPr>
      <w:r w:rsidRPr="0033195D">
        <w:rPr>
          <w:i/>
          <w:iCs/>
          <w:lang w:val="fr-FR"/>
        </w:rPr>
        <w:t>Paragraphe 5.6.4.7</w:t>
      </w:r>
      <w:r w:rsidRPr="0033195D">
        <w:rPr>
          <w:lang w:val="fr-FR"/>
        </w:rPr>
        <w:t>, lire</w:t>
      </w:r>
      <w:r w:rsidR="00EF24C4">
        <w:rPr>
          <w:lang w:val="fr-FR"/>
        </w:rPr>
        <w:t> </w:t>
      </w:r>
      <w:r w:rsidRPr="0033195D">
        <w:rPr>
          <w:lang w:val="fr-FR"/>
        </w:rPr>
        <w:t>:</w:t>
      </w:r>
    </w:p>
    <w:p w14:paraId="5DE55F2C" w14:textId="77777777" w:rsidR="0033195D" w:rsidRPr="0033195D" w:rsidRDefault="0033195D" w:rsidP="00C525A8">
      <w:pPr>
        <w:pStyle w:val="SingleTxtG"/>
        <w:spacing w:line="230" w:lineRule="atLeast"/>
        <w:ind w:left="2268" w:hanging="1134"/>
        <w:rPr>
          <w:lang w:val="fr-FR"/>
        </w:rPr>
      </w:pPr>
      <w:bookmarkStart w:id="3" w:name="_Hlk56146146"/>
      <w:r w:rsidRPr="0033195D">
        <w:rPr>
          <w:lang w:val="fr-FR"/>
        </w:rPr>
        <w:t>« 5.6.4.7</w:t>
      </w:r>
      <w:r w:rsidRPr="0033195D">
        <w:rPr>
          <w:lang w:val="fr-FR"/>
        </w:rPr>
        <w:tab/>
        <w:t>Situations critiques</w:t>
      </w:r>
    </w:p>
    <w:bookmarkEnd w:id="3"/>
    <w:p w14:paraId="4381133F" w14:textId="77777777" w:rsidR="0033195D" w:rsidRPr="0033195D" w:rsidRDefault="0033195D" w:rsidP="00C525A8">
      <w:pPr>
        <w:pStyle w:val="SingleTxtG"/>
        <w:spacing w:line="230" w:lineRule="atLeast"/>
        <w:ind w:left="2268"/>
        <w:rPr>
          <w:lang w:val="fr-FR"/>
        </w:rPr>
      </w:pPr>
      <w:r w:rsidRPr="0033195D">
        <w:rPr>
          <w:lang w:val="fr-FR"/>
        </w:rPr>
        <w:tab/>
        <w:t>Une situation est considérée comme critique si, au moment où débute une manœuvre de changement de voie, un véhicule en approche dans la voie de destination est obligé de ralentir en effectuant une décélération supérieure à 3</w:t>
      </w:r>
      <w:r w:rsidR="00EF24C4">
        <w:rPr>
          <w:lang w:val="fr-FR"/>
        </w:rPr>
        <w:t> </w:t>
      </w:r>
      <w:r w:rsidRPr="0033195D">
        <w:rPr>
          <w:lang w:val="fr-FR"/>
        </w:rPr>
        <w:t>m/s</w:t>
      </w:r>
      <w:r w:rsidRPr="0033195D">
        <w:rPr>
          <w:vertAlign w:val="superscript"/>
          <w:lang w:val="fr-FR"/>
        </w:rPr>
        <w:t>2</w:t>
      </w:r>
      <w:r w:rsidRPr="0033195D">
        <w:rPr>
          <w:lang w:val="fr-FR"/>
        </w:rPr>
        <w:t>, 0,4 s après le début de la manœuvre, pour que la distance entre les deux véhicules ne soit jamais inférieure à la distance parcourue en 1 s par le véhicule changeant de voie.</w:t>
      </w:r>
    </w:p>
    <w:p w14:paraId="49CC1FD1" w14:textId="77777777" w:rsidR="0033195D" w:rsidRPr="0033195D" w:rsidRDefault="0033195D" w:rsidP="00C525A8">
      <w:pPr>
        <w:pStyle w:val="SingleTxtG"/>
        <w:spacing w:line="230" w:lineRule="atLeast"/>
        <w:ind w:left="2268"/>
        <w:rPr>
          <w:lang w:val="fr-FR"/>
        </w:rPr>
      </w:pPr>
      <w:r w:rsidRPr="0033195D">
        <w:rPr>
          <w:lang w:val="fr-FR"/>
        </w:rPr>
        <w:tab/>
        <w:t>La distance critique au début de la manœuvre de changement de voie doit donc être calculée selon la formule suivante</w:t>
      </w:r>
      <w:r w:rsidR="00EF24C4">
        <w:rPr>
          <w:lang w:val="fr-FR"/>
        </w:rPr>
        <w:t> </w:t>
      </w:r>
      <w:r w:rsidRPr="0033195D">
        <w:rPr>
          <w:lang w:val="fr-FR"/>
        </w:rPr>
        <w:t>:</w:t>
      </w:r>
    </w:p>
    <w:p w14:paraId="36ED7D27" w14:textId="77777777" w:rsidR="0033195D" w:rsidRPr="0033195D" w:rsidRDefault="0033195D" w:rsidP="00C525A8">
      <w:pPr>
        <w:pStyle w:val="SingleTxtG"/>
        <w:spacing w:line="230" w:lineRule="atLeast"/>
        <w:ind w:left="2268"/>
        <w:rPr>
          <w:lang w:val="en-US"/>
        </w:rPr>
      </w:pPr>
      <w:r w:rsidRPr="0033195D">
        <w:rPr>
          <w:lang w:val="en-US"/>
        </w:rPr>
        <w:t>S</w:t>
      </w:r>
      <w:r w:rsidRPr="0033195D">
        <w:rPr>
          <w:i/>
          <w:iCs/>
          <w:vertAlign w:val="subscript"/>
          <w:lang w:val="en-US"/>
        </w:rPr>
        <w:t>critical</w:t>
      </w:r>
      <w:r w:rsidRPr="0033195D">
        <w:rPr>
          <w:i/>
          <w:iCs/>
          <w:lang w:val="en-US"/>
        </w:rPr>
        <w:t xml:space="preserve"> = (v</w:t>
      </w:r>
      <w:r w:rsidRPr="0033195D">
        <w:rPr>
          <w:i/>
          <w:iCs/>
          <w:vertAlign w:val="subscript"/>
          <w:lang w:val="en-US"/>
        </w:rPr>
        <w:t>rear</w:t>
      </w:r>
      <w:r w:rsidRPr="0033195D">
        <w:rPr>
          <w:i/>
          <w:iCs/>
          <w:lang w:val="en-US"/>
        </w:rPr>
        <w:t xml:space="preserve"> - v</w:t>
      </w:r>
      <w:r w:rsidRPr="0033195D">
        <w:rPr>
          <w:i/>
          <w:iCs/>
          <w:vertAlign w:val="subscript"/>
          <w:lang w:val="en-US"/>
        </w:rPr>
        <w:t>ACSF</w:t>
      </w:r>
      <w:r w:rsidRPr="0033195D">
        <w:rPr>
          <w:i/>
          <w:iCs/>
          <w:lang w:val="en-US"/>
        </w:rPr>
        <w:t>) * t</w:t>
      </w:r>
      <w:r w:rsidRPr="0033195D">
        <w:rPr>
          <w:i/>
          <w:iCs/>
          <w:vertAlign w:val="subscript"/>
          <w:lang w:val="en-US"/>
        </w:rPr>
        <w:t>B</w:t>
      </w:r>
      <w:r w:rsidRPr="0033195D">
        <w:rPr>
          <w:i/>
          <w:iCs/>
          <w:lang w:val="en-US"/>
        </w:rPr>
        <w:t xml:space="preserve"> + (v</w:t>
      </w:r>
      <w:r w:rsidRPr="0033195D">
        <w:rPr>
          <w:i/>
          <w:iCs/>
          <w:vertAlign w:val="subscript"/>
          <w:lang w:val="en-US"/>
        </w:rPr>
        <w:t>rear</w:t>
      </w:r>
      <w:r w:rsidRPr="0033195D">
        <w:rPr>
          <w:i/>
          <w:iCs/>
          <w:lang w:val="en-US"/>
        </w:rPr>
        <w:t xml:space="preserve"> - v</w:t>
      </w:r>
      <w:r w:rsidRPr="0033195D">
        <w:rPr>
          <w:i/>
          <w:iCs/>
          <w:vertAlign w:val="subscript"/>
          <w:lang w:val="en-US"/>
        </w:rPr>
        <w:t>ACSF</w:t>
      </w:r>
      <w:r w:rsidRPr="0033195D">
        <w:rPr>
          <w:i/>
          <w:iCs/>
          <w:lang w:val="en-US"/>
        </w:rPr>
        <w:t>)</w:t>
      </w:r>
      <w:r w:rsidRPr="0033195D">
        <w:rPr>
          <w:i/>
          <w:iCs/>
          <w:vertAlign w:val="superscript"/>
          <w:lang w:val="en-US"/>
        </w:rPr>
        <w:t>2</w:t>
      </w:r>
      <w:r w:rsidRPr="0033195D">
        <w:rPr>
          <w:i/>
          <w:iCs/>
          <w:lang w:val="en-US"/>
        </w:rPr>
        <w:t xml:space="preserve"> / (2 * a) + v</w:t>
      </w:r>
      <w:r w:rsidRPr="0033195D">
        <w:rPr>
          <w:i/>
          <w:iCs/>
          <w:vertAlign w:val="subscript"/>
          <w:lang w:val="en-US"/>
        </w:rPr>
        <w:t>ACSF</w:t>
      </w:r>
      <w:r w:rsidRPr="0033195D">
        <w:rPr>
          <w:i/>
          <w:iCs/>
          <w:lang w:val="en-US"/>
        </w:rPr>
        <w:t xml:space="preserve"> * t</w:t>
      </w:r>
      <w:r w:rsidRPr="0033195D">
        <w:rPr>
          <w:i/>
          <w:iCs/>
          <w:vertAlign w:val="subscript"/>
          <w:lang w:val="en-US"/>
        </w:rPr>
        <w:t>G</w:t>
      </w:r>
    </w:p>
    <w:p w14:paraId="4FE70E0B" w14:textId="77777777" w:rsidR="0033195D" w:rsidRPr="0033195D" w:rsidRDefault="0033195D" w:rsidP="00C525A8">
      <w:pPr>
        <w:pStyle w:val="SingleTxtG"/>
        <w:spacing w:line="230" w:lineRule="atLeast"/>
        <w:ind w:left="2268"/>
        <w:rPr>
          <w:lang w:val="en-US"/>
        </w:rPr>
      </w:pPr>
      <w:r w:rsidRPr="0033195D">
        <w:rPr>
          <w:lang w:val="en-US"/>
        </w:rPr>
        <w:tab/>
        <w:t>où :</w:t>
      </w:r>
    </w:p>
    <w:p w14:paraId="6E12A3C5" w14:textId="77777777" w:rsidR="0033195D" w:rsidRPr="0033195D" w:rsidRDefault="0033195D" w:rsidP="00C525A8">
      <w:pPr>
        <w:pStyle w:val="SingleTxtG"/>
        <w:spacing w:line="230" w:lineRule="atLeast"/>
        <w:ind w:left="2268"/>
        <w:rPr>
          <w:lang w:val="fr-FR"/>
        </w:rPr>
      </w:pPr>
      <w:r w:rsidRPr="0033195D">
        <w:rPr>
          <w:lang w:val="fr-FR"/>
        </w:rPr>
        <w:t>v</w:t>
      </w:r>
      <w:r w:rsidRPr="0033195D">
        <w:rPr>
          <w:vertAlign w:val="subscript"/>
          <w:lang w:val="fr-FR"/>
        </w:rPr>
        <w:t>rear</w:t>
      </w:r>
      <w:r w:rsidRPr="0033195D">
        <w:rPr>
          <w:lang w:val="fr-FR"/>
        </w:rPr>
        <w:tab/>
        <w:t>est</w:t>
      </w:r>
      <w:r w:rsidRPr="0033195D">
        <w:rPr>
          <w:lang w:val="fr-FR"/>
        </w:rPr>
        <w:tab/>
        <w:t>La vitesse effective du véhicule en approche ou 130 km/h, la valeur retenue étant la moins élevée ;</w:t>
      </w:r>
    </w:p>
    <w:p w14:paraId="5C21AC5C" w14:textId="77777777" w:rsidR="0033195D" w:rsidRPr="0033195D" w:rsidRDefault="0033195D" w:rsidP="00C525A8">
      <w:pPr>
        <w:pStyle w:val="SingleTxtG"/>
        <w:spacing w:line="230" w:lineRule="atLeast"/>
        <w:ind w:left="2268"/>
        <w:rPr>
          <w:lang w:val="fr-FR"/>
        </w:rPr>
      </w:pPr>
      <w:r w:rsidRPr="0033195D">
        <w:rPr>
          <w:lang w:val="fr-FR"/>
        </w:rPr>
        <w:t>v</w:t>
      </w:r>
      <w:r w:rsidRPr="0033195D">
        <w:rPr>
          <w:vertAlign w:val="subscript"/>
          <w:lang w:val="fr-FR"/>
        </w:rPr>
        <w:t>ACSF</w:t>
      </w:r>
      <w:r w:rsidRPr="0033195D">
        <w:rPr>
          <w:lang w:val="fr-FR"/>
        </w:rPr>
        <w:tab/>
        <w:t>est</w:t>
      </w:r>
      <w:r w:rsidRPr="0033195D">
        <w:rPr>
          <w:lang w:val="fr-FR"/>
        </w:rPr>
        <w:tab/>
        <w:t xml:space="preserve">La vitesse effective du véhicule équipé de l’ACSF ; </w:t>
      </w:r>
    </w:p>
    <w:p w14:paraId="12DE1F90" w14:textId="77777777" w:rsidR="0033195D" w:rsidRPr="0033195D" w:rsidRDefault="0033195D" w:rsidP="00C525A8">
      <w:pPr>
        <w:pStyle w:val="SingleTxtG"/>
        <w:spacing w:line="230" w:lineRule="atLeast"/>
        <w:ind w:left="2268"/>
        <w:rPr>
          <w:lang w:val="fr-FR"/>
        </w:rPr>
      </w:pPr>
      <w:r w:rsidRPr="0033195D">
        <w:rPr>
          <w:lang w:val="fr-FR"/>
        </w:rPr>
        <w:t>a</w:t>
      </w:r>
      <w:r w:rsidRPr="0033195D">
        <w:rPr>
          <w:lang w:val="fr-FR"/>
        </w:rPr>
        <w:tab/>
        <w:t>=</w:t>
      </w:r>
      <w:r w:rsidRPr="0033195D">
        <w:rPr>
          <w:lang w:val="fr-FR"/>
        </w:rPr>
        <w:tab/>
        <w:t>3 m/s²</w:t>
      </w:r>
      <w:r w:rsidRPr="0033195D">
        <w:rPr>
          <w:lang w:val="fr-FR"/>
        </w:rPr>
        <w:tab/>
        <w:t>(Décélération du véhicule en approche) ;</w:t>
      </w:r>
    </w:p>
    <w:p w14:paraId="6E6D9E7E" w14:textId="77777777" w:rsidR="0033195D" w:rsidRPr="0033195D" w:rsidRDefault="0033195D" w:rsidP="00C525A8">
      <w:pPr>
        <w:pStyle w:val="SingleTxtG"/>
        <w:spacing w:line="230" w:lineRule="atLeast"/>
        <w:ind w:left="2268"/>
        <w:rPr>
          <w:lang w:val="fr-FR"/>
        </w:rPr>
      </w:pPr>
      <w:r w:rsidRPr="0033195D">
        <w:rPr>
          <w:lang w:val="fr-FR"/>
        </w:rPr>
        <w:t>t</w:t>
      </w:r>
      <w:r w:rsidRPr="0033195D">
        <w:rPr>
          <w:vertAlign w:val="subscript"/>
          <w:lang w:val="fr-FR"/>
        </w:rPr>
        <w:t>B</w:t>
      </w:r>
      <w:r w:rsidRPr="0033195D">
        <w:rPr>
          <w:lang w:val="fr-FR"/>
        </w:rPr>
        <w:tab/>
        <w:t>=</w:t>
      </w:r>
      <w:r w:rsidRPr="0033195D">
        <w:rPr>
          <w:lang w:val="fr-FR"/>
        </w:rPr>
        <w:tab/>
        <w:t>0,4 s</w:t>
      </w:r>
      <w:r w:rsidRPr="0033195D">
        <w:rPr>
          <w:lang w:val="fr-FR"/>
        </w:rPr>
        <w:tab/>
        <w:t xml:space="preserve">(Temps écoulé après le début de la manœuvre de changement de voie, correspondant au début de la décélération du véhicule en approche) ; </w:t>
      </w:r>
    </w:p>
    <w:p w14:paraId="7E66370A" w14:textId="77777777" w:rsidR="0033195D" w:rsidRPr="0033195D" w:rsidRDefault="0033195D" w:rsidP="00C525A8">
      <w:pPr>
        <w:pStyle w:val="SingleTxtG"/>
        <w:spacing w:line="230" w:lineRule="atLeast"/>
        <w:ind w:left="2268"/>
        <w:rPr>
          <w:lang w:val="fr-FR"/>
        </w:rPr>
      </w:pPr>
      <w:r w:rsidRPr="0033195D">
        <w:rPr>
          <w:lang w:val="fr-FR"/>
        </w:rPr>
        <w:t>t</w:t>
      </w:r>
      <w:r w:rsidRPr="0033195D">
        <w:rPr>
          <w:vertAlign w:val="subscript"/>
          <w:lang w:val="fr-FR"/>
        </w:rPr>
        <w:t>G</w:t>
      </w:r>
      <w:r w:rsidRPr="0033195D">
        <w:rPr>
          <w:lang w:val="fr-FR"/>
        </w:rPr>
        <w:tab/>
        <w:t>=</w:t>
      </w:r>
      <w:r w:rsidRPr="0033195D">
        <w:rPr>
          <w:lang w:val="fr-FR"/>
        </w:rPr>
        <w:tab/>
        <w:t>1 s</w:t>
      </w:r>
      <w:r w:rsidRPr="0033195D">
        <w:rPr>
          <w:lang w:val="fr-FR"/>
        </w:rPr>
        <w:tab/>
        <w:t>(Écart restant entre les véhicules après la décélération du véhicule en approche).</w:t>
      </w:r>
    </w:p>
    <w:p w14:paraId="325A70CC" w14:textId="77777777" w:rsidR="0033195D" w:rsidRPr="0033195D" w:rsidRDefault="0033195D" w:rsidP="00C525A8">
      <w:pPr>
        <w:pStyle w:val="SingleTxtG"/>
        <w:spacing w:line="230" w:lineRule="atLeast"/>
        <w:ind w:left="2268"/>
        <w:rPr>
          <w:spacing w:val="-2"/>
          <w:lang w:val="fr-FR"/>
        </w:rPr>
      </w:pPr>
      <w:bookmarkStart w:id="4" w:name="_Hlk56146122"/>
      <w:r w:rsidRPr="0033195D">
        <w:rPr>
          <w:b/>
          <w:bCs/>
          <w:spacing w:val="-2"/>
          <w:lang w:val="fr-FR"/>
        </w:rPr>
        <w:t>Une tolérance de 10 % peut être appliquée à la distance critique.</w:t>
      </w:r>
      <w:r w:rsidRPr="0033195D">
        <w:rPr>
          <w:spacing w:val="-2"/>
          <w:lang w:val="fr-FR"/>
        </w:rPr>
        <w:t xml:space="preserve"> </w:t>
      </w:r>
      <w:r w:rsidRPr="0033195D">
        <w:rPr>
          <w:b/>
          <w:bCs/>
          <w:spacing w:val="-2"/>
          <w:lang w:val="fr-FR"/>
        </w:rPr>
        <w:t>L’application de cette tolérance peut amener la distance entre les deux véhicules au début de la manœuvre de changement de voie à être inférieure à la distance critique telle que calculée selon la formule ci</w:t>
      </w:r>
      <w:r w:rsidR="00EF24C4" w:rsidRPr="00C525A8">
        <w:rPr>
          <w:b/>
          <w:bCs/>
          <w:spacing w:val="-2"/>
          <w:lang w:val="fr-FR"/>
        </w:rPr>
        <w:noBreakHyphen/>
      </w:r>
      <w:r w:rsidRPr="0033195D">
        <w:rPr>
          <w:b/>
          <w:bCs/>
          <w:spacing w:val="-2"/>
          <w:lang w:val="fr-FR"/>
        </w:rPr>
        <w:t>dessus.</w:t>
      </w:r>
      <w:r w:rsidRPr="0033195D">
        <w:rPr>
          <w:spacing w:val="-2"/>
          <w:lang w:val="fr-FR"/>
        </w:rPr>
        <w:t> ».</w:t>
      </w:r>
    </w:p>
    <w:bookmarkEnd w:id="4"/>
    <w:p w14:paraId="52A606D1" w14:textId="77777777" w:rsidR="0033195D" w:rsidRPr="0033195D" w:rsidRDefault="0033195D" w:rsidP="0033195D">
      <w:pPr>
        <w:pStyle w:val="SingleTxtG"/>
        <w:rPr>
          <w:lang w:val="fr-FR"/>
        </w:rPr>
      </w:pPr>
      <w:r w:rsidRPr="0033195D">
        <w:rPr>
          <w:i/>
          <w:iCs/>
          <w:lang w:val="fr-FR"/>
        </w:rPr>
        <w:lastRenderedPageBreak/>
        <w:t>Annexe 8,</w:t>
      </w:r>
      <w:bookmarkStart w:id="5" w:name="_GoBack"/>
      <w:bookmarkEnd w:id="5"/>
    </w:p>
    <w:p w14:paraId="46606F6B" w14:textId="77777777" w:rsidR="0033195D" w:rsidRPr="0033195D" w:rsidRDefault="0033195D" w:rsidP="0033195D">
      <w:pPr>
        <w:pStyle w:val="SingleTxtG"/>
        <w:rPr>
          <w:i/>
          <w:lang w:val="fr-FR"/>
        </w:rPr>
      </w:pPr>
      <w:r w:rsidRPr="0033195D">
        <w:rPr>
          <w:i/>
          <w:iCs/>
          <w:lang w:val="fr-FR"/>
        </w:rPr>
        <w:t>Paragraphe 2</w:t>
      </w:r>
      <w:r w:rsidRPr="0033195D">
        <w:rPr>
          <w:lang w:val="fr-FR"/>
        </w:rPr>
        <w:t>, lire</w:t>
      </w:r>
      <w:r w:rsidR="00EF24C4">
        <w:rPr>
          <w:lang w:val="fr-FR"/>
        </w:rPr>
        <w:t> </w:t>
      </w:r>
      <w:r w:rsidRPr="0033195D">
        <w:rPr>
          <w:lang w:val="fr-FR"/>
        </w:rPr>
        <w:t>:</w:t>
      </w:r>
    </w:p>
    <w:p w14:paraId="7C9F407F" w14:textId="77777777" w:rsidR="0033195D" w:rsidRPr="0033195D" w:rsidRDefault="0033195D" w:rsidP="0033195D">
      <w:pPr>
        <w:pStyle w:val="SingleTxtG"/>
        <w:ind w:left="2268" w:hanging="1134"/>
      </w:pPr>
      <w:r w:rsidRPr="0033195D">
        <w:rPr>
          <w:lang w:val="fr-FR"/>
        </w:rPr>
        <w:t>« 2.</w:t>
      </w:r>
      <w:r w:rsidRPr="0033195D">
        <w:rPr>
          <w:lang w:val="fr-FR"/>
        </w:rPr>
        <w:tab/>
        <w:t>Conditions d’essai</w:t>
      </w:r>
    </w:p>
    <w:p w14:paraId="047A462C" w14:textId="77777777" w:rsidR="0033195D" w:rsidRPr="0033195D" w:rsidRDefault="0033195D" w:rsidP="0033195D">
      <w:pPr>
        <w:pStyle w:val="SingleTxtG"/>
        <w:ind w:left="2268"/>
      </w:pPr>
      <w:r w:rsidRPr="0033195D">
        <w:rPr>
          <w:lang w:val="fr-FR"/>
        </w:rPr>
        <w:t xml:space="preserve">Les essais doivent se dérouler sur une chaussée plane et sèche en bitume ou en béton offrant une bonne adhérence. La température ambiante doit être comprise entre 0 °C et 45 °C. </w:t>
      </w:r>
    </w:p>
    <w:p w14:paraId="61E2A72D" w14:textId="77777777" w:rsidR="0033195D" w:rsidRPr="0033195D" w:rsidRDefault="0033195D" w:rsidP="0033195D">
      <w:pPr>
        <w:pStyle w:val="SingleTxtG"/>
        <w:ind w:left="2268"/>
      </w:pPr>
      <w:r w:rsidRPr="0033195D">
        <w:rPr>
          <w:b/>
          <w:bCs/>
          <w:lang w:val="fr-FR"/>
        </w:rPr>
        <w:t>À la demande du constructeur et avec l’accord du service technique, les essais peuvent être effectués dans des conditions différentes si le bon fonctionnement du système dans les conditions d’essai prescrites peut être présumé.</w:t>
      </w:r>
      <w:r w:rsidRPr="0033195D">
        <w:rPr>
          <w:lang w:val="fr-FR"/>
        </w:rPr>
        <w:t> ».</w:t>
      </w:r>
    </w:p>
    <w:p w14:paraId="4F345518" w14:textId="77777777" w:rsidR="0033195D" w:rsidRPr="0033195D" w:rsidRDefault="0033195D" w:rsidP="0033195D">
      <w:pPr>
        <w:pStyle w:val="SingleTxtG"/>
        <w:rPr>
          <w:lang w:val="fr-FR"/>
        </w:rPr>
      </w:pPr>
      <w:r w:rsidRPr="0033195D">
        <w:rPr>
          <w:i/>
          <w:iCs/>
          <w:lang w:val="fr-FR"/>
        </w:rPr>
        <w:t>Paragraphe 3.5.1.2</w:t>
      </w:r>
      <w:r w:rsidRPr="0033195D">
        <w:rPr>
          <w:lang w:val="fr-FR"/>
        </w:rPr>
        <w:t>, lire</w:t>
      </w:r>
      <w:r w:rsidR="00EF24C4">
        <w:rPr>
          <w:lang w:val="fr-FR"/>
        </w:rPr>
        <w:t> </w:t>
      </w:r>
      <w:r w:rsidRPr="0033195D">
        <w:rPr>
          <w:lang w:val="fr-FR"/>
        </w:rPr>
        <w:t>:</w:t>
      </w:r>
    </w:p>
    <w:p w14:paraId="25B15B34" w14:textId="77777777" w:rsidR="0033195D" w:rsidRPr="0033195D" w:rsidRDefault="0033195D" w:rsidP="0033195D">
      <w:pPr>
        <w:pStyle w:val="SingleTxtG"/>
        <w:ind w:left="2268" w:hanging="1134"/>
        <w:rPr>
          <w:lang w:val="fr-FR"/>
        </w:rPr>
      </w:pPr>
      <w:r w:rsidRPr="0033195D">
        <w:rPr>
          <w:lang w:val="fr-FR"/>
        </w:rPr>
        <w:t>« 3.5.1.2</w:t>
      </w:r>
      <w:r w:rsidRPr="0033195D">
        <w:rPr>
          <w:lang w:val="fr-FR"/>
        </w:rPr>
        <w:tab/>
        <w:t>L’essai est satisfaisant si</w:t>
      </w:r>
      <w:r w:rsidR="00EF24C4">
        <w:rPr>
          <w:lang w:val="fr-FR"/>
        </w:rPr>
        <w:t> </w:t>
      </w:r>
      <w:r w:rsidRPr="0033195D">
        <w:rPr>
          <w:lang w:val="fr-FR"/>
        </w:rPr>
        <w:t>:</w:t>
      </w:r>
    </w:p>
    <w:p w14:paraId="2004996F" w14:textId="77777777" w:rsidR="0033195D" w:rsidRPr="0033195D" w:rsidRDefault="0033195D" w:rsidP="0033195D">
      <w:pPr>
        <w:pStyle w:val="SingleTxtG"/>
        <w:ind w:left="2835" w:hanging="567"/>
        <w:rPr>
          <w:lang w:val="fr-FR"/>
        </w:rPr>
      </w:pPr>
      <w:r w:rsidRPr="0033195D">
        <w:rPr>
          <w:lang w:val="fr-FR"/>
        </w:rPr>
        <w:t>a)</w:t>
      </w:r>
      <w:r w:rsidRPr="0033195D">
        <w:rPr>
          <w:lang w:val="fr-FR"/>
        </w:rPr>
        <w:tab/>
        <w:t>Le déplacement latéral en direction des marques ne commence pas dans un délai inférieur à 1 s après que la procédure de changement de voie a été engagée ;</w:t>
      </w:r>
    </w:p>
    <w:p w14:paraId="6B7EEBFF" w14:textId="77777777" w:rsidR="0033195D" w:rsidRPr="0033195D" w:rsidRDefault="0033195D" w:rsidP="0033195D">
      <w:pPr>
        <w:pStyle w:val="SingleTxtG"/>
        <w:ind w:left="2835" w:hanging="567"/>
        <w:rPr>
          <w:lang w:val="fr-FR"/>
        </w:rPr>
      </w:pPr>
      <w:r w:rsidRPr="0033195D">
        <w:rPr>
          <w:lang w:val="fr-FR"/>
        </w:rPr>
        <w:t>b)</w:t>
      </w:r>
      <w:r w:rsidRPr="0033195D">
        <w:rPr>
          <w:lang w:val="fr-FR"/>
        </w:rPr>
        <w:tab/>
        <w:t>Le déplacement latéral en direction des marques et le déplacement latéral nécessaire pour achever la manœuvre de changement de voie s’effectuent en un seul mouvement continu ;</w:t>
      </w:r>
    </w:p>
    <w:p w14:paraId="7F308A12" w14:textId="77777777" w:rsidR="0033195D" w:rsidRPr="0033195D" w:rsidRDefault="0033195D" w:rsidP="0033195D">
      <w:pPr>
        <w:pStyle w:val="SingleTxtG"/>
        <w:ind w:left="2835"/>
        <w:rPr>
          <w:lang w:val="fr-FR"/>
        </w:rPr>
      </w:pPr>
      <w:r w:rsidRPr="0033195D">
        <w:rPr>
          <w:lang w:val="fr-FR"/>
        </w:rPr>
        <w:tab/>
        <w:t>[…]</w:t>
      </w:r>
    </w:p>
    <w:p w14:paraId="042DDF3C" w14:textId="77777777" w:rsidR="0033195D" w:rsidRPr="0033195D" w:rsidRDefault="0033195D" w:rsidP="0033195D">
      <w:pPr>
        <w:pStyle w:val="SingleTxtG"/>
        <w:ind w:left="2835" w:hanging="567"/>
        <w:rPr>
          <w:lang w:val="fr-FR"/>
        </w:rPr>
      </w:pPr>
      <w:r w:rsidRPr="0033195D">
        <w:rPr>
          <w:lang w:val="fr-FR"/>
        </w:rPr>
        <w:t>j)</w:t>
      </w:r>
      <w:r w:rsidRPr="0033195D">
        <w:rPr>
          <w:lang w:val="fr-FR"/>
        </w:rPr>
        <w:tab/>
        <w:t xml:space="preserve">L’indicateur de direction n’est pas désactivé avant la fin de la manœuvre de changement de voie et cette désactivation n’intervient pas au-delà d’un délai de 0,5 s après la reprise de l’ACSF de catégorie B1, dans le cas où le déplacement latéral est engagé automatiquement </w:t>
      </w:r>
      <w:r w:rsidRPr="0033195D">
        <w:rPr>
          <w:b/>
          <w:bCs/>
          <w:lang w:val="fr-FR"/>
        </w:rPr>
        <w:t>et où la commande de l’indicateur de direction n’était pas complètement enclenchée (position verrouillée) pendant la manœuvre de changement de voie</w:t>
      </w:r>
      <w:r w:rsidRPr="0033195D">
        <w:rPr>
          <w:lang w:val="fr-FR"/>
        </w:rPr>
        <w:t>. ».</w:t>
      </w:r>
    </w:p>
    <w:p w14:paraId="6ED9BCA9" w14:textId="77777777" w:rsidR="0033195D" w:rsidRPr="0033195D" w:rsidRDefault="0033195D" w:rsidP="0033195D">
      <w:pPr>
        <w:pStyle w:val="HChG"/>
        <w:rPr>
          <w:lang w:val="fr-FR"/>
        </w:rPr>
      </w:pPr>
      <w:r w:rsidRPr="0033195D">
        <w:rPr>
          <w:lang w:val="fr-FR"/>
        </w:rPr>
        <w:tab/>
        <w:t>II.</w:t>
      </w:r>
      <w:r w:rsidRPr="0033195D">
        <w:rPr>
          <w:lang w:val="fr-FR"/>
        </w:rPr>
        <w:tab/>
        <w:t>Justification</w:t>
      </w:r>
    </w:p>
    <w:p w14:paraId="3227A49E" w14:textId="77777777" w:rsidR="0033195D" w:rsidRPr="0033195D" w:rsidRDefault="0033195D" w:rsidP="0033195D">
      <w:pPr>
        <w:pStyle w:val="H1G"/>
        <w:rPr>
          <w:lang w:val="fr-FR"/>
        </w:rPr>
      </w:pPr>
      <w:r w:rsidRPr="0033195D">
        <w:rPr>
          <w:lang w:val="fr-FR"/>
        </w:rPr>
        <w:tab/>
        <w:t>A.</w:t>
      </w:r>
      <w:r w:rsidRPr="0033195D">
        <w:rPr>
          <w:lang w:val="fr-FR"/>
        </w:rPr>
        <w:tab/>
        <w:t>Centrage dans la voie (paragraphe 5.6.4.1.2)</w:t>
      </w:r>
    </w:p>
    <w:p w14:paraId="35E319BD" w14:textId="77777777" w:rsidR="0033195D" w:rsidRPr="0033195D" w:rsidRDefault="0033195D" w:rsidP="0033195D">
      <w:pPr>
        <w:pStyle w:val="SingleTxtG"/>
        <w:rPr>
          <w:lang w:val="fr-FR"/>
        </w:rPr>
      </w:pPr>
      <w:r w:rsidRPr="0033195D">
        <w:rPr>
          <w:lang w:val="fr-FR"/>
        </w:rPr>
        <w:t>1.</w:t>
      </w:r>
      <w:r w:rsidRPr="0033195D">
        <w:rPr>
          <w:lang w:val="fr-FR"/>
        </w:rPr>
        <w:tab/>
        <w:t>La modification proposée vise à mettre les dispositions du Règlement en conformité avec le principe convenu des systèmes automatisés de maintien dans la voie (ALKS), l’objectif de cette disposition étant que le véhicule ait un comportement stable, et pas nécessairement qu’il soit centré sur la voie à tout moment. Lorsque le conducteur adapte sa position par rapport à un véhicule circulant à proximité dans une voie adjacente, ou se déporte pour éviter un nid de poule, le centrage du véhicule dans la voie n’est</w:t>
      </w:r>
      <w:r w:rsidR="00EF24C4">
        <w:rPr>
          <w:lang w:val="fr-FR"/>
        </w:rPr>
        <w:t xml:space="preserve"> </w:t>
      </w:r>
      <w:r w:rsidRPr="0033195D">
        <w:rPr>
          <w:lang w:val="fr-FR"/>
        </w:rPr>
        <w:t xml:space="preserve">pas la bonne stratégie de contrôle de l’ACSF de catégorie B1. </w:t>
      </w:r>
    </w:p>
    <w:p w14:paraId="645F476B" w14:textId="77777777" w:rsidR="0033195D" w:rsidRPr="0033195D" w:rsidRDefault="0033195D" w:rsidP="0033195D">
      <w:pPr>
        <w:pStyle w:val="H1G"/>
        <w:rPr>
          <w:lang w:val="fr-FR"/>
        </w:rPr>
      </w:pPr>
      <w:r w:rsidRPr="0033195D">
        <w:rPr>
          <w:lang w:val="fr-FR"/>
        </w:rPr>
        <w:tab/>
        <w:t>B.</w:t>
      </w:r>
      <w:r w:rsidRPr="0033195D">
        <w:rPr>
          <w:lang w:val="fr-FR"/>
        </w:rPr>
        <w:tab/>
      </w:r>
      <w:r w:rsidRPr="0033195D">
        <w:rPr>
          <w:bCs/>
          <w:lang w:val="fr-FR"/>
        </w:rPr>
        <w:t>Conditions d’activation (paragraphe 5.6.4.2.3)</w:t>
      </w:r>
    </w:p>
    <w:p w14:paraId="3643B2F5" w14:textId="77777777" w:rsidR="0033195D" w:rsidRPr="0033195D" w:rsidRDefault="0033195D" w:rsidP="0033195D">
      <w:pPr>
        <w:pStyle w:val="SingleTxtG"/>
        <w:rPr>
          <w:lang w:val="fr-FR"/>
        </w:rPr>
      </w:pPr>
      <w:r w:rsidRPr="0033195D">
        <w:rPr>
          <w:lang w:val="fr-FR"/>
        </w:rPr>
        <w:t>2</w:t>
      </w:r>
      <w:r w:rsidR="00F213DA">
        <w:rPr>
          <w:lang w:val="fr-FR"/>
        </w:rPr>
        <w:tab/>
      </w:r>
      <w:r w:rsidRPr="0033195D">
        <w:rPr>
          <w:lang w:val="fr-FR"/>
        </w:rPr>
        <w:t>Dans le contexte du passage d’une autoroute à une autre, par exemple lorsque la route</w:t>
      </w:r>
      <w:r w:rsidR="00EF24C4">
        <w:rPr>
          <w:lang w:val="fr-FR"/>
        </w:rPr>
        <w:t xml:space="preserve"> </w:t>
      </w:r>
      <w:r w:rsidRPr="0033195D">
        <w:rPr>
          <w:lang w:val="fr-FR"/>
        </w:rPr>
        <w:t>ne comporte plus temporairement</w:t>
      </w:r>
      <w:r w:rsidR="00EF24C4">
        <w:rPr>
          <w:lang w:val="fr-FR"/>
        </w:rPr>
        <w:t xml:space="preserve"> </w:t>
      </w:r>
      <w:r w:rsidRPr="0033195D">
        <w:rPr>
          <w:lang w:val="fr-FR"/>
        </w:rPr>
        <w:t>qu’une seule voie, l’ACSF de catégorie C devrait pouvoir rester en veille, sinon le conducteur ne comprendrait pas qu’il doive</w:t>
      </w:r>
      <w:r w:rsidR="00EF24C4">
        <w:rPr>
          <w:lang w:val="fr-FR"/>
        </w:rPr>
        <w:t xml:space="preserve"> </w:t>
      </w:r>
      <w:r w:rsidRPr="0033195D">
        <w:rPr>
          <w:lang w:val="fr-FR"/>
        </w:rPr>
        <w:t xml:space="preserve">la réactiver alors que l’ACSF de catégorie B1 est toujours active. </w:t>
      </w:r>
    </w:p>
    <w:p w14:paraId="5E3527BC" w14:textId="77777777" w:rsidR="0033195D" w:rsidRPr="0033195D" w:rsidRDefault="0033195D" w:rsidP="0033195D">
      <w:pPr>
        <w:ind w:left="1134"/>
        <w:rPr>
          <w:b/>
          <w:sz w:val="28"/>
        </w:rPr>
      </w:pPr>
      <w:r w:rsidRPr="0033195D">
        <w:rPr>
          <w:noProof/>
          <w:lang w:eastAsia="de-DE"/>
        </w:rPr>
        <w:lastRenderedPageBreak/>
        <w:drawing>
          <wp:inline distT="0" distB="0" distL="0" distR="0" wp14:anchorId="31709E71" wp14:editId="487B145D">
            <wp:extent cx="2762250" cy="1562100"/>
            <wp:effectExtent l="0" t="0" r="0" b="0"/>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62250" cy="1562100"/>
                    </a:xfrm>
                    <a:prstGeom prst="rect">
                      <a:avLst/>
                    </a:prstGeom>
                  </pic:spPr>
                </pic:pic>
              </a:graphicData>
            </a:graphic>
          </wp:inline>
        </w:drawing>
      </w:r>
    </w:p>
    <w:p w14:paraId="3842431F" w14:textId="77777777" w:rsidR="0033195D" w:rsidRPr="0033195D" w:rsidRDefault="0033195D" w:rsidP="0033195D">
      <w:pPr>
        <w:pStyle w:val="H1G"/>
        <w:rPr>
          <w:lang w:val="fr-FR"/>
        </w:rPr>
      </w:pPr>
      <w:r w:rsidRPr="0033195D">
        <w:rPr>
          <w:lang w:val="fr-FR"/>
        </w:rPr>
        <w:tab/>
        <w:t>C.</w:t>
      </w:r>
      <w:r w:rsidRPr="0033195D">
        <w:rPr>
          <w:lang w:val="fr-FR"/>
        </w:rPr>
        <w:tab/>
      </w:r>
      <w:r w:rsidRPr="0033195D">
        <w:rPr>
          <w:bCs/>
          <w:lang w:val="fr-FR"/>
        </w:rPr>
        <w:t>Neutralisation (paragraphe 5.6.4.3)</w:t>
      </w:r>
      <w:r w:rsidRPr="0033195D">
        <w:rPr>
          <w:lang w:val="fr-FR"/>
        </w:rPr>
        <w:t xml:space="preserve"> </w:t>
      </w:r>
    </w:p>
    <w:p w14:paraId="6115BE59" w14:textId="77777777" w:rsidR="0033195D" w:rsidRPr="0033195D" w:rsidRDefault="0033195D" w:rsidP="0033195D">
      <w:pPr>
        <w:pStyle w:val="SingleTxtG"/>
        <w:rPr>
          <w:lang w:val="fr-FR"/>
        </w:rPr>
      </w:pPr>
      <w:r w:rsidRPr="0033195D">
        <w:rPr>
          <w:lang w:val="fr-FR"/>
        </w:rPr>
        <w:t>3.</w:t>
      </w:r>
      <w:r w:rsidRPr="0033195D">
        <w:rPr>
          <w:lang w:val="fr-FR"/>
        </w:rPr>
        <w:tab/>
        <w:t xml:space="preserve">La disposition originale est contradictoire, puisqu’elle prévoit que le système peut rester en mode veille à condition que la priorité soit donnée au conducteur. En mode veille, le système ne serait pas autorisé à fournir une assistance, de sorte qu’il ne serait pas nécessaire d’exiger que la priorité soit accordée au conducteur. La proposition vise à préciser que la procédure de changement de voie peut rester active à condition que la priorité soit donnée au conducteur. </w:t>
      </w:r>
    </w:p>
    <w:p w14:paraId="1A343E1E" w14:textId="77777777" w:rsidR="0033195D" w:rsidRPr="0033195D" w:rsidRDefault="0033195D" w:rsidP="0033195D">
      <w:pPr>
        <w:pStyle w:val="H1G"/>
        <w:rPr>
          <w:lang w:val="fr-FR"/>
        </w:rPr>
      </w:pPr>
      <w:r w:rsidRPr="0033195D">
        <w:rPr>
          <w:lang w:val="fr-FR"/>
        </w:rPr>
        <w:tab/>
        <w:t>D.</w:t>
      </w:r>
      <w:r w:rsidRPr="0033195D">
        <w:rPr>
          <w:lang w:val="fr-FR"/>
        </w:rPr>
        <w:tab/>
      </w:r>
      <w:r w:rsidRPr="0033195D">
        <w:rPr>
          <w:lang w:val="fr-FR"/>
        </w:rPr>
        <w:tab/>
      </w:r>
      <w:r w:rsidRPr="0033195D">
        <w:rPr>
          <w:bCs/>
          <w:lang w:val="fr-FR"/>
        </w:rPr>
        <w:t>Tolérance à l’égard des situations critiques (paragraphe 5.6.4.7)</w:t>
      </w:r>
    </w:p>
    <w:p w14:paraId="613FB9F2" w14:textId="77777777" w:rsidR="0033195D" w:rsidRPr="0033195D" w:rsidRDefault="0033195D" w:rsidP="0033195D">
      <w:pPr>
        <w:pStyle w:val="SingleTxtG"/>
        <w:rPr>
          <w:lang w:val="fr-FR"/>
        </w:rPr>
      </w:pPr>
      <w:r w:rsidRPr="0033195D">
        <w:rPr>
          <w:lang w:val="fr-FR"/>
        </w:rPr>
        <w:t>4.</w:t>
      </w:r>
      <w:r w:rsidRPr="0033195D">
        <w:rPr>
          <w:lang w:val="fr-FR"/>
        </w:rPr>
        <w:tab/>
        <w:t>L’amendement proposé vise à tenir compte du fait que la distance entre le véhicule changeant de voie et le véhicule en approche par l’arrière est calculée au moment où le véhicule changeant de voie s’approche des marques routières. Une évolution du comportement dynamique du véhicule changeant de voie ou du véhicule en approche par l’arrière (accélération ou décélération, par exemple), ainsi que la tolérance relative à la détection de la vitesse, peuvent amener la distance réelle entre les deux véhicules à être légèrement différente de la distance calculée. Si une tolérance était admise pour la distance critique, l’ACSF de catégorie C ne devrait pas prévoir une marge de sécurité si grande pour ne jamais tomber en dessous de la valeur minimale, et pourrait donc trouver plus facilement des créneaux appropriés.</w:t>
      </w:r>
    </w:p>
    <w:p w14:paraId="64CD69D4" w14:textId="77777777" w:rsidR="0033195D" w:rsidRPr="0033195D" w:rsidRDefault="0033195D" w:rsidP="0033195D">
      <w:pPr>
        <w:pStyle w:val="SingleTxtG"/>
        <w:rPr>
          <w:lang w:val="fr-FR"/>
        </w:rPr>
      </w:pPr>
      <w:r w:rsidRPr="0033195D">
        <w:rPr>
          <w:lang w:val="fr-FR"/>
        </w:rPr>
        <w:t>5.</w:t>
      </w:r>
      <w:r w:rsidRPr="0033195D">
        <w:rPr>
          <w:lang w:val="fr-FR"/>
        </w:rPr>
        <w:tab/>
        <w:t>Les calculs ci-après montrent que la tolérance proposée ne rend pas une situation donnée sensiblement plus critique</w:t>
      </w:r>
      <w:r w:rsidR="00EF24C4">
        <w:rPr>
          <w:lang w:val="fr-FR"/>
        </w:rPr>
        <w:t> </w:t>
      </w:r>
      <w:r w:rsidRPr="0033195D">
        <w:rPr>
          <w:lang w:val="fr-FR"/>
        </w:rPr>
        <w:t xml:space="preserve">: </w:t>
      </w:r>
    </w:p>
    <w:p w14:paraId="3761DFF4" w14:textId="77777777" w:rsidR="0033195D" w:rsidRPr="0033195D" w:rsidRDefault="0033195D" w:rsidP="0033195D">
      <w:pPr>
        <w:pStyle w:val="SingleTxtG"/>
        <w:rPr>
          <w:lang w:val="fr-FR"/>
        </w:rPr>
      </w:pPr>
      <w:r w:rsidRPr="0033195D">
        <w:rPr>
          <w:lang w:val="fr-FR"/>
        </w:rPr>
        <w:t>a)</w:t>
      </w:r>
      <w:r w:rsidRPr="0033195D">
        <w:rPr>
          <w:lang w:val="fr-FR"/>
        </w:rPr>
        <w:tab/>
        <w:t>Distance critique [m] selon la formule donnée au paragraphe 5.6.4.7</w:t>
      </w:r>
      <w:r w:rsidR="00EF24C4">
        <w:rPr>
          <w:lang w:val="fr-FR"/>
        </w:rPr>
        <w:t> </w:t>
      </w:r>
      <w:r w:rsidRPr="0033195D">
        <w:rPr>
          <w:lang w:val="fr-FR"/>
        </w:rPr>
        <w:t xml:space="preserve">: </w:t>
      </w:r>
    </w:p>
    <w:p w14:paraId="40D969BC" w14:textId="77777777" w:rsidR="0033195D" w:rsidRPr="0033195D" w:rsidRDefault="0033195D" w:rsidP="0033195D">
      <w:pPr>
        <w:ind w:left="1134"/>
      </w:pPr>
      <w:r w:rsidRPr="0033195D">
        <w:rPr>
          <w:noProof/>
          <w:lang w:eastAsia="de-DE"/>
        </w:rPr>
        <w:drawing>
          <wp:inline distT="0" distB="0" distL="0" distR="0" wp14:anchorId="34C92048" wp14:editId="22E84499">
            <wp:extent cx="2409245" cy="125121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46743" cy="1270684"/>
                    </a:xfrm>
                    <a:prstGeom prst="rect">
                      <a:avLst/>
                    </a:prstGeom>
                  </pic:spPr>
                </pic:pic>
              </a:graphicData>
            </a:graphic>
          </wp:inline>
        </w:drawing>
      </w:r>
    </w:p>
    <w:p w14:paraId="6FBA1FD2" w14:textId="77777777" w:rsidR="0033195D" w:rsidRPr="0033195D" w:rsidRDefault="0033195D" w:rsidP="0033195D">
      <w:pPr>
        <w:pStyle w:val="SingleTxtG"/>
        <w:spacing w:before="120"/>
        <w:rPr>
          <w:lang w:val="fr-FR"/>
        </w:rPr>
      </w:pPr>
      <w:r w:rsidRPr="0033195D">
        <w:rPr>
          <w:lang w:val="fr-FR"/>
        </w:rPr>
        <w:t>b)</w:t>
      </w:r>
      <w:r w:rsidRPr="0033195D">
        <w:rPr>
          <w:lang w:val="fr-FR"/>
        </w:rPr>
        <w:tab/>
        <w:t>Comparaison de la distance minimale [m] après application d’une tolérance de 10 % à la distance critique (en jaune, à gauche) et après application d’une tolérance de 10 % à l’écart restant t</w:t>
      </w:r>
      <w:r w:rsidRPr="0033195D">
        <w:rPr>
          <w:vertAlign w:val="subscript"/>
          <w:lang w:val="fr-FR"/>
        </w:rPr>
        <w:t>G</w:t>
      </w:r>
      <w:r w:rsidRPr="0033195D">
        <w:rPr>
          <w:lang w:val="fr-FR"/>
        </w:rPr>
        <w:t xml:space="preserve"> (en rouge, à droite)</w:t>
      </w:r>
      <w:r w:rsidR="00EF24C4">
        <w:rPr>
          <w:lang w:val="fr-FR"/>
        </w:rPr>
        <w:t> </w:t>
      </w:r>
      <w:r w:rsidRPr="0033195D">
        <w:rPr>
          <w:lang w:val="fr-FR"/>
        </w:rPr>
        <w:t>:</w:t>
      </w:r>
    </w:p>
    <w:p w14:paraId="5263A2EA" w14:textId="77777777" w:rsidR="0033195D" w:rsidRPr="0033195D" w:rsidRDefault="0033195D" w:rsidP="0033195D">
      <w:pPr>
        <w:ind w:left="1134"/>
        <w:rPr>
          <w:lang w:val="fr-FR"/>
        </w:rPr>
      </w:pPr>
      <w:r w:rsidRPr="0033195D">
        <w:rPr>
          <w:noProof/>
          <w:lang w:eastAsia="de-DE"/>
        </w:rPr>
        <w:drawing>
          <wp:inline distT="0" distB="0" distL="0" distR="0" wp14:anchorId="439C5E46" wp14:editId="60D98236">
            <wp:extent cx="2337684" cy="1175160"/>
            <wp:effectExtent l="0" t="0" r="571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56147" cy="1184441"/>
                    </a:xfrm>
                    <a:prstGeom prst="rect">
                      <a:avLst/>
                    </a:prstGeom>
                  </pic:spPr>
                </pic:pic>
              </a:graphicData>
            </a:graphic>
          </wp:inline>
        </w:drawing>
      </w:r>
      <w:r w:rsidR="00EF24C4">
        <w:rPr>
          <w:lang w:val="fr-FR"/>
        </w:rPr>
        <w:t xml:space="preserve"> </w:t>
      </w:r>
      <w:r w:rsidRPr="0033195D">
        <w:rPr>
          <w:noProof/>
          <w:lang w:eastAsia="de-DE"/>
        </w:rPr>
        <w:drawing>
          <wp:inline distT="0" distB="0" distL="0" distR="0" wp14:anchorId="13654935" wp14:editId="2FB625D6">
            <wp:extent cx="2178658" cy="133426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25712" cy="1363083"/>
                    </a:xfrm>
                    <a:prstGeom prst="rect">
                      <a:avLst/>
                    </a:prstGeom>
                  </pic:spPr>
                </pic:pic>
              </a:graphicData>
            </a:graphic>
          </wp:inline>
        </w:drawing>
      </w:r>
    </w:p>
    <w:p w14:paraId="536DCCF0" w14:textId="77777777" w:rsidR="0033195D" w:rsidRPr="0033195D" w:rsidRDefault="0033195D" w:rsidP="0033195D">
      <w:pPr>
        <w:pStyle w:val="SingleTxtG"/>
        <w:rPr>
          <w:lang w:val="fr-FR"/>
        </w:rPr>
      </w:pPr>
      <w:r w:rsidRPr="0033195D">
        <w:rPr>
          <w:lang w:val="fr-FR"/>
        </w:rPr>
        <w:lastRenderedPageBreak/>
        <w:t>c)</w:t>
      </w:r>
      <w:r w:rsidRPr="0033195D">
        <w:rPr>
          <w:lang w:val="fr-FR"/>
        </w:rPr>
        <w:tab/>
        <w:t>Même si la distance critique est réduite de 10 %, la décélération requise [m/s</w:t>
      </w:r>
      <w:r w:rsidRPr="0033195D">
        <w:rPr>
          <w:vertAlign w:val="superscript"/>
          <w:lang w:val="fr-FR"/>
        </w:rPr>
        <w:t>2</w:t>
      </w:r>
      <w:r w:rsidRPr="0033195D">
        <w:rPr>
          <w:lang w:val="fr-FR"/>
        </w:rPr>
        <w:t xml:space="preserve">] du véhicule en approche pour que la distance entre les deux véhicules ne soit pas inférieure à celle que le véhicule changeant de voie parcourt en 0,9 s ne change pas de manière sensible : </w:t>
      </w:r>
    </w:p>
    <w:p w14:paraId="365BFC8A" w14:textId="77777777" w:rsidR="0033195D" w:rsidRPr="0033195D" w:rsidRDefault="0033195D" w:rsidP="0033195D">
      <w:pPr>
        <w:ind w:left="1134"/>
      </w:pPr>
      <w:r w:rsidRPr="0033195D">
        <w:rPr>
          <w:noProof/>
          <w:lang w:eastAsia="de-DE"/>
        </w:rPr>
        <w:drawing>
          <wp:inline distT="0" distB="0" distL="0" distR="0" wp14:anchorId="79D64354" wp14:editId="2BE1DD63">
            <wp:extent cx="2258170" cy="1406161"/>
            <wp:effectExtent l="0" t="0" r="889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73029" cy="1415414"/>
                    </a:xfrm>
                    <a:prstGeom prst="rect">
                      <a:avLst/>
                    </a:prstGeom>
                  </pic:spPr>
                </pic:pic>
              </a:graphicData>
            </a:graphic>
          </wp:inline>
        </w:drawing>
      </w:r>
    </w:p>
    <w:p w14:paraId="01F3FC73" w14:textId="77777777" w:rsidR="0033195D" w:rsidRPr="0033195D" w:rsidRDefault="0033195D" w:rsidP="0033195D">
      <w:pPr>
        <w:pStyle w:val="SingleTxtG"/>
        <w:spacing w:before="120"/>
        <w:rPr>
          <w:lang w:val="fr-FR"/>
        </w:rPr>
      </w:pPr>
      <w:r w:rsidRPr="0033195D">
        <w:rPr>
          <w:lang w:val="fr-FR"/>
        </w:rPr>
        <w:t>d)</w:t>
      </w:r>
      <w:r w:rsidRPr="0033195D">
        <w:rPr>
          <w:lang w:val="fr-FR"/>
        </w:rPr>
        <w:tab/>
        <w:t>De plus, à tout moment, même si la distance critique est réduite de 10 %, une collision peut être évitée si le véhicule en approche freine très légèrement</w:t>
      </w:r>
      <w:r w:rsidR="008E1A0C">
        <w:rPr>
          <w:lang w:val="fr-FR"/>
        </w:rPr>
        <w:t> </w:t>
      </w:r>
      <w:r w:rsidRPr="0033195D">
        <w:rPr>
          <w:lang w:val="fr-FR"/>
        </w:rPr>
        <w:t xml:space="preserve">: </w:t>
      </w:r>
    </w:p>
    <w:p w14:paraId="082871BE" w14:textId="77777777" w:rsidR="0033195D" w:rsidRPr="0033195D" w:rsidRDefault="0033195D" w:rsidP="0033195D">
      <w:pPr>
        <w:ind w:left="1134"/>
        <w:rPr>
          <w:lang w:val="fr-FR"/>
        </w:rPr>
      </w:pPr>
      <w:r w:rsidRPr="0033195D">
        <w:rPr>
          <w:noProof/>
          <w:lang w:eastAsia="de-DE"/>
        </w:rPr>
        <w:drawing>
          <wp:inline distT="0" distB="0" distL="0" distR="0" wp14:anchorId="12F6D9C9" wp14:editId="230DBE0D">
            <wp:extent cx="2242267" cy="1359955"/>
            <wp:effectExtent l="19050" t="19050" r="24765" b="1206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80879" cy="1383373"/>
                    </a:xfrm>
                    <a:prstGeom prst="rect">
                      <a:avLst/>
                    </a:prstGeom>
                    <a:ln>
                      <a:solidFill>
                        <a:srgbClr val="1F497D"/>
                      </a:solidFill>
                    </a:ln>
                  </pic:spPr>
                </pic:pic>
              </a:graphicData>
            </a:graphic>
          </wp:inline>
        </w:drawing>
      </w:r>
    </w:p>
    <w:p w14:paraId="12A02EB7" w14:textId="77777777" w:rsidR="0033195D" w:rsidRPr="0033195D" w:rsidRDefault="0033195D" w:rsidP="0033195D">
      <w:pPr>
        <w:pStyle w:val="H1G"/>
        <w:rPr>
          <w:lang w:val="fr-FR"/>
        </w:rPr>
      </w:pPr>
      <w:r w:rsidRPr="0033195D">
        <w:rPr>
          <w:lang w:val="fr-FR"/>
        </w:rPr>
        <w:tab/>
        <w:t>E.</w:t>
      </w:r>
      <w:r w:rsidRPr="0033195D">
        <w:rPr>
          <w:lang w:val="fr-FR"/>
        </w:rPr>
        <w:tab/>
        <w:t>Conditions d’essai différentes (annexe 8, paragraphe 2)</w:t>
      </w:r>
    </w:p>
    <w:p w14:paraId="262CDECA" w14:textId="77777777" w:rsidR="0033195D" w:rsidRPr="0033195D" w:rsidRDefault="0033195D" w:rsidP="0033195D">
      <w:pPr>
        <w:pStyle w:val="SingleTxtG"/>
        <w:rPr>
          <w:lang w:val="fr-FR"/>
        </w:rPr>
      </w:pPr>
      <w:r w:rsidRPr="0033195D">
        <w:rPr>
          <w:lang w:val="fr-FR"/>
        </w:rPr>
        <w:t>6.</w:t>
      </w:r>
      <w:r w:rsidRPr="0033195D">
        <w:rPr>
          <w:lang w:val="fr-FR"/>
        </w:rPr>
        <w:tab/>
        <w:t>L’amendement proposé vise à étendre aux autres conditions d’essai la modification que le Groupe de travail des véhicules automatisés/autonomes et connectés (GRVA) a déjà</w:t>
      </w:r>
      <w:r w:rsidR="00EF24C4">
        <w:rPr>
          <w:lang w:val="fr-FR"/>
        </w:rPr>
        <w:t xml:space="preserve"> </w:t>
      </w:r>
      <w:r w:rsidRPr="0033195D">
        <w:rPr>
          <w:lang w:val="fr-FR"/>
        </w:rPr>
        <w:t>adoptée, à sa quatrième session,</w:t>
      </w:r>
      <w:r w:rsidR="00EF24C4">
        <w:rPr>
          <w:lang w:val="fr-FR"/>
        </w:rPr>
        <w:t xml:space="preserve"> </w:t>
      </w:r>
      <w:r w:rsidRPr="0033195D">
        <w:rPr>
          <w:lang w:val="fr-FR"/>
        </w:rPr>
        <w:t xml:space="preserve">en ce qui concerne les dispositions relatives à l’ACSF de catégorie B1 dans le Règlement ONU </w:t>
      </w:r>
      <w:r w:rsidR="008E1A0C" w:rsidRPr="008E1A0C">
        <w:rPr>
          <w:rFonts w:eastAsia="MS Mincho"/>
          <w:szCs w:val="22"/>
          <w:lang w:val="fr-FR"/>
        </w:rPr>
        <w:t>n</w:t>
      </w:r>
      <w:r w:rsidR="008E1A0C" w:rsidRPr="008E1A0C">
        <w:rPr>
          <w:rFonts w:eastAsia="MS Mincho"/>
          <w:szCs w:val="22"/>
          <w:vertAlign w:val="superscript"/>
          <w:lang w:val="fr-FR"/>
        </w:rPr>
        <w:t>o</w:t>
      </w:r>
      <w:r w:rsidR="008E1A0C">
        <w:rPr>
          <w:lang w:val="fr-FR"/>
        </w:rPr>
        <w:t> </w:t>
      </w:r>
      <w:r w:rsidRPr="0033195D">
        <w:rPr>
          <w:lang w:val="fr-FR"/>
        </w:rPr>
        <w:t>79, et qui se lit comme suit</w:t>
      </w:r>
      <w:r w:rsidR="008E1A0C">
        <w:rPr>
          <w:lang w:val="fr-FR"/>
        </w:rPr>
        <w:t> </w:t>
      </w:r>
      <w:r w:rsidRPr="0033195D">
        <w:rPr>
          <w:lang w:val="fr-FR"/>
        </w:rPr>
        <w:t>: « À la discrétion du constructeur et avec l’accord du service technique, une voie d’une largeur inférieure à 3,5</w:t>
      </w:r>
      <w:r w:rsidR="008E1A0C">
        <w:rPr>
          <w:lang w:val="fr-FR"/>
        </w:rPr>
        <w:t> </w:t>
      </w:r>
      <w:r w:rsidRPr="0033195D">
        <w:rPr>
          <w:lang w:val="fr-FR"/>
        </w:rPr>
        <w:t xml:space="preserve">m peut être utilisée si le bon fonctionnement du système sur des routes à voies plus larges peut être démontré ». </w:t>
      </w:r>
    </w:p>
    <w:p w14:paraId="226BBE71" w14:textId="77777777" w:rsidR="0033195D" w:rsidRPr="0033195D" w:rsidRDefault="0033195D" w:rsidP="0033195D">
      <w:pPr>
        <w:pStyle w:val="SingleTxtG"/>
        <w:rPr>
          <w:lang w:val="fr-FR"/>
        </w:rPr>
      </w:pPr>
      <w:r w:rsidRPr="0033195D">
        <w:rPr>
          <w:lang w:val="fr-FR"/>
        </w:rPr>
        <w:t>7.</w:t>
      </w:r>
      <w:r w:rsidRPr="0033195D">
        <w:rPr>
          <w:lang w:val="fr-FR"/>
        </w:rPr>
        <w:tab/>
        <w:t>Pour que les essais d’homologation de type puissent aussi</w:t>
      </w:r>
      <w:r w:rsidR="00EF24C4">
        <w:rPr>
          <w:lang w:val="fr-FR"/>
        </w:rPr>
        <w:t xml:space="preserve"> </w:t>
      </w:r>
      <w:r w:rsidRPr="0033195D">
        <w:rPr>
          <w:lang w:val="fr-FR"/>
        </w:rPr>
        <w:t>avoir lieu en hiver, les véhicules devraient pouvoir être mis à l’essai sur sol mouillé ou lorsque les températures sont plus basses.</w:t>
      </w:r>
    </w:p>
    <w:p w14:paraId="1A75C916" w14:textId="77777777" w:rsidR="0033195D" w:rsidRPr="0033195D" w:rsidRDefault="0033195D" w:rsidP="0033195D">
      <w:pPr>
        <w:pStyle w:val="H1G"/>
        <w:rPr>
          <w:lang w:val="fr-FR"/>
        </w:rPr>
      </w:pPr>
      <w:r w:rsidRPr="0033195D">
        <w:rPr>
          <w:lang w:val="fr-FR"/>
        </w:rPr>
        <w:tab/>
        <w:t>F.</w:t>
      </w:r>
      <w:r w:rsidRPr="0033195D">
        <w:rPr>
          <w:lang w:val="fr-FR"/>
        </w:rPr>
        <w:tab/>
        <w:t xml:space="preserve">Conditions de satisfaction aux prescriptions des essais en ce qui concerne la désactivation de l’indicateur de direction (annexe 8, </w:t>
      </w:r>
      <w:r w:rsidR="008E1A0C">
        <w:rPr>
          <w:lang w:val="fr-FR"/>
        </w:rPr>
        <w:br/>
      </w:r>
      <w:r w:rsidRPr="0033195D">
        <w:rPr>
          <w:lang w:val="fr-FR"/>
        </w:rPr>
        <w:t>alinéa j) du paragraphe 3.5.1.2)</w:t>
      </w:r>
    </w:p>
    <w:p w14:paraId="33B00C86" w14:textId="77777777" w:rsidR="00F9573C" w:rsidRDefault="0033195D" w:rsidP="0033195D">
      <w:pPr>
        <w:pStyle w:val="SingleTxtG"/>
        <w:rPr>
          <w:lang w:val="fr-FR"/>
        </w:rPr>
      </w:pPr>
      <w:r w:rsidRPr="0033195D">
        <w:rPr>
          <w:lang w:val="fr-FR"/>
        </w:rPr>
        <w:t>8.</w:t>
      </w:r>
      <w:r w:rsidRPr="0033195D">
        <w:rPr>
          <w:lang w:val="fr-FR"/>
        </w:rPr>
        <w:tab/>
        <w:t>L’amendement proposé vise à modifier les conditions de satisfaction aux prescriptions des essais en ce qui concerne la désactivation de l’indicateur de direction conformément aux modifications adoptées en la matière à la cinquième session du GRVA, en application desquelles la désactivation automatique de l’indicateur de direction n’est requise que dans le cas où la manœuvre de changement de voie a été engagée automatiquement et où la commande de l’indicateur de direction n’était pas complètement enclenchée.</w:t>
      </w:r>
    </w:p>
    <w:p w14:paraId="03DD435E" w14:textId="77777777" w:rsidR="0033195D" w:rsidRPr="0033195D" w:rsidRDefault="0033195D" w:rsidP="0033195D">
      <w:pPr>
        <w:pStyle w:val="SingleTxtG"/>
        <w:spacing w:before="240" w:after="0"/>
        <w:jc w:val="center"/>
        <w:rPr>
          <w:u w:val="single"/>
        </w:rPr>
      </w:pPr>
      <w:r>
        <w:rPr>
          <w:u w:val="single"/>
        </w:rPr>
        <w:tab/>
      </w:r>
      <w:r>
        <w:rPr>
          <w:u w:val="single"/>
        </w:rPr>
        <w:tab/>
      </w:r>
      <w:r>
        <w:rPr>
          <w:u w:val="single"/>
        </w:rPr>
        <w:tab/>
      </w:r>
    </w:p>
    <w:sectPr w:rsidR="0033195D" w:rsidRPr="0033195D" w:rsidSect="0033195D">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D6DAD" w14:textId="77777777" w:rsidR="00470F01" w:rsidRDefault="00470F01" w:rsidP="00F95C08">
      <w:pPr>
        <w:spacing w:line="240" w:lineRule="auto"/>
      </w:pPr>
    </w:p>
  </w:endnote>
  <w:endnote w:type="continuationSeparator" w:id="0">
    <w:p w14:paraId="2960F0CA" w14:textId="77777777" w:rsidR="00470F01" w:rsidRPr="00AC3823" w:rsidRDefault="00470F01" w:rsidP="00AC3823">
      <w:pPr>
        <w:pStyle w:val="Pieddepage"/>
      </w:pPr>
    </w:p>
  </w:endnote>
  <w:endnote w:type="continuationNotice" w:id="1">
    <w:p w14:paraId="7A3C6233" w14:textId="77777777" w:rsidR="00470F01" w:rsidRDefault="00470F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DD3F" w14:textId="77777777" w:rsidR="0033195D" w:rsidRPr="0033195D" w:rsidRDefault="0033195D" w:rsidP="0033195D">
    <w:pPr>
      <w:pStyle w:val="Pieddepage"/>
      <w:tabs>
        <w:tab w:val="right" w:pos="9638"/>
      </w:tabs>
    </w:pPr>
    <w:r w:rsidRPr="0033195D">
      <w:rPr>
        <w:b/>
        <w:sz w:val="18"/>
      </w:rPr>
      <w:fldChar w:fldCharType="begin"/>
    </w:r>
    <w:r w:rsidRPr="0033195D">
      <w:rPr>
        <w:b/>
        <w:sz w:val="18"/>
      </w:rPr>
      <w:instrText xml:space="preserve"> PAGE  \* MERGEFORMAT </w:instrText>
    </w:r>
    <w:r w:rsidRPr="0033195D">
      <w:rPr>
        <w:b/>
        <w:sz w:val="18"/>
      </w:rPr>
      <w:fldChar w:fldCharType="separate"/>
    </w:r>
    <w:r w:rsidRPr="0033195D">
      <w:rPr>
        <w:b/>
        <w:noProof/>
        <w:sz w:val="18"/>
      </w:rPr>
      <w:t>2</w:t>
    </w:r>
    <w:r w:rsidRPr="0033195D">
      <w:rPr>
        <w:b/>
        <w:sz w:val="18"/>
      </w:rPr>
      <w:fldChar w:fldCharType="end"/>
    </w:r>
    <w:r>
      <w:rPr>
        <w:b/>
        <w:sz w:val="18"/>
      </w:rPr>
      <w:tab/>
    </w:r>
    <w:r>
      <w:t>GE.20-15675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D7FC" w14:textId="77777777" w:rsidR="0033195D" w:rsidRPr="0033195D" w:rsidRDefault="0033195D" w:rsidP="0033195D">
    <w:pPr>
      <w:pStyle w:val="Pieddepage"/>
      <w:tabs>
        <w:tab w:val="right" w:pos="9638"/>
      </w:tabs>
      <w:rPr>
        <w:b/>
        <w:sz w:val="18"/>
      </w:rPr>
    </w:pPr>
    <w:r>
      <w:t>GE.20-15675</w:t>
    </w:r>
    <w:r>
      <w:tab/>
    </w:r>
    <w:r w:rsidRPr="0033195D">
      <w:rPr>
        <w:b/>
        <w:sz w:val="18"/>
      </w:rPr>
      <w:fldChar w:fldCharType="begin"/>
    </w:r>
    <w:r w:rsidRPr="0033195D">
      <w:rPr>
        <w:b/>
        <w:sz w:val="18"/>
      </w:rPr>
      <w:instrText xml:space="preserve"> PAGE  \* MERGEFORMAT </w:instrText>
    </w:r>
    <w:r w:rsidRPr="0033195D">
      <w:rPr>
        <w:b/>
        <w:sz w:val="18"/>
      </w:rPr>
      <w:fldChar w:fldCharType="separate"/>
    </w:r>
    <w:r w:rsidRPr="0033195D">
      <w:rPr>
        <w:b/>
        <w:noProof/>
        <w:sz w:val="18"/>
      </w:rPr>
      <w:t>3</w:t>
    </w:r>
    <w:r w:rsidRPr="003319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80EA4" w14:textId="77777777" w:rsidR="007F20FA" w:rsidRPr="0033195D" w:rsidRDefault="0033195D" w:rsidP="0033195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76CAA90" wp14:editId="0ED827E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20-15675  (F)</w:t>
    </w:r>
    <w:r>
      <w:rPr>
        <w:noProof/>
        <w:sz w:val="20"/>
      </w:rPr>
      <w:drawing>
        <wp:anchor distT="0" distB="0" distL="114300" distR="114300" simplePos="0" relativeHeight="251660288" behindDoc="0" locked="0" layoutInCell="1" allowOverlap="1" wp14:anchorId="48286800" wp14:editId="512A967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3DA">
      <w:rPr>
        <w:sz w:val="20"/>
      </w:rPr>
      <w:t xml:space="preserve">    141220    141220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0BDE1" w14:textId="77777777" w:rsidR="00470F01" w:rsidRPr="00AC3823" w:rsidRDefault="00470F01" w:rsidP="00AC3823">
      <w:pPr>
        <w:pStyle w:val="Pieddepage"/>
        <w:tabs>
          <w:tab w:val="right" w:pos="2155"/>
        </w:tabs>
        <w:spacing w:after="80" w:line="240" w:lineRule="atLeast"/>
        <w:ind w:left="680"/>
        <w:rPr>
          <w:u w:val="single"/>
        </w:rPr>
      </w:pPr>
      <w:r>
        <w:rPr>
          <w:u w:val="single"/>
        </w:rPr>
        <w:tab/>
      </w:r>
    </w:p>
  </w:footnote>
  <w:footnote w:type="continuationSeparator" w:id="0">
    <w:p w14:paraId="12B4061E" w14:textId="77777777" w:rsidR="00470F01" w:rsidRPr="00AC3823" w:rsidRDefault="00470F01" w:rsidP="00AC3823">
      <w:pPr>
        <w:pStyle w:val="Pieddepage"/>
        <w:tabs>
          <w:tab w:val="right" w:pos="2155"/>
        </w:tabs>
        <w:spacing w:after="80" w:line="240" w:lineRule="atLeast"/>
        <w:ind w:left="680"/>
        <w:rPr>
          <w:u w:val="single"/>
        </w:rPr>
      </w:pPr>
      <w:r>
        <w:rPr>
          <w:u w:val="single"/>
        </w:rPr>
        <w:tab/>
      </w:r>
    </w:p>
  </w:footnote>
  <w:footnote w:type="continuationNotice" w:id="1">
    <w:p w14:paraId="0F8FF46C" w14:textId="77777777" w:rsidR="00470F01" w:rsidRPr="00AC3823" w:rsidRDefault="00470F01">
      <w:pPr>
        <w:spacing w:line="240" w:lineRule="auto"/>
        <w:rPr>
          <w:sz w:val="2"/>
          <w:szCs w:val="2"/>
        </w:rPr>
      </w:pPr>
    </w:p>
  </w:footnote>
  <w:footnote w:id="2">
    <w:p w14:paraId="69DA9A6F" w14:textId="77777777" w:rsidR="0033195D" w:rsidRPr="0033195D" w:rsidRDefault="0033195D">
      <w:pPr>
        <w:pStyle w:val="Notedebasdepage"/>
      </w:pPr>
      <w:r>
        <w:rPr>
          <w:rStyle w:val="Appelnotedebasdep"/>
        </w:rPr>
        <w:tab/>
      </w:r>
      <w:r w:rsidRPr="0033195D">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13007" w14:textId="04310D81" w:rsidR="0033195D" w:rsidRPr="0033195D" w:rsidRDefault="0033195D">
    <w:pPr>
      <w:pStyle w:val="En-tte"/>
    </w:pPr>
    <w:fldSimple w:instr=" TITLE  \* MERGEFORMAT ">
      <w:r w:rsidR="0099578B">
        <w:t>ECE/TRANS/WP.29/GRVA/2021/9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1526A" w14:textId="697F29FE" w:rsidR="0033195D" w:rsidRPr="0033195D" w:rsidRDefault="0033195D" w:rsidP="0033195D">
    <w:pPr>
      <w:pStyle w:val="En-tte"/>
      <w:jc w:val="right"/>
    </w:pPr>
    <w:fldSimple w:instr=" TITLE  \* MERGEFORMAT ">
      <w:r w:rsidR="0099578B">
        <w:t>ECE/TRANS/WP.29/GRVA/2021/9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01"/>
    <w:rsid w:val="00017F94"/>
    <w:rsid w:val="00023842"/>
    <w:rsid w:val="000334F9"/>
    <w:rsid w:val="00045FEB"/>
    <w:rsid w:val="0007796D"/>
    <w:rsid w:val="000B7790"/>
    <w:rsid w:val="00111F2F"/>
    <w:rsid w:val="0014365E"/>
    <w:rsid w:val="00143C66"/>
    <w:rsid w:val="00176178"/>
    <w:rsid w:val="001D571E"/>
    <w:rsid w:val="001F525A"/>
    <w:rsid w:val="00201148"/>
    <w:rsid w:val="00223272"/>
    <w:rsid w:val="0024779E"/>
    <w:rsid w:val="00257168"/>
    <w:rsid w:val="002744B8"/>
    <w:rsid w:val="002832AC"/>
    <w:rsid w:val="002D7C93"/>
    <w:rsid w:val="00305801"/>
    <w:rsid w:val="0033195D"/>
    <w:rsid w:val="003916DE"/>
    <w:rsid w:val="00421996"/>
    <w:rsid w:val="00441C3B"/>
    <w:rsid w:val="00446FE5"/>
    <w:rsid w:val="00452396"/>
    <w:rsid w:val="00470F01"/>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8E1A0C"/>
    <w:rsid w:val="009446C0"/>
    <w:rsid w:val="009705C8"/>
    <w:rsid w:val="0099578B"/>
    <w:rsid w:val="009C1CF4"/>
    <w:rsid w:val="009F6B74"/>
    <w:rsid w:val="00A3029F"/>
    <w:rsid w:val="00A30353"/>
    <w:rsid w:val="00A565F2"/>
    <w:rsid w:val="00AC3823"/>
    <w:rsid w:val="00AE323C"/>
    <w:rsid w:val="00AF0CB5"/>
    <w:rsid w:val="00B00181"/>
    <w:rsid w:val="00B00B0D"/>
    <w:rsid w:val="00B45F2E"/>
    <w:rsid w:val="00B765F7"/>
    <w:rsid w:val="00B77993"/>
    <w:rsid w:val="00BA0CA9"/>
    <w:rsid w:val="00C02897"/>
    <w:rsid w:val="00C525A8"/>
    <w:rsid w:val="00C97039"/>
    <w:rsid w:val="00D04FBE"/>
    <w:rsid w:val="00D3439C"/>
    <w:rsid w:val="00D7622E"/>
    <w:rsid w:val="00DB1831"/>
    <w:rsid w:val="00DD3BFD"/>
    <w:rsid w:val="00DF6678"/>
    <w:rsid w:val="00E0299A"/>
    <w:rsid w:val="00E85C74"/>
    <w:rsid w:val="00EA6547"/>
    <w:rsid w:val="00ED7237"/>
    <w:rsid w:val="00EF24C4"/>
    <w:rsid w:val="00EF2E22"/>
    <w:rsid w:val="00F213DA"/>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463758"/>
  <w15:docId w15:val="{A19A3B3F-58F9-41B9-88F1-8D2E7BE7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5</Pages>
  <Words>1274</Words>
  <Characters>8923</Characters>
  <Application>Microsoft Office Word</Application>
  <DocSecurity>0</DocSecurity>
  <Lines>743</Lines>
  <Paragraphs>407</Paragraphs>
  <ScaleCrop>false</ScaleCrop>
  <HeadingPairs>
    <vt:vector size="2" baseType="variant">
      <vt:variant>
        <vt:lpstr>Titre</vt:lpstr>
      </vt:variant>
      <vt:variant>
        <vt:i4>1</vt:i4>
      </vt:variant>
    </vt:vector>
  </HeadingPairs>
  <TitlesOfParts>
    <vt:vector size="1" baseType="lpstr">
      <vt:lpstr>ECE/TRANS/WP.29/GRVA/2021/9</vt:lpstr>
    </vt:vector>
  </TitlesOfParts>
  <Company>DCM</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ECE/TRANS/WP.29/GRVA/2021/9</dc:title>
  <dc:subject/>
  <dc:creator>Valerie BERTIN</dc:creator>
  <cp:keywords/>
  <cp:lastModifiedBy>Valerie BERTIN</cp:lastModifiedBy>
  <cp:revision>3</cp:revision>
  <cp:lastPrinted>2020-12-14T09:40:00Z</cp:lastPrinted>
  <dcterms:created xsi:type="dcterms:W3CDTF">2020-12-14T09:40:00Z</dcterms:created>
  <dcterms:modified xsi:type="dcterms:W3CDTF">2020-12-14T09:42:00Z</dcterms:modified>
</cp:coreProperties>
</file>