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D566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D5660" w:rsidP="008D5660">
            <w:pPr>
              <w:jc w:val="right"/>
            </w:pPr>
            <w:r w:rsidRPr="008D5660">
              <w:rPr>
                <w:sz w:val="40"/>
              </w:rPr>
              <w:t>ECE</w:t>
            </w:r>
            <w:r>
              <w:t>/TRANS/WP.29/GRVA/2021/3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D566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D5660" w:rsidRDefault="008D5660" w:rsidP="008D5660">
            <w:pPr>
              <w:spacing w:line="240" w:lineRule="exact"/>
            </w:pPr>
            <w:r>
              <w:t>20 novembre 2020</w:t>
            </w:r>
          </w:p>
          <w:p w:rsidR="008D5660" w:rsidRDefault="008D5660" w:rsidP="008D5660">
            <w:pPr>
              <w:spacing w:line="240" w:lineRule="exact"/>
            </w:pPr>
            <w:r>
              <w:t>Français</w:t>
            </w:r>
          </w:p>
          <w:p w:rsidR="008D5660" w:rsidRPr="00DB58B5" w:rsidRDefault="008D5660" w:rsidP="008D566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D5660" w:rsidRDefault="008D5660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D5660" w:rsidRDefault="008D5660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:rsidR="008D5660" w:rsidRDefault="008D5660" w:rsidP="00A3029F">
      <w:pPr>
        <w:spacing w:before="120"/>
        <w:rPr>
          <w:b/>
        </w:rPr>
      </w:pPr>
      <w:r>
        <w:rPr>
          <w:b/>
          <w:lang w:val="fr-FR"/>
        </w:rPr>
        <w:t>Neuvième</w:t>
      </w:r>
      <w:r>
        <w:rPr>
          <w:b/>
        </w:rPr>
        <w:t xml:space="preserve"> session</w:t>
      </w:r>
    </w:p>
    <w:p w:rsidR="008D5660" w:rsidRDefault="008D5660" w:rsidP="00A3029F">
      <w:pPr>
        <w:spacing w:line="240" w:lineRule="exact"/>
      </w:pPr>
      <w:r>
        <w:t>Point 4 d) de l’ordre du jour provisoire</w:t>
      </w:r>
    </w:p>
    <w:p w:rsidR="008D5660" w:rsidRDefault="008D5660" w:rsidP="008D5660">
      <w:pPr>
        <w:ind w:right="3117"/>
        <w:rPr>
          <w:b/>
          <w:lang w:val="fr-FR"/>
        </w:rPr>
      </w:pPr>
      <w:r w:rsidRPr="00B538C7">
        <w:rPr>
          <w:b/>
          <w:lang w:val="fr-FR"/>
        </w:rPr>
        <w:t xml:space="preserve">Véhicules automatisés/autonomes et connectés : </w:t>
      </w:r>
      <w:r>
        <w:rPr>
          <w:b/>
          <w:lang w:val="fr-FR"/>
        </w:rPr>
        <w:br/>
      </w:r>
      <w:r w:rsidRPr="00B538C7">
        <w:rPr>
          <w:b/>
          <w:lang w:val="fr-FR"/>
        </w:rPr>
        <w:t>Règlement ONU sur les systèmes automatisés de maintien dans la voie</w:t>
      </w:r>
    </w:p>
    <w:p w:rsidR="008D5660" w:rsidRPr="000B258A" w:rsidRDefault="008D5660" w:rsidP="008D5660">
      <w:pPr>
        <w:pStyle w:val="HChG"/>
        <w:rPr>
          <w:lang w:val="fr-FR"/>
        </w:rPr>
      </w:pPr>
      <w:r w:rsidRPr="000B258A">
        <w:rPr>
          <w:lang w:val="fr-FR"/>
        </w:rPr>
        <w:tab/>
      </w:r>
      <w:r w:rsidRPr="000B258A">
        <w:rPr>
          <w:lang w:val="fr-FR"/>
        </w:rPr>
        <w:tab/>
        <w:t>Proposition d</w:t>
      </w:r>
      <w:r>
        <w:rPr>
          <w:lang w:val="fr-FR"/>
        </w:rPr>
        <w:t>’amendements au</w:t>
      </w:r>
      <w:r w:rsidRPr="000B258A">
        <w:rPr>
          <w:lang w:val="fr-FR"/>
        </w:rPr>
        <w:t xml:space="preserve"> Règlement ONU </w:t>
      </w:r>
      <w:r>
        <w:rPr>
          <w:lang w:val="fr-FR"/>
        </w:rPr>
        <w:t>n</w:t>
      </w:r>
      <w:r w:rsidRPr="007E166B">
        <w:rPr>
          <w:vertAlign w:val="superscript"/>
          <w:lang w:val="fr-FR"/>
        </w:rPr>
        <w:t>o</w:t>
      </w:r>
      <w:r w:rsidR="00826BF9">
        <w:rPr>
          <w:lang w:val="fr-FR"/>
        </w:rPr>
        <w:t> </w:t>
      </w:r>
      <w:r>
        <w:rPr>
          <w:lang w:val="fr-FR"/>
        </w:rPr>
        <w:t>[157] (S</w:t>
      </w:r>
      <w:r w:rsidRPr="000B258A">
        <w:rPr>
          <w:lang w:val="fr-FR"/>
        </w:rPr>
        <w:t>ystème</w:t>
      </w:r>
      <w:r>
        <w:rPr>
          <w:lang w:val="fr-FR"/>
        </w:rPr>
        <w:t>s</w:t>
      </w:r>
      <w:r w:rsidRPr="000B258A">
        <w:rPr>
          <w:lang w:val="fr-FR"/>
        </w:rPr>
        <w:t xml:space="preserve"> automatisé</w:t>
      </w:r>
      <w:r>
        <w:rPr>
          <w:lang w:val="fr-FR"/>
        </w:rPr>
        <w:t>s</w:t>
      </w:r>
      <w:r w:rsidRPr="000B258A">
        <w:rPr>
          <w:lang w:val="fr-FR"/>
        </w:rPr>
        <w:t xml:space="preserve"> de maintien dans la voie</w:t>
      </w:r>
      <w:r>
        <w:rPr>
          <w:lang w:val="fr-FR"/>
        </w:rPr>
        <w:t>)</w:t>
      </w:r>
    </w:p>
    <w:p w:rsidR="008D5660" w:rsidRPr="000B258A" w:rsidRDefault="008D5660" w:rsidP="008D5660">
      <w:pPr>
        <w:pStyle w:val="H1G"/>
        <w:rPr>
          <w:lang w:val="fr-FR"/>
        </w:rPr>
      </w:pPr>
      <w:r w:rsidRPr="000B258A">
        <w:rPr>
          <w:lang w:val="fr-FR"/>
        </w:rPr>
        <w:tab/>
      </w:r>
      <w:r w:rsidRPr="000B258A">
        <w:rPr>
          <w:lang w:val="fr-FR"/>
        </w:rPr>
        <w:tab/>
        <w:t xml:space="preserve">Communication </w:t>
      </w:r>
      <w:r w:rsidRPr="000F34E5">
        <w:rPr>
          <w:lang w:val="fr-FR"/>
        </w:rPr>
        <w:t>de</w:t>
      </w:r>
      <w:r>
        <w:rPr>
          <w:lang w:val="fr-FR"/>
        </w:rPr>
        <w:t xml:space="preserve">s experts de </w:t>
      </w:r>
      <w:r w:rsidRPr="00EE0300">
        <w:rPr>
          <w:lang w:val="fr-FR"/>
        </w:rPr>
        <w:t>l’Organisation internationale des constructeurs d’automobiles et de l’Association européenne des fournisseurs de l’automobile</w:t>
      </w:r>
      <w:r w:rsidRPr="00826BF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:rsidR="008D5660" w:rsidRDefault="008D5660" w:rsidP="008D5660">
      <w:pPr>
        <w:pStyle w:val="SingleTxtG"/>
        <w:ind w:firstLine="567"/>
        <w:rPr>
          <w:lang w:val="fr-FR"/>
        </w:rPr>
      </w:pPr>
      <w:bookmarkStart w:id="0" w:name="_Hlk43364428"/>
      <w:r w:rsidRPr="00B538C7">
        <w:rPr>
          <w:lang w:val="fr-FR"/>
        </w:rPr>
        <w:t>Le texte ci-après, établi par les experts de l’Organisation internationale des constructeurs d’automobiles (OICA) et de l’Association européenne des fournisseurs de l’automobile (CLEPA), est fondé sur le</w:t>
      </w:r>
      <w:r>
        <w:rPr>
          <w:lang w:val="fr-FR"/>
        </w:rPr>
        <w:t>s conclusions de l’examen du</w:t>
      </w:r>
      <w:r w:rsidRPr="00B538C7">
        <w:rPr>
          <w:lang w:val="fr-FR"/>
        </w:rPr>
        <w:t xml:space="preserve"> document</w:t>
      </w:r>
      <w:r>
        <w:rPr>
          <w:lang w:val="fr-FR"/>
        </w:rPr>
        <w:t xml:space="preserve"> informel GRVA-07-08 mené à la septième session du GRVA, en septembre 2020. </w:t>
      </w:r>
      <w:r w:rsidRPr="00B538C7">
        <w:rPr>
          <w:lang w:val="fr-FR"/>
        </w:rPr>
        <w:t>Les modifications qu’il est proposé d’apporter au texte actuel du Règlement figurent en caractères gras pour les ajouts et biffés pour les suppressions.</w:t>
      </w:r>
      <w:bookmarkEnd w:id="0"/>
    </w:p>
    <w:p w:rsidR="008D5660" w:rsidRDefault="008D566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8D5660" w:rsidRDefault="008D5660" w:rsidP="00826BF9">
      <w:pPr>
        <w:pStyle w:val="HChG"/>
        <w:rPr>
          <w:lang w:val="fr-FR"/>
        </w:rPr>
      </w:pPr>
      <w:r w:rsidRPr="000B258A"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:rsidR="008D5660" w:rsidRPr="009A4EB5" w:rsidRDefault="008D5660" w:rsidP="00076C1C">
      <w:pPr>
        <w:pStyle w:val="SingleTxtG"/>
        <w:rPr>
          <w:lang w:val="fr-FR"/>
        </w:rPr>
      </w:pPr>
      <w:r w:rsidRPr="00076C1C">
        <w:rPr>
          <w:i/>
          <w:iCs/>
          <w:lang w:val="fr-FR"/>
        </w:rPr>
        <w:tab/>
        <w:t>Introduction</w:t>
      </w:r>
      <w:r>
        <w:rPr>
          <w:lang w:val="fr-FR"/>
        </w:rPr>
        <w:t>, lire :</w:t>
      </w:r>
    </w:p>
    <w:p w:rsidR="008D5660" w:rsidRPr="000B258A" w:rsidRDefault="008D5660" w:rsidP="00826BF9">
      <w:pPr>
        <w:pStyle w:val="HChG"/>
        <w:rPr>
          <w:lang w:val="fr-FR"/>
        </w:rPr>
      </w:pPr>
      <w:r>
        <w:rPr>
          <w:lang w:val="fr-FR"/>
        </w:rPr>
        <w:tab/>
      </w:r>
      <w:r w:rsidR="00826BF9">
        <w:rPr>
          <w:lang w:val="fr-FR"/>
        </w:rPr>
        <w:tab/>
      </w:r>
      <w:r w:rsidRPr="00076C1C">
        <w:rPr>
          <w:b w:val="0"/>
          <w:bCs/>
          <w:sz w:val="20"/>
          <w:lang w:val="fr-FR"/>
        </w:rPr>
        <w:t>« </w:t>
      </w:r>
      <w:r w:rsidRPr="000B258A">
        <w:rPr>
          <w:lang w:val="fr-FR"/>
        </w:rPr>
        <w:t>Introduction</w:t>
      </w:r>
    </w:p>
    <w:p w:rsidR="008D5660" w:rsidRPr="000B258A" w:rsidRDefault="008D5660" w:rsidP="008D5660">
      <w:pPr>
        <w:pStyle w:val="SingleTxtG"/>
        <w:ind w:firstLine="567"/>
        <w:rPr>
          <w:lang w:val="fr-FR"/>
        </w:rPr>
      </w:pPr>
      <w:bookmarkStart w:id="1" w:name="_Hlk32585235"/>
      <w:r w:rsidRPr="000B258A">
        <w:rPr>
          <w:lang w:val="fr-FR"/>
        </w:rPr>
        <w:t>L</w:t>
      </w:r>
      <w:r>
        <w:rPr>
          <w:lang w:val="fr-FR"/>
        </w:rPr>
        <w:t>’</w:t>
      </w:r>
      <w:r w:rsidRPr="000B258A">
        <w:rPr>
          <w:lang w:val="fr-FR"/>
        </w:rPr>
        <w:t xml:space="preserve">objectif du présent Règlement </w:t>
      </w:r>
      <w:r>
        <w:rPr>
          <w:lang w:val="fr-FR"/>
        </w:rPr>
        <w:t xml:space="preserve">ONU </w:t>
      </w:r>
      <w:r w:rsidRPr="000B258A">
        <w:rPr>
          <w:lang w:val="fr-FR"/>
        </w:rPr>
        <w:t>est d</w:t>
      </w:r>
      <w:r>
        <w:rPr>
          <w:lang w:val="fr-FR"/>
        </w:rPr>
        <w:t>’</w:t>
      </w:r>
      <w:r w:rsidRPr="000B258A">
        <w:rPr>
          <w:lang w:val="fr-FR"/>
        </w:rPr>
        <w:t xml:space="preserve">établir des prescriptions uniformes </w:t>
      </w:r>
      <w:r>
        <w:rPr>
          <w:lang w:val="fr-FR"/>
        </w:rPr>
        <w:t>relatives à</w:t>
      </w:r>
      <w:r w:rsidRPr="000B258A">
        <w:rPr>
          <w:lang w:val="fr-FR"/>
        </w:rPr>
        <w:t xml:space="preserve"> l</w:t>
      </w:r>
      <w:r>
        <w:rPr>
          <w:lang w:val="fr-FR"/>
        </w:rPr>
        <w:t>’</w:t>
      </w:r>
      <w:r w:rsidRPr="000B258A">
        <w:rPr>
          <w:lang w:val="fr-FR"/>
        </w:rPr>
        <w:t>homologation des véhicules en ce qui concerne leur système automatisé de maintien dans la voie (ALKS).</w:t>
      </w:r>
    </w:p>
    <w:p w:rsidR="008D5660" w:rsidRPr="000B258A" w:rsidRDefault="008D5660" w:rsidP="008D5660">
      <w:pPr>
        <w:pStyle w:val="SingleTxtG"/>
        <w:ind w:firstLine="567"/>
        <w:rPr>
          <w:lang w:val="fr-FR"/>
        </w:rPr>
      </w:pPr>
      <w:r w:rsidRPr="000B258A">
        <w:rPr>
          <w:lang w:val="fr-FR"/>
        </w:rPr>
        <w:t>L</w:t>
      </w:r>
      <w:r>
        <w:rPr>
          <w:lang w:val="fr-FR"/>
        </w:rPr>
        <w:t>’</w:t>
      </w:r>
      <w:r w:rsidRPr="000B258A">
        <w:rPr>
          <w:lang w:val="fr-FR"/>
        </w:rPr>
        <w:t xml:space="preserve">ALKS contrôle le déplacement latéral et longitudinal du véhicule pendant des périodes prolongées sans </w:t>
      </w:r>
      <w:r>
        <w:rPr>
          <w:lang w:val="fr-FR"/>
        </w:rPr>
        <w:t>intervention</w:t>
      </w:r>
      <w:r w:rsidRPr="000B258A">
        <w:rPr>
          <w:lang w:val="fr-FR"/>
        </w:rPr>
        <w:t xml:space="preserve"> du conducteur. </w:t>
      </w:r>
      <w:r>
        <w:rPr>
          <w:lang w:val="fr-FR"/>
        </w:rPr>
        <w:t>U</w:t>
      </w:r>
      <w:r w:rsidRPr="000B258A">
        <w:rPr>
          <w:lang w:val="fr-FR"/>
        </w:rPr>
        <w:t xml:space="preserve">ne fois activé, </w:t>
      </w:r>
      <w:r>
        <w:rPr>
          <w:lang w:val="fr-FR"/>
        </w:rPr>
        <w:t xml:space="preserve">ce système </w:t>
      </w:r>
      <w:r w:rsidRPr="000B258A">
        <w:rPr>
          <w:lang w:val="fr-FR"/>
        </w:rPr>
        <w:t>dirige le véhicule.</w:t>
      </w:r>
    </w:p>
    <w:p w:rsidR="008D5660" w:rsidRPr="000B258A" w:rsidRDefault="008D5660" w:rsidP="008D5660">
      <w:pPr>
        <w:pStyle w:val="SingleTxtG"/>
        <w:ind w:firstLine="567"/>
        <w:rPr>
          <w:lang w:val="fr-FR"/>
        </w:rPr>
      </w:pPr>
      <w:r w:rsidRPr="000B258A">
        <w:rPr>
          <w:lang w:val="fr-FR"/>
        </w:rPr>
        <w:t xml:space="preserve">Le présent Règlement </w:t>
      </w:r>
      <w:r>
        <w:rPr>
          <w:lang w:val="fr-FR"/>
        </w:rPr>
        <w:t xml:space="preserve">ONU </w:t>
      </w:r>
      <w:r w:rsidRPr="000B258A">
        <w:rPr>
          <w:lang w:val="fr-FR"/>
        </w:rPr>
        <w:t>est la première étape réglementaire vers l</w:t>
      </w:r>
      <w:r>
        <w:rPr>
          <w:lang w:val="fr-FR"/>
        </w:rPr>
        <w:t>’</w:t>
      </w:r>
      <w:r w:rsidRPr="000B258A">
        <w:rPr>
          <w:lang w:val="fr-FR"/>
        </w:rPr>
        <w:t>introduction</w:t>
      </w:r>
      <w:r w:rsidRPr="00DA4617">
        <w:rPr>
          <w:lang w:val="fr-FR"/>
        </w:rPr>
        <w:t xml:space="preserve"> </w:t>
      </w:r>
      <w:r w:rsidRPr="000B258A">
        <w:rPr>
          <w:lang w:val="fr-FR"/>
        </w:rPr>
        <w:t>dans la circulation d</w:t>
      </w:r>
      <w:r>
        <w:rPr>
          <w:lang w:val="fr-FR"/>
        </w:rPr>
        <w:t>’</w:t>
      </w:r>
      <w:r w:rsidRPr="000B258A">
        <w:rPr>
          <w:lang w:val="fr-FR"/>
        </w:rPr>
        <w:t>un système de conduite automatisé (tel que défini dans le document ECE/TRANS/WP.29/1140)</w:t>
      </w:r>
      <w:r>
        <w:rPr>
          <w:lang w:val="fr-FR"/>
        </w:rPr>
        <w:t>. I</w:t>
      </w:r>
      <w:r w:rsidRPr="000B258A">
        <w:rPr>
          <w:lang w:val="fr-FR"/>
        </w:rPr>
        <w:t xml:space="preserve">l </w:t>
      </w:r>
      <w:r>
        <w:rPr>
          <w:lang w:val="fr-FR"/>
        </w:rPr>
        <w:t>prévoit</w:t>
      </w:r>
      <w:r w:rsidRPr="000B258A">
        <w:rPr>
          <w:lang w:val="fr-FR"/>
        </w:rPr>
        <w:t xml:space="preserve"> donc des dispositions novatrices visant à </w:t>
      </w:r>
      <w:r>
        <w:rPr>
          <w:lang w:val="fr-FR"/>
        </w:rPr>
        <w:t>répondre à la complexité de</w:t>
      </w:r>
      <w:r w:rsidRPr="000B258A">
        <w:rPr>
          <w:lang w:val="fr-FR"/>
        </w:rPr>
        <w:t xml:space="preserve"> l</w:t>
      </w:r>
      <w:r>
        <w:rPr>
          <w:lang w:val="fr-FR"/>
        </w:rPr>
        <w:t>’</w:t>
      </w:r>
      <w:r w:rsidRPr="000B258A">
        <w:rPr>
          <w:lang w:val="fr-FR"/>
        </w:rPr>
        <w:t>évaluation de la sûreté du système. Y sont énoncées des dispositions administratives adaptées à l</w:t>
      </w:r>
      <w:r>
        <w:rPr>
          <w:lang w:val="fr-FR"/>
        </w:rPr>
        <w:t>’</w:t>
      </w:r>
      <w:r w:rsidRPr="000B258A">
        <w:rPr>
          <w:lang w:val="fr-FR"/>
        </w:rPr>
        <w:t xml:space="preserve">homologation de type, des prescriptions techniques, ainsi que des dispositions en matière de vérification, de notification </w:t>
      </w:r>
      <w:r w:rsidRPr="000B258A">
        <w:rPr>
          <w:bCs/>
          <w:lang w:val="fr-FR"/>
        </w:rPr>
        <w:t xml:space="preserve">et </w:t>
      </w:r>
      <w:r w:rsidRPr="000B258A">
        <w:rPr>
          <w:lang w:val="fr-FR"/>
        </w:rPr>
        <w:t>d</w:t>
      </w:r>
      <w:r>
        <w:rPr>
          <w:lang w:val="fr-FR"/>
        </w:rPr>
        <w:t>’</w:t>
      </w:r>
      <w:r w:rsidRPr="000B258A">
        <w:rPr>
          <w:lang w:val="fr-FR"/>
        </w:rPr>
        <w:t>essais.</w:t>
      </w:r>
    </w:p>
    <w:p w:rsidR="008D5660" w:rsidRPr="000B258A" w:rsidRDefault="008D5660" w:rsidP="008D5660">
      <w:pPr>
        <w:pStyle w:val="SingleTxtG"/>
        <w:ind w:firstLine="567"/>
        <w:rPr>
          <w:bCs/>
          <w:lang w:val="fr-FR"/>
        </w:rPr>
      </w:pPr>
      <w:r>
        <w:rPr>
          <w:lang w:val="fr-FR"/>
        </w:rPr>
        <w:t>Un</w:t>
      </w:r>
      <w:r w:rsidRPr="000B258A">
        <w:rPr>
          <w:lang w:val="fr-FR"/>
        </w:rPr>
        <w:t xml:space="preserve"> ALK</w:t>
      </w:r>
      <w:r>
        <w:rPr>
          <w:lang w:val="fr-FR"/>
        </w:rPr>
        <w:t>S</w:t>
      </w:r>
      <w:r w:rsidRPr="000B258A">
        <w:rPr>
          <w:lang w:val="fr-FR"/>
        </w:rPr>
        <w:t xml:space="preserve"> peut être activé </w:t>
      </w:r>
      <w:r>
        <w:rPr>
          <w:lang w:val="fr-FR"/>
        </w:rPr>
        <w:t>dans</w:t>
      </w:r>
      <w:r w:rsidRPr="000B258A">
        <w:rPr>
          <w:lang w:val="fr-FR"/>
        </w:rPr>
        <w:t xml:space="preserve"> certaines conditions </w:t>
      </w:r>
      <w:r w:rsidRPr="000B258A">
        <w:rPr>
          <w:lang w:val="fr-FR" w:eastAsia="ja-JP"/>
        </w:rPr>
        <w:t>sur les routes où les piétons et les cyclistes sont interdits et qui, de par leur conception, sépar</w:t>
      </w:r>
      <w:r>
        <w:rPr>
          <w:lang w:val="fr-FR" w:eastAsia="ja-JP"/>
        </w:rPr>
        <w:t>ent</w:t>
      </w:r>
      <w:r w:rsidRPr="000B258A">
        <w:rPr>
          <w:lang w:val="fr-FR" w:eastAsia="ja-JP"/>
        </w:rPr>
        <w:t xml:space="preserve"> physique</w:t>
      </w:r>
      <w:r>
        <w:rPr>
          <w:lang w:val="fr-FR" w:eastAsia="ja-JP"/>
        </w:rPr>
        <w:t xml:space="preserve">ment les véhicules </w:t>
      </w:r>
      <w:r w:rsidRPr="000B258A">
        <w:rPr>
          <w:lang w:val="fr-FR" w:eastAsia="ja-JP"/>
        </w:rPr>
        <w:t xml:space="preserve">circulant en sens </w:t>
      </w:r>
      <w:r>
        <w:rPr>
          <w:lang w:val="fr-FR" w:eastAsia="ja-JP"/>
        </w:rPr>
        <w:t>opposés</w:t>
      </w:r>
      <w:r w:rsidRPr="000B258A">
        <w:rPr>
          <w:lang w:val="fr-FR" w:eastAsia="ja-JP"/>
        </w:rPr>
        <w:t xml:space="preserve"> et empêche</w:t>
      </w:r>
      <w:r>
        <w:rPr>
          <w:lang w:val="fr-FR" w:eastAsia="ja-JP"/>
        </w:rPr>
        <w:t>nt ainsi</w:t>
      </w:r>
      <w:r w:rsidRPr="000B258A">
        <w:rPr>
          <w:lang w:val="fr-FR" w:eastAsia="ja-JP"/>
        </w:rPr>
        <w:t xml:space="preserve"> </w:t>
      </w:r>
      <w:r>
        <w:rPr>
          <w:lang w:val="fr-FR" w:eastAsia="ja-JP"/>
        </w:rPr>
        <w:t xml:space="preserve">les véhicules venant en sens inverse </w:t>
      </w:r>
      <w:r w:rsidRPr="000B258A">
        <w:rPr>
          <w:lang w:val="fr-FR" w:eastAsia="ja-JP"/>
        </w:rPr>
        <w:t xml:space="preserve">de couper la trajectoire du véhicule. Dans un premier temps, le texte du présent Règlement </w:t>
      </w:r>
      <w:r>
        <w:rPr>
          <w:lang w:val="fr-FR" w:eastAsia="ja-JP"/>
        </w:rPr>
        <w:t xml:space="preserve">ONU </w:t>
      </w:r>
      <w:r w:rsidRPr="000B258A">
        <w:rPr>
          <w:lang w:val="fr-FR" w:eastAsia="ja-JP"/>
        </w:rPr>
        <w:t>limite la vitesse maxim</w:t>
      </w:r>
      <w:r>
        <w:rPr>
          <w:lang w:val="fr-FR" w:eastAsia="ja-JP"/>
        </w:rPr>
        <w:t>ale</w:t>
      </w:r>
      <w:r w:rsidRPr="000B258A">
        <w:rPr>
          <w:bCs/>
          <w:lang w:val="fr-FR" w:eastAsia="ja-JP"/>
        </w:rPr>
        <w:t xml:space="preserve"> </w:t>
      </w:r>
      <w:r w:rsidRPr="000B258A">
        <w:rPr>
          <w:lang w:val="fr-FR" w:eastAsia="ja-JP"/>
        </w:rPr>
        <w:t>de fonctionnement à 60</w:t>
      </w:r>
      <w:r>
        <w:rPr>
          <w:lang w:val="fr-FR" w:eastAsia="ja-JP"/>
        </w:rPr>
        <w:t> km</w:t>
      </w:r>
      <w:r w:rsidRPr="000B258A">
        <w:rPr>
          <w:lang w:val="fr-FR" w:eastAsia="ja-JP"/>
        </w:rPr>
        <w:t xml:space="preserve">/h </w:t>
      </w:r>
      <w:r w:rsidRPr="007E166B">
        <w:rPr>
          <w:bCs/>
          <w:strike/>
          <w:lang w:val="fr-FR" w:eastAsia="ja-JP"/>
        </w:rPr>
        <w:t>et aux voitures particulières (véhicules de la catégorie M</w:t>
      </w:r>
      <w:r w:rsidRPr="007E166B">
        <w:rPr>
          <w:bCs/>
          <w:strike/>
          <w:vertAlign w:val="subscript"/>
          <w:lang w:val="fr-FR" w:eastAsia="ja-JP"/>
        </w:rPr>
        <w:t>1</w:t>
      </w:r>
      <w:r w:rsidRPr="007E166B">
        <w:rPr>
          <w:bCs/>
          <w:strike/>
          <w:lang w:val="fr-FR" w:eastAsia="ja-JP"/>
        </w:rPr>
        <w:t>)</w:t>
      </w:r>
      <w:r w:rsidRPr="000B258A">
        <w:rPr>
          <w:bCs/>
          <w:lang w:val="fr-FR" w:eastAsia="ja-JP"/>
        </w:rPr>
        <w:t>.</w:t>
      </w:r>
    </w:p>
    <w:p w:rsidR="008D5660" w:rsidRPr="000B258A" w:rsidRDefault="008D5660" w:rsidP="008D5660">
      <w:pPr>
        <w:pStyle w:val="SingleTxtG"/>
        <w:ind w:firstLine="567"/>
        <w:rPr>
          <w:bCs/>
          <w:lang w:val="fr-FR"/>
        </w:rPr>
      </w:pPr>
      <w:r w:rsidRPr="000B258A">
        <w:rPr>
          <w:lang w:val="fr-FR"/>
        </w:rPr>
        <w:t xml:space="preserve">Le présent Règlement </w:t>
      </w:r>
      <w:r>
        <w:rPr>
          <w:lang w:val="fr-FR"/>
        </w:rPr>
        <w:t xml:space="preserve">ONU </w:t>
      </w:r>
      <w:r w:rsidRPr="000B258A">
        <w:rPr>
          <w:lang w:val="fr-FR"/>
        </w:rPr>
        <w:t>comprend des prescriptions générales concernant la s</w:t>
      </w:r>
      <w:r>
        <w:rPr>
          <w:lang w:val="fr-FR"/>
        </w:rPr>
        <w:t>ûre</w:t>
      </w:r>
      <w:r w:rsidRPr="000B258A">
        <w:rPr>
          <w:lang w:val="fr-FR"/>
        </w:rPr>
        <w:t xml:space="preserve">té du système et la </w:t>
      </w:r>
      <w:r w:rsidRPr="000B768E">
        <w:rPr>
          <w:lang w:val="fr-FR"/>
        </w:rPr>
        <w:t>s</w:t>
      </w:r>
      <w:r>
        <w:rPr>
          <w:lang w:val="fr-FR"/>
        </w:rPr>
        <w:t>ûre</w:t>
      </w:r>
      <w:r w:rsidRPr="000B768E">
        <w:rPr>
          <w:lang w:val="fr-FR"/>
        </w:rPr>
        <w:t>té en mode dégradé</w:t>
      </w:r>
      <w:r w:rsidRPr="000B258A">
        <w:rPr>
          <w:lang w:val="fr-FR"/>
        </w:rPr>
        <w:t xml:space="preserve">. </w:t>
      </w:r>
      <w:r w:rsidRPr="000B258A">
        <w:rPr>
          <w:bCs/>
          <w:lang w:val="fr-FR"/>
        </w:rPr>
        <w:t>Lorsque l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ALKS est activé, il doit effectuer la tâche de conduite à la place du conducteur, c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est-à-dire gérer toutes les situations, y</w:t>
      </w:r>
      <w:r w:rsidR="00076C1C">
        <w:rPr>
          <w:bCs/>
          <w:lang w:val="fr-FR"/>
        </w:rPr>
        <w:t> </w:t>
      </w:r>
      <w:r w:rsidRPr="000B258A">
        <w:rPr>
          <w:bCs/>
          <w:lang w:val="fr-FR"/>
        </w:rPr>
        <w:t xml:space="preserve">compris les </w:t>
      </w:r>
      <w:r w:rsidRPr="00780755">
        <w:rPr>
          <w:bCs/>
          <w:lang w:val="fr-FR"/>
        </w:rPr>
        <w:t>dysfonctionnement</w:t>
      </w:r>
      <w:r>
        <w:rPr>
          <w:bCs/>
          <w:lang w:val="fr-FR"/>
        </w:rPr>
        <w:t>s</w:t>
      </w:r>
      <w:r w:rsidRPr="000B258A">
        <w:rPr>
          <w:bCs/>
          <w:lang w:val="fr-FR"/>
        </w:rPr>
        <w:t xml:space="preserve">, et ne doit pas mettre en danger la sécurité des occupants du véhicule ou de tout autre usager de la route. Le conducteur a toutefois toujours la possibilité de </w:t>
      </w:r>
      <w:r>
        <w:rPr>
          <w:bCs/>
          <w:lang w:val="fr-FR"/>
        </w:rPr>
        <w:t xml:space="preserve">neutraliser </w:t>
      </w:r>
      <w:r w:rsidRPr="000B258A">
        <w:rPr>
          <w:bCs/>
          <w:lang w:val="fr-FR"/>
        </w:rPr>
        <w:t>le systèm</w:t>
      </w:r>
      <w:r>
        <w:rPr>
          <w:bCs/>
          <w:lang w:val="fr-FR"/>
        </w:rPr>
        <w:t>e</w:t>
      </w:r>
      <w:r w:rsidRPr="000B258A">
        <w:rPr>
          <w:bCs/>
          <w:lang w:val="fr-FR"/>
        </w:rPr>
        <w:t xml:space="preserve"> à tout moment. </w:t>
      </w:r>
    </w:p>
    <w:p w:rsidR="008D5660" w:rsidRPr="000B258A" w:rsidRDefault="008D5660" w:rsidP="008D5660">
      <w:pPr>
        <w:pStyle w:val="SingleTxtG"/>
        <w:ind w:firstLine="567"/>
        <w:rPr>
          <w:bCs/>
          <w:lang w:val="fr-FR"/>
        </w:rPr>
      </w:pPr>
      <w:r>
        <w:rPr>
          <w:bCs/>
          <w:lang w:val="fr-FR"/>
        </w:rPr>
        <w:t>Dans l</w:t>
      </w:r>
      <w:r w:rsidRPr="000B258A">
        <w:rPr>
          <w:bCs/>
          <w:lang w:val="fr-FR"/>
        </w:rPr>
        <w:t xml:space="preserve">e présent Règlement </w:t>
      </w:r>
      <w:r>
        <w:rPr>
          <w:bCs/>
          <w:lang w:val="fr-FR"/>
        </w:rPr>
        <w:t>ONU sont</w:t>
      </w:r>
      <w:r w:rsidRPr="000B258A">
        <w:rPr>
          <w:bCs/>
          <w:lang w:val="fr-FR"/>
        </w:rPr>
        <w:t xml:space="preserve"> également </w:t>
      </w:r>
      <w:r>
        <w:rPr>
          <w:bCs/>
          <w:lang w:val="fr-FR"/>
        </w:rPr>
        <w:t xml:space="preserve">énoncées </w:t>
      </w:r>
      <w:r w:rsidRPr="000B258A">
        <w:rPr>
          <w:bCs/>
          <w:lang w:val="fr-FR"/>
        </w:rPr>
        <w:t xml:space="preserve">des </w:t>
      </w:r>
      <w:r>
        <w:rPr>
          <w:bCs/>
          <w:lang w:val="fr-FR"/>
        </w:rPr>
        <w:t xml:space="preserve">prescriptions concernant </w:t>
      </w:r>
      <w:r w:rsidRPr="000B258A">
        <w:rPr>
          <w:bCs/>
          <w:lang w:val="fr-FR"/>
        </w:rPr>
        <w:t>la manière dont la tâche de conduite doit être transférée en toute sécurité de l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 xml:space="preserve">ALKS au conducteur, y compris la capacité du système à </w:t>
      </w:r>
      <w:r>
        <w:rPr>
          <w:bCs/>
          <w:lang w:val="fr-FR"/>
        </w:rPr>
        <w:t xml:space="preserve">mettre le véhicule à l’arrêt </w:t>
      </w:r>
      <w:r w:rsidRPr="000B258A">
        <w:rPr>
          <w:bCs/>
          <w:lang w:val="fr-FR"/>
        </w:rPr>
        <w:t>si le conducteur ne ré</w:t>
      </w:r>
      <w:r>
        <w:rPr>
          <w:bCs/>
          <w:lang w:val="fr-FR"/>
        </w:rPr>
        <w:t>agit</w:t>
      </w:r>
      <w:r w:rsidRPr="000B258A">
        <w:rPr>
          <w:bCs/>
          <w:lang w:val="fr-FR"/>
        </w:rPr>
        <w:t xml:space="preserve"> pas de manière appropriée. </w:t>
      </w:r>
    </w:p>
    <w:p w:rsidR="008D5660" w:rsidRDefault="008D5660" w:rsidP="008D5660">
      <w:pPr>
        <w:pStyle w:val="SingleTxtG"/>
        <w:ind w:firstLine="567"/>
        <w:rPr>
          <w:bCs/>
          <w:lang w:val="fr-FR"/>
        </w:rPr>
      </w:pPr>
      <w:r w:rsidRPr="000B258A">
        <w:rPr>
          <w:bCs/>
          <w:lang w:val="fr-FR"/>
        </w:rPr>
        <w:t xml:space="preserve">Enfin, le présent Règlement </w:t>
      </w:r>
      <w:r>
        <w:rPr>
          <w:bCs/>
          <w:lang w:val="fr-FR"/>
        </w:rPr>
        <w:t xml:space="preserve">ONU </w:t>
      </w:r>
      <w:r w:rsidRPr="000B258A">
        <w:rPr>
          <w:bCs/>
          <w:lang w:val="fr-FR"/>
        </w:rPr>
        <w:t xml:space="preserve">comprend des </w:t>
      </w:r>
      <w:r>
        <w:rPr>
          <w:bCs/>
          <w:lang w:val="fr-FR"/>
        </w:rPr>
        <w:t>prescriptions</w:t>
      </w:r>
      <w:r w:rsidRPr="000B258A">
        <w:rPr>
          <w:bCs/>
          <w:lang w:val="fr-FR"/>
        </w:rPr>
        <w:t xml:space="preserve"> relatives à l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interface homme</w:t>
      </w:r>
      <w:r>
        <w:rPr>
          <w:bCs/>
          <w:lang w:val="fr-FR"/>
        </w:rPr>
        <w:noBreakHyphen/>
      </w:r>
      <w:r w:rsidRPr="000B258A">
        <w:rPr>
          <w:bCs/>
          <w:lang w:val="fr-FR"/>
        </w:rPr>
        <w:t>machine</w:t>
      </w:r>
      <w:r>
        <w:rPr>
          <w:bCs/>
          <w:lang w:val="fr-FR"/>
        </w:rPr>
        <w:t xml:space="preserve"> visant à prévenir</w:t>
      </w:r>
      <w:r w:rsidRPr="000B258A">
        <w:rPr>
          <w:bCs/>
          <w:lang w:val="fr-FR"/>
        </w:rPr>
        <w:t xml:space="preserve"> tou</w:t>
      </w:r>
      <w:r>
        <w:rPr>
          <w:bCs/>
          <w:lang w:val="fr-FR"/>
        </w:rPr>
        <w:t>t</w:t>
      </w:r>
      <w:r w:rsidRPr="000B258A">
        <w:rPr>
          <w:bCs/>
          <w:lang w:val="fr-FR"/>
        </w:rPr>
        <w:t xml:space="preserve"> malentendu ou </w:t>
      </w:r>
      <w:r>
        <w:rPr>
          <w:bCs/>
          <w:lang w:val="fr-FR"/>
        </w:rPr>
        <w:t>mésusage de la part du</w:t>
      </w:r>
      <w:r w:rsidRPr="000B258A">
        <w:rPr>
          <w:bCs/>
          <w:lang w:val="fr-FR"/>
        </w:rPr>
        <w:t xml:space="preserve"> conducteur. Le présent Règlement </w:t>
      </w:r>
      <w:r>
        <w:rPr>
          <w:bCs/>
          <w:lang w:val="fr-FR"/>
        </w:rPr>
        <w:t>ONU prescrit,</w:t>
      </w:r>
      <w:r w:rsidRPr="000B258A">
        <w:rPr>
          <w:bCs/>
          <w:lang w:val="fr-FR"/>
        </w:rPr>
        <w:t xml:space="preserve"> </w:t>
      </w:r>
      <w:r>
        <w:rPr>
          <w:bCs/>
          <w:lang w:val="fr-FR"/>
        </w:rPr>
        <w:t xml:space="preserve">par exemple, </w:t>
      </w:r>
      <w:r w:rsidRPr="000B258A">
        <w:rPr>
          <w:bCs/>
          <w:lang w:val="fr-FR"/>
        </w:rPr>
        <w:t>que le</w:t>
      </w:r>
      <w:r>
        <w:rPr>
          <w:bCs/>
          <w:lang w:val="fr-FR"/>
        </w:rPr>
        <w:t xml:space="preserve"> fonctionnement de</w:t>
      </w:r>
      <w:r w:rsidRPr="000B258A">
        <w:rPr>
          <w:bCs/>
          <w:lang w:val="fr-FR"/>
        </w:rPr>
        <w:t>s écrans embarqués utilisés par le conducteur pour d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autres activités que la conduite lorsque l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ALKS est activé soit automatiquement suspend</w:t>
      </w:r>
      <w:r>
        <w:rPr>
          <w:bCs/>
          <w:lang w:val="fr-FR"/>
        </w:rPr>
        <w:t>u</w:t>
      </w:r>
      <w:r w:rsidRPr="000B258A">
        <w:rPr>
          <w:bCs/>
          <w:lang w:val="fr-FR"/>
        </w:rPr>
        <w:t xml:space="preserve"> dès que le système émet une demande de transition. Ces</w:t>
      </w:r>
      <w:r>
        <w:rPr>
          <w:bCs/>
          <w:lang w:val="fr-FR"/>
        </w:rPr>
        <w:t> </w:t>
      </w:r>
      <w:r w:rsidRPr="000B258A">
        <w:rPr>
          <w:bCs/>
          <w:lang w:val="fr-FR"/>
        </w:rPr>
        <w:t xml:space="preserve">mesures sont sans préjudice des règles de comportement </w:t>
      </w:r>
      <w:r>
        <w:rPr>
          <w:bCs/>
          <w:lang w:val="fr-FR"/>
        </w:rPr>
        <w:t xml:space="preserve">du conducteur relatives à </w:t>
      </w:r>
      <w:r w:rsidRPr="000B258A">
        <w:rPr>
          <w:bCs/>
          <w:lang w:val="fr-FR"/>
        </w:rPr>
        <w:t>la manière d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 xml:space="preserve">utiliser ces systèmes dans </w:t>
      </w:r>
      <w:r>
        <w:rPr>
          <w:bCs/>
          <w:lang w:val="fr-FR"/>
        </w:rPr>
        <w:t>chaque</w:t>
      </w:r>
      <w:r w:rsidRPr="000B258A">
        <w:rPr>
          <w:bCs/>
          <w:lang w:val="fr-FR"/>
        </w:rPr>
        <w:t xml:space="preserve"> </w:t>
      </w:r>
      <w:r>
        <w:rPr>
          <w:bCs/>
          <w:lang w:val="fr-FR"/>
        </w:rPr>
        <w:t>P</w:t>
      </w:r>
      <w:r w:rsidRPr="000B258A">
        <w:rPr>
          <w:bCs/>
          <w:lang w:val="fr-FR"/>
        </w:rPr>
        <w:t>artie contractante, telles qu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elles sont actuellement examinées par le Forum mondial pour la sécurité routière (WP.1) au moment de la rédaction du présent document (voir</w:t>
      </w:r>
      <w:r>
        <w:rPr>
          <w:bCs/>
          <w:lang w:val="fr-FR"/>
        </w:rPr>
        <w:t>,</w:t>
      </w:r>
      <w:r w:rsidRPr="000B258A">
        <w:rPr>
          <w:bCs/>
          <w:lang w:val="fr-FR"/>
        </w:rPr>
        <w:t xml:space="preserve"> </w:t>
      </w:r>
      <w:r>
        <w:rPr>
          <w:bCs/>
          <w:lang w:val="fr-FR"/>
        </w:rPr>
        <w:t xml:space="preserve">par exemple, </w:t>
      </w:r>
      <w:r w:rsidRPr="000B258A">
        <w:rPr>
          <w:bCs/>
          <w:lang w:val="fr-FR"/>
        </w:rPr>
        <w:t xml:space="preserve">le document informel </w:t>
      </w:r>
      <w:r>
        <w:rPr>
          <w:bCs/>
          <w:lang w:val="fr-FR"/>
        </w:rPr>
        <w:t>n</w:t>
      </w:r>
      <w:r w:rsidRPr="004D0A2F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0B258A">
        <w:rPr>
          <w:bCs/>
          <w:lang w:val="fr-FR"/>
        </w:rPr>
        <w:t>4</w:t>
      </w:r>
      <w:r>
        <w:rPr>
          <w:bCs/>
          <w:lang w:val="fr-FR"/>
        </w:rPr>
        <w:t>/</w:t>
      </w:r>
      <w:r w:rsidRPr="000B258A">
        <w:rPr>
          <w:bCs/>
          <w:lang w:val="fr-FR"/>
        </w:rPr>
        <w:t>R</w:t>
      </w:r>
      <w:r>
        <w:rPr>
          <w:bCs/>
          <w:lang w:val="fr-FR"/>
        </w:rPr>
        <w:t>ev.</w:t>
      </w:r>
      <w:r w:rsidRPr="000B258A">
        <w:rPr>
          <w:bCs/>
          <w:lang w:val="fr-FR"/>
        </w:rPr>
        <w:t>1 de la soixante-dix-huitième session du WP.1).</w:t>
      </w:r>
      <w:r>
        <w:rPr>
          <w:bCs/>
          <w:lang w:val="fr-FR"/>
        </w:rPr>
        <w:t> ».</w:t>
      </w:r>
    </w:p>
    <w:p w:rsidR="008D5660" w:rsidRDefault="008D5660" w:rsidP="008D5660">
      <w:pPr>
        <w:pStyle w:val="SingleTxtG"/>
        <w:rPr>
          <w:bCs/>
          <w:lang w:val="fr-FR"/>
        </w:rPr>
      </w:pPr>
      <w:r w:rsidRPr="007E166B">
        <w:rPr>
          <w:bCs/>
          <w:i/>
          <w:iCs/>
          <w:lang w:val="fr-FR"/>
        </w:rPr>
        <w:t>Paragraphe 1.1</w:t>
      </w:r>
      <w:r>
        <w:rPr>
          <w:bCs/>
          <w:lang w:val="fr-FR"/>
        </w:rPr>
        <w:t>, lire :</w:t>
      </w:r>
    </w:p>
    <w:p w:rsidR="008D5660" w:rsidRDefault="008D5660" w:rsidP="008D5660">
      <w:pPr>
        <w:pStyle w:val="SingleTxtG"/>
        <w:spacing w:line="240" w:lineRule="exact"/>
        <w:ind w:left="2268" w:hanging="1134"/>
        <w:rPr>
          <w:lang w:val="fr-FR"/>
        </w:rPr>
      </w:pPr>
      <w:r>
        <w:rPr>
          <w:bCs/>
          <w:lang w:val="fr-FR"/>
        </w:rPr>
        <w:t>« </w:t>
      </w:r>
      <w:bookmarkEnd w:id="1"/>
      <w:r w:rsidRPr="000B258A">
        <w:rPr>
          <w:lang w:val="fr-FR"/>
        </w:rPr>
        <w:t>1.1</w:t>
      </w:r>
      <w:r w:rsidRPr="000B258A">
        <w:rPr>
          <w:lang w:val="fr-FR"/>
        </w:rPr>
        <w:tab/>
        <w:t>Le présent Règlement s</w:t>
      </w:r>
      <w:r>
        <w:rPr>
          <w:lang w:val="fr-FR"/>
        </w:rPr>
        <w:t>’</w:t>
      </w:r>
      <w:r w:rsidRPr="000B258A">
        <w:rPr>
          <w:lang w:val="fr-FR"/>
        </w:rPr>
        <w:t>applique à l</w:t>
      </w:r>
      <w:r>
        <w:rPr>
          <w:lang w:val="fr-FR"/>
        </w:rPr>
        <w:t>’</w:t>
      </w:r>
      <w:r w:rsidRPr="000B258A">
        <w:rPr>
          <w:lang w:val="fr-FR"/>
        </w:rPr>
        <w:t xml:space="preserve">homologation de type des véhicules </w:t>
      </w:r>
      <w:proofErr w:type="spellStart"/>
      <w:r w:rsidRPr="000B258A">
        <w:rPr>
          <w:lang w:val="fr-FR"/>
        </w:rPr>
        <w:t>de</w:t>
      </w:r>
      <w:r w:rsidRPr="007E166B">
        <w:rPr>
          <w:b/>
          <w:bCs/>
          <w:lang w:val="fr-FR"/>
        </w:rPr>
        <w:t>s</w:t>
      </w:r>
      <w:proofErr w:type="spellEnd"/>
      <w:r w:rsidRPr="000B258A">
        <w:rPr>
          <w:lang w:val="fr-FR"/>
        </w:rPr>
        <w:t xml:space="preserve"> </w:t>
      </w:r>
      <w:r w:rsidRPr="007E166B">
        <w:rPr>
          <w:strike/>
          <w:lang w:val="fr-FR"/>
        </w:rPr>
        <w:t>la</w:t>
      </w:r>
      <w:r w:rsidRPr="000B258A">
        <w:rPr>
          <w:lang w:val="fr-FR"/>
        </w:rPr>
        <w:t xml:space="preserve"> catégorie</w:t>
      </w:r>
      <w:r>
        <w:rPr>
          <w:lang w:val="fr-FR"/>
        </w:rPr>
        <w:t>s</w:t>
      </w:r>
      <w:r w:rsidRPr="000B258A">
        <w:rPr>
          <w:lang w:val="fr-FR"/>
        </w:rPr>
        <w:t xml:space="preserve"> </w:t>
      </w:r>
      <w:r w:rsidRPr="007E166B">
        <w:rPr>
          <w:strike/>
          <w:lang w:val="fr-FR"/>
        </w:rPr>
        <w:t>M</w:t>
      </w:r>
      <w:r w:rsidRPr="007E166B">
        <w:rPr>
          <w:strike/>
          <w:vertAlign w:val="subscript"/>
          <w:lang w:val="fr-FR"/>
        </w:rPr>
        <w:t>1</w:t>
      </w:r>
      <w:r>
        <w:t xml:space="preserve"> </w:t>
      </w:r>
      <w:r w:rsidRPr="007E166B">
        <w:rPr>
          <w:b/>
          <w:bCs/>
        </w:rPr>
        <w:t>M et N</w:t>
      </w:r>
      <w:r w:rsidRPr="000B30EF">
        <w:rPr>
          <w:rStyle w:val="Appelnotedebasdep"/>
        </w:rPr>
        <w:footnoteReference w:id="3"/>
      </w:r>
      <w:r w:rsidRPr="000B258A">
        <w:rPr>
          <w:lang w:val="fr-FR"/>
        </w:rPr>
        <w:t xml:space="preserve"> en ce qui concerne leur système automatisé de maintien dans la voie.</w:t>
      </w:r>
      <w:r>
        <w:rPr>
          <w:lang w:val="fr-FR"/>
        </w:rPr>
        <w:t> ».</w:t>
      </w:r>
    </w:p>
    <w:p w:rsidR="008D5660" w:rsidRPr="000B258A" w:rsidRDefault="008D5660" w:rsidP="00E90EA8">
      <w:pPr>
        <w:pStyle w:val="SingleTxtG"/>
        <w:keepNext/>
        <w:spacing w:line="240" w:lineRule="exact"/>
        <w:ind w:left="2268" w:hanging="1134"/>
        <w:rPr>
          <w:lang w:val="fr-FR"/>
        </w:rPr>
      </w:pPr>
      <w:r w:rsidRPr="007E166B">
        <w:rPr>
          <w:i/>
          <w:iCs/>
          <w:lang w:val="fr-FR"/>
        </w:rPr>
        <w:lastRenderedPageBreak/>
        <w:t>Paragraphe 5.2.3.3</w:t>
      </w:r>
      <w:r>
        <w:rPr>
          <w:lang w:val="fr-FR"/>
        </w:rPr>
        <w:t>, lire :</w:t>
      </w:r>
    </w:p>
    <w:p w:rsidR="008D5660" w:rsidRPr="000B258A" w:rsidRDefault="008D5660" w:rsidP="00E90EA8">
      <w:pPr>
        <w:keepNext/>
        <w:shd w:val="clear" w:color="auto" w:fill="FFFFFF"/>
        <w:suppressAutoHyphens w:val="0"/>
        <w:spacing w:after="120" w:line="240" w:lineRule="exact"/>
        <w:ind w:left="2268" w:right="1134" w:hanging="1134"/>
        <w:jc w:val="both"/>
        <w:rPr>
          <w:bCs/>
          <w:lang w:val="fr-FR"/>
        </w:rPr>
      </w:pPr>
      <w:r>
        <w:rPr>
          <w:lang w:val="fr-FR"/>
        </w:rPr>
        <w:t>« </w:t>
      </w:r>
      <w:r w:rsidRPr="000B258A">
        <w:rPr>
          <w:bCs/>
          <w:lang w:val="fr-FR"/>
        </w:rPr>
        <w:t>5.2.3.3</w:t>
      </w:r>
      <w:r w:rsidRPr="000B258A">
        <w:rPr>
          <w:bCs/>
          <w:lang w:val="fr-FR"/>
        </w:rPr>
        <w:tab/>
      </w:r>
      <w:r w:rsidRPr="000B258A">
        <w:rPr>
          <w:bCs/>
          <w:lang w:val="fr-FR"/>
        </w:rPr>
        <w:tab/>
      </w:r>
      <w:r>
        <w:rPr>
          <w:bCs/>
          <w:lang w:val="fr-FR"/>
        </w:rPr>
        <w:t xml:space="preserve">Lorsqu’il est activé, le système </w:t>
      </w:r>
      <w:r w:rsidRPr="000B258A">
        <w:rPr>
          <w:bCs/>
          <w:lang w:val="fr-FR"/>
        </w:rPr>
        <w:t xml:space="preserve">doit détecter la distance par rapport au véhicule </w:t>
      </w:r>
      <w:r>
        <w:rPr>
          <w:bCs/>
          <w:lang w:val="fr-FR"/>
        </w:rPr>
        <w:t>aval</w:t>
      </w:r>
      <w:r w:rsidRPr="000B258A">
        <w:rPr>
          <w:bCs/>
          <w:lang w:val="fr-FR"/>
        </w:rPr>
        <w:t>, tel que défini au paragraphe</w:t>
      </w:r>
      <w:r>
        <w:rPr>
          <w:bCs/>
          <w:lang w:val="fr-FR"/>
        </w:rPr>
        <w:t> </w:t>
      </w:r>
      <w:r w:rsidRPr="000B258A">
        <w:rPr>
          <w:bCs/>
          <w:lang w:val="fr-FR"/>
        </w:rPr>
        <w:t>7.1.1, et doit adapter la vitesse du véhicule afin d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 xml:space="preserve">éviter la collision. </w:t>
      </w:r>
    </w:p>
    <w:p w:rsidR="008D5660" w:rsidRPr="000B258A" w:rsidRDefault="008D5660" w:rsidP="008D5660">
      <w:pPr>
        <w:shd w:val="clear" w:color="auto" w:fill="FFFFFF"/>
        <w:tabs>
          <w:tab w:val="left" w:pos="2694"/>
          <w:tab w:val="left" w:pos="3119"/>
        </w:tabs>
        <w:suppressAutoHyphens w:val="0"/>
        <w:spacing w:after="120" w:line="240" w:lineRule="exact"/>
        <w:ind w:left="2268" w:right="1134"/>
        <w:jc w:val="both"/>
        <w:rPr>
          <w:lang w:val="fr-FR"/>
        </w:rPr>
      </w:pPr>
      <w:r w:rsidRPr="000B258A">
        <w:rPr>
          <w:bCs/>
          <w:lang w:val="fr-FR"/>
        </w:rPr>
        <w:t xml:space="preserve">Tant que le véhicule </w:t>
      </w:r>
      <w:r>
        <w:rPr>
          <w:bCs/>
          <w:lang w:val="fr-FR"/>
        </w:rPr>
        <w:t>équipé de l’</w:t>
      </w:r>
      <w:r w:rsidRPr="000B258A">
        <w:rPr>
          <w:bCs/>
          <w:lang w:val="fr-FR"/>
        </w:rPr>
        <w:t>ALKS n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est pas à l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 xml:space="preserve">arrêt, le système doit adapter </w:t>
      </w:r>
      <w:r>
        <w:rPr>
          <w:bCs/>
          <w:lang w:val="fr-FR"/>
        </w:rPr>
        <w:t>s</w:t>
      </w:r>
      <w:r w:rsidRPr="000B258A">
        <w:rPr>
          <w:bCs/>
          <w:lang w:val="fr-FR"/>
        </w:rPr>
        <w:t xml:space="preserve">a vitesse pour que la </w:t>
      </w:r>
      <w:r w:rsidRPr="000B258A">
        <w:rPr>
          <w:lang w:val="fr-FR"/>
        </w:rPr>
        <w:t xml:space="preserve">distance par rapport </w:t>
      </w:r>
      <w:r>
        <w:rPr>
          <w:lang w:val="fr-FR"/>
        </w:rPr>
        <w:t>au</w:t>
      </w:r>
      <w:r w:rsidRPr="000B258A">
        <w:rPr>
          <w:bCs/>
          <w:lang w:val="fr-FR"/>
        </w:rPr>
        <w:t xml:space="preserve"> </w:t>
      </w:r>
      <w:r w:rsidRPr="000B258A">
        <w:rPr>
          <w:lang w:val="fr-FR"/>
        </w:rPr>
        <w:t xml:space="preserve">véhicule </w:t>
      </w:r>
      <w:r>
        <w:rPr>
          <w:lang w:val="fr-FR"/>
        </w:rPr>
        <w:t xml:space="preserve">aval </w:t>
      </w:r>
      <w:r w:rsidRPr="000B258A">
        <w:rPr>
          <w:lang w:val="fr-FR"/>
        </w:rPr>
        <w:t xml:space="preserve">dans la même voie soit égale ou supérieure à la distance de </w:t>
      </w:r>
      <w:r>
        <w:rPr>
          <w:lang w:val="fr-FR"/>
        </w:rPr>
        <w:t>sécurité</w:t>
      </w:r>
      <w:r w:rsidRPr="000B258A">
        <w:rPr>
          <w:lang w:val="fr-FR"/>
        </w:rPr>
        <w:t xml:space="preserve">. </w:t>
      </w:r>
    </w:p>
    <w:p w:rsidR="008D5660" w:rsidRPr="000B258A" w:rsidRDefault="008D5660" w:rsidP="008D5660">
      <w:pPr>
        <w:shd w:val="clear" w:color="auto" w:fill="FFFFFF"/>
        <w:suppressAutoHyphens w:val="0"/>
        <w:spacing w:after="120" w:line="240" w:lineRule="exact"/>
        <w:ind w:left="2268" w:right="1134"/>
        <w:jc w:val="both"/>
        <w:rPr>
          <w:lang w:val="fr-FR" w:eastAsia="ja-JP"/>
        </w:rPr>
      </w:pPr>
      <w:r w:rsidRPr="000B258A">
        <w:rPr>
          <w:bCs/>
          <w:lang w:val="fr-FR"/>
        </w:rPr>
        <w:tab/>
      </w:r>
      <w:r>
        <w:rPr>
          <w:bCs/>
          <w:lang w:val="fr-FR"/>
        </w:rPr>
        <w:t>Dans le cas où l’écart minimal ne peut temporairement pas être respecté à cause d’autres usagers de la route (par exemple, véhicule effectuant un rabattement serré, décélération du véhicule aval, etc.</w:t>
      </w:r>
      <w:r w:rsidRPr="000B258A">
        <w:rPr>
          <w:bCs/>
          <w:lang w:val="fr-FR"/>
        </w:rPr>
        <w:t xml:space="preserve">), le véhicule doit réajuster la distance </w:t>
      </w:r>
      <w:r>
        <w:rPr>
          <w:bCs/>
          <w:lang w:val="fr-FR"/>
        </w:rPr>
        <w:t>de sécurité</w:t>
      </w:r>
      <w:r w:rsidRPr="000B258A">
        <w:rPr>
          <w:bCs/>
          <w:lang w:val="fr-FR"/>
        </w:rPr>
        <w:t xml:space="preserve"> à la pr</w:t>
      </w:r>
      <w:r>
        <w:rPr>
          <w:bCs/>
          <w:lang w:val="fr-FR"/>
        </w:rPr>
        <w:t>emière</w:t>
      </w:r>
      <w:r w:rsidRPr="000B258A">
        <w:rPr>
          <w:bCs/>
          <w:lang w:val="fr-FR"/>
        </w:rPr>
        <w:t xml:space="preserve"> occasion sans freinage brusque, à moins qu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une manœuvre d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 xml:space="preserve">urgence </w:t>
      </w:r>
      <w:r>
        <w:rPr>
          <w:bCs/>
          <w:lang w:val="fr-FR"/>
        </w:rPr>
        <w:t>devienne</w:t>
      </w:r>
      <w:r w:rsidRPr="000B258A">
        <w:rPr>
          <w:bCs/>
          <w:lang w:val="fr-FR"/>
        </w:rPr>
        <w:t xml:space="preserve"> nécessaire.</w:t>
      </w:r>
    </w:p>
    <w:p w:rsidR="008D5660" w:rsidRPr="000B258A" w:rsidRDefault="008D5660" w:rsidP="008D5660">
      <w:pPr>
        <w:keepNext/>
        <w:shd w:val="clear" w:color="auto" w:fill="FFFFFF"/>
        <w:suppressAutoHyphens w:val="0"/>
        <w:spacing w:after="120" w:line="240" w:lineRule="exact"/>
        <w:ind w:left="2268" w:right="1134"/>
        <w:jc w:val="both"/>
        <w:rPr>
          <w:strike/>
          <w:lang w:val="fr-FR"/>
        </w:rPr>
      </w:pPr>
      <w:r w:rsidRPr="000B258A">
        <w:rPr>
          <w:bCs/>
          <w:lang w:val="fr-FR"/>
        </w:rPr>
        <w:tab/>
      </w:r>
      <w:r w:rsidRPr="000B258A">
        <w:rPr>
          <w:lang w:val="fr-FR"/>
        </w:rPr>
        <w:t xml:space="preserve">La distance </w:t>
      </w:r>
      <w:r>
        <w:rPr>
          <w:lang w:val="fr-FR"/>
        </w:rPr>
        <w:t>de sécurité</w:t>
      </w:r>
      <w:r w:rsidRPr="000B258A">
        <w:rPr>
          <w:lang w:val="fr-FR"/>
        </w:rPr>
        <w:t xml:space="preserve"> est calculée à l</w:t>
      </w:r>
      <w:r>
        <w:rPr>
          <w:lang w:val="fr-FR"/>
        </w:rPr>
        <w:t>’</w:t>
      </w:r>
      <w:r w:rsidRPr="000B258A">
        <w:rPr>
          <w:lang w:val="fr-FR"/>
        </w:rPr>
        <w:t>aide de la formule</w:t>
      </w:r>
      <w:r w:rsidRPr="00B94BE6">
        <w:rPr>
          <w:lang w:val="fr-FR"/>
        </w:rPr>
        <w:t xml:space="preserve"> </w:t>
      </w:r>
      <w:r w:rsidRPr="000B258A">
        <w:rPr>
          <w:lang w:val="fr-FR"/>
        </w:rPr>
        <w:t>suivante :</w:t>
      </w:r>
    </w:p>
    <w:p w:rsidR="008D5660" w:rsidRPr="000B258A" w:rsidRDefault="008D5660" w:rsidP="008D5660">
      <w:pPr>
        <w:pStyle w:val="SingleTxtG"/>
        <w:tabs>
          <w:tab w:val="left" w:pos="2786"/>
          <w:tab w:val="left" w:pos="3066"/>
        </w:tabs>
        <w:spacing w:line="240" w:lineRule="exact"/>
        <w:ind w:left="2268"/>
        <w:rPr>
          <w:vertAlign w:val="subscript"/>
          <w:lang w:val="fr-FR"/>
        </w:rPr>
      </w:pPr>
      <w:proofErr w:type="spellStart"/>
      <w:r w:rsidRPr="000B258A">
        <w:rPr>
          <w:lang w:val="fr-FR"/>
        </w:rPr>
        <w:t>d</w:t>
      </w:r>
      <w:r w:rsidRPr="00347877">
        <w:rPr>
          <w:vertAlign w:val="subscript"/>
          <w:lang w:val="fr-FR"/>
        </w:rPr>
        <w:t>min</w:t>
      </w:r>
      <w:proofErr w:type="spellEnd"/>
      <w:r w:rsidRPr="000B258A">
        <w:rPr>
          <w:vertAlign w:val="subscript"/>
          <w:lang w:val="fr-FR"/>
        </w:rPr>
        <w:tab/>
      </w:r>
      <w:r w:rsidRPr="000B258A">
        <w:rPr>
          <w:lang w:val="fr-FR"/>
        </w:rPr>
        <w:t>=</w:t>
      </w:r>
      <w:r>
        <w:rPr>
          <w:lang w:val="fr-FR"/>
        </w:rPr>
        <w:tab/>
      </w:r>
      <w:proofErr w:type="spellStart"/>
      <w:r w:rsidRPr="000B258A">
        <w:rPr>
          <w:lang w:val="fr-FR"/>
        </w:rPr>
        <w:t>v</w:t>
      </w:r>
      <w:r w:rsidRPr="00347877">
        <w:rPr>
          <w:vertAlign w:val="subscript"/>
          <w:lang w:val="fr-FR"/>
        </w:rPr>
        <w:t>ALKS</w:t>
      </w:r>
      <w:proofErr w:type="spellEnd"/>
      <w:r w:rsidRPr="00917BDD">
        <w:rPr>
          <w:lang w:val="fr-FR"/>
        </w:rPr>
        <w:t xml:space="preserve"> </w:t>
      </w:r>
      <w:r w:rsidRPr="003102F0">
        <w:rPr>
          <w:position w:val="-6"/>
          <w:lang w:val="fr-FR"/>
        </w:rPr>
        <w:t>*</w:t>
      </w:r>
      <w:r>
        <w:rPr>
          <w:lang w:val="fr-FR"/>
        </w:rPr>
        <w:t xml:space="preserve"> </w:t>
      </w:r>
      <w:proofErr w:type="spellStart"/>
      <w:r w:rsidRPr="000B258A">
        <w:rPr>
          <w:lang w:val="fr-FR"/>
        </w:rPr>
        <w:t>t</w:t>
      </w:r>
      <w:r w:rsidRPr="00347877">
        <w:rPr>
          <w:vertAlign w:val="subscript"/>
          <w:lang w:val="fr-FR"/>
        </w:rPr>
        <w:t>front</w:t>
      </w:r>
      <w:proofErr w:type="spellEnd"/>
    </w:p>
    <w:p w:rsidR="008D5660" w:rsidRPr="000B258A" w:rsidRDefault="008D5660" w:rsidP="008D5660">
      <w:pPr>
        <w:spacing w:after="120" w:line="240" w:lineRule="exact"/>
        <w:ind w:left="2268"/>
        <w:rPr>
          <w:lang w:val="fr-FR"/>
        </w:rPr>
      </w:pPr>
      <w:r w:rsidRPr="000B258A">
        <w:rPr>
          <w:lang w:val="fr-FR"/>
        </w:rPr>
        <w:t>Où :</w:t>
      </w:r>
    </w:p>
    <w:p w:rsidR="008D5660" w:rsidRPr="000B258A" w:rsidRDefault="008D5660" w:rsidP="008D5660">
      <w:pPr>
        <w:pStyle w:val="SingleTxtG"/>
        <w:tabs>
          <w:tab w:val="left" w:pos="2786"/>
          <w:tab w:val="left" w:pos="3066"/>
        </w:tabs>
        <w:spacing w:line="240" w:lineRule="exact"/>
        <w:ind w:left="2268"/>
        <w:rPr>
          <w:lang w:val="fr-FR"/>
        </w:rPr>
      </w:pPr>
      <w:proofErr w:type="spellStart"/>
      <w:r w:rsidRPr="000B258A">
        <w:rPr>
          <w:lang w:val="fr-FR"/>
        </w:rPr>
        <w:t>d</w:t>
      </w:r>
      <w:r w:rsidRPr="00347877">
        <w:rPr>
          <w:vertAlign w:val="subscript"/>
          <w:lang w:val="fr-FR"/>
        </w:rPr>
        <w:t>min</w:t>
      </w:r>
      <w:proofErr w:type="spellEnd"/>
      <w:r w:rsidRPr="000B258A">
        <w:rPr>
          <w:lang w:val="fr-FR"/>
        </w:rPr>
        <w:tab/>
        <w:t>=</w:t>
      </w:r>
      <w:r w:rsidRPr="000B258A">
        <w:rPr>
          <w:lang w:val="fr-FR"/>
        </w:rPr>
        <w:tab/>
        <w:t xml:space="preserve">distance de </w:t>
      </w:r>
      <w:r>
        <w:rPr>
          <w:lang w:val="fr-FR"/>
        </w:rPr>
        <w:t>sécurité</w:t>
      </w:r>
    </w:p>
    <w:p w:rsidR="008D5660" w:rsidRPr="000B258A" w:rsidRDefault="008D5660" w:rsidP="008D5660">
      <w:pPr>
        <w:pStyle w:val="SingleTxtG"/>
        <w:tabs>
          <w:tab w:val="left" w:pos="2786"/>
          <w:tab w:val="left" w:pos="3066"/>
        </w:tabs>
        <w:spacing w:line="240" w:lineRule="exact"/>
        <w:ind w:left="2268"/>
        <w:rPr>
          <w:lang w:val="fr-FR"/>
        </w:rPr>
      </w:pPr>
      <w:proofErr w:type="spellStart"/>
      <w:r w:rsidRPr="000B258A">
        <w:rPr>
          <w:lang w:val="fr-FR"/>
        </w:rPr>
        <w:t>v</w:t>
      </w:r>
      <w:r w:rsidRPr="00347877">
        <w:rPr>
          <w:vertAlign w:val="subscript"/>
          <w:lang w:val="fr-FR"/>
        </w:rPr>
        <w:t>ALKS</w:t>
      </w:r>
      <w:proofErr w:type="spellEnd"/>
      <w:r w:rsidRPr="00347877">
        <w:rPr>
          <w:lang w:val="fr-FR"/>
        </w:rPr>
        <w:tab/>
      </w:r>
      <w:r w:rsidRPr="000B258A">
        <w:rPr>
          <w:lang w:val="fr-FR"/>
        </w:rPr>
        <w:t>=</w:t>
      </w:r>
      <w:r w:rsidRPr="000B258A">
        <w:rPr>
          <w:lang w:val="fr-FR"/>
        </w:rPr>
        <w:tab/>
        <w:t>vitess</w:t>
      </w:r>
      <w:r>
        <w:rPr>
          <w:lang w:val="fr-FR"/>
        </w:rPr>
        <w:t>e ré</w:t>
      </w:r>
      <w:r w:rsidRPr="000B258A">
        <w:rPr>
          <w:lang w:val="fr-FR"/>
        </w:rPr>
        <w:t xml:space="preserve">elle du véhicule </w:t>
      </w:r>
      <w:r>
        <w:rPr>
          <w:lang w:val="fr-FR"/>
        </w:rPr>
        <w:t>équipé de l’</w:t>
      </w:r>
      <w:r w:rsidRPr="000B258A">
        <w:rPr>
          <w:lang w:val="fr-FR"/>
        </w:rPr>
        <w:t xml:space="preserve">ALKS </w:t>
      </w:r>
      <w:r>
        <w:rPr>
          <w:lang w:val="fr-FR"/>
        </w:rPr>
        <w:t>(</w:t>
      </w:r>
      <w:r w:rsidRPr="000B258A">
        <w:rPr>
          <w:lang w:val="fr-FR"/>
        </w:rPr>
        <w:t>en</w:t>
      </w:r>
      <w:r>
        <w:rPr>
          <w:lang w:val="fr-FR"/>
        </w:rPr>
        <w:t> m</w:t>
      </w:r>
      <w:r w:rsidRPr="000B258A">
        <w:rPr>
          <w:lang w:val="fr-FR"/>
        </w:rPr>
        <w:t>/s</w:t>
      </w:r>
      <w:r>
        <w:rPr>
          <w:lang w:val="fr-FR"/>
        </w:rPr>
        <w:t>)</w:t>
      </w:r>
    </w:p>
    <w:p w:rsidR="008D5660" w:rsidRDefault="008D5660" w:rsidP="008D5660">
      <w:pPr>
        <w:pStyle w:val="SingleTxtG"/>
        <w:tabs>
          <w:tab w:val="left" w:pos="2786"/>
          <w:tab w:val="left" w:pos="3066"/>
        </w:tabs>
        <w:spacing w:line="240" w:lineRule="exact"/>
        <w:ind w:left="3062" w:hanging="794"/>
        <w:rPr>
          <w:lang w:val="fr-FR"/>
        </w:rPr>
      </w:pPr>
      <w:proofErr w:type="spellStart"/>
      <w:r w:rsidRPr="000B258A">
        <w:rPr>
          <w:lang w:val="fr-FR"/>
        </w:rPr>
        <w:t>t</w:t>
      </w:r>
      <w:r w:rsidRPr="00347877">
        <w:rPr>
          <w:vertAlign w:val="subscript"/>
          <w:lang w:val="fr-FR"/>
        </w:rPr>
        <w:t>front</w:t>
      </w:r>
      <w:proofErr w:type="spellEnd"/>
      <w:r w:rsidRPr="00347877">
        <w:rPr>
          <w:lang w:val="fr-FR"/>
        </w:rPr>
        <w:tab/>
      </w:r>
      <w:r w:rsidRPr="000B258A">
        <w:rPr>
          <w:lang w:val="fr-FR"/>
        </w:rPr>
        <w:t>=</w:t>
      </w:r>
      <w:r>
        <w:rPr>
          <w:lang w:val="fr-FR"/>
        </w:rPr>
        <w:tab/>
      </w:r>
      <w:r w:rsidRPr="000B258A">
        <w:rPr>
          <w:lang w:val="fr-FR"/>
        </w:rPr>
        <w:t xml:space="preserve">écart </w:t>
      </w:r>
      <w:r>
        <w:rPr>
          <w:lang w:val="fr-FR"/>
        </w:rPr>
        <w:t xml:space="preserve">temporel </w:t>
      </w:r>
      <w:r w:rsidRPr="000B258A">
        <w:rPr>
          <w:lang w:val="fr-FR"/>
        </w:rPr>
        <w:t>minim</w:t>
      </w:r>
      <w:r>
        <w:rPr>
          <w:lang w:val="fr-FR"/>
        </w:rPr>
        <w:t>al (</w:t>
      </w:r>
      <w:r w:rsidRPr="000B258A">
        <w:rPr>
          <w:lang w:val="fr-FR"/>
        </w:rPr>
        <w:t>en secondes</w:t>
      </w:r>
      <w:r>
        <w:rPr>
          <w:lang w:val="fr-FR"/>
        </w:rPr>
        <w:t>)</w:t>
      </w:r>
      <w:r w:rsidRPr="000B258A">
        <w:rPr>
          <w:lang w:val="fr-FR"/>
        </w:rPr>
        <w:t xml:space="preserve"> entre le véhicule</w:t>
      </w:r>
      <w:r w:rsidRPr="007A7C1F">
        <w:rPr>
          <w:lang w:val="fr-FR"/>
        </w:rPr>
        <w:t xml:space="preserve"> </w:t>
      </w:r>
      <w:r w:rsidRPr="00347877">
        <w:rPr>
          <w:lang w:val="fr-FR"/>
        </w:rPr>
        <w:t>équipé de l</w:t>
      </w:r>
      <w:r>
        <w:rPr>
          <w:lang w:val="fr-FR"/>
        </w:rPr>
        <w:t>’</w:t>
      </w:r>
      <w:r w:rsidRPr="00347877">
        <w:rPr>
          <w:lang w:val="fr-FR"/>
        </w:rPr>
        <w:t>ALKS</w:t>
      </w:r>
      <w:r w:rsidRPr="000B258A">
        <w:rPr>
          <w:lang w:val="fr-FR"/>
        </w:rPr>
        <w:t xml:space="preserve"> et </w:t>
      </w:r>
      <w:r>
        <w:rPr>
          <w:lang w:val="fr-FR"/>
        </w:rPr>
        <w:t>le</w:t>
      </w:r>
      <w:r w:rsidRPr="000B258A">
        <w:rPr>
          <w:lang w:val="fr-FR"/>
        </w:rPr>
        <w:t xml:space="preserve"> véhicule </w:t>
      </w:r>
      <w:r>
        <w:rPr>
          <w:lang w:val="fr-FR"/>
        </w:rPr>
        <w:t xml:space="preserve">aval, en fonction du </w:t>
      </w:r>
      <w:r w:rsidRPr="000B258A">
        <w:rPr>
          <w:lang w:val="fr-FR"/>
        </w:rPr>
        <w:t>tableau ci-dessous 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840"/>
        <w:gridCol w:w="1818"/>
        <w:gridCol w:w="1622"/>
      </w:tblGrid>
      <w:tr w:rsidR="008D5660" w:rsidRPr="007A348F" w:rsidTr="00D80537">
        <w:tc>
          <w:tcPr>
            <w:tcW w:w="2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i/>
                <w:sz w:val="16"/>
                <w:lang w:val="fr-FR"/>
              </w:rPr>
              <w:t xml:space="preserve">Vitesse réelle du véhicule </w:t>
            </w:r>
            <w:r>
              <w:rPr>
                <w:i/>
                <w:sz w:val="16"/>
                <w:lang w:val="fr-FR"/>
              </w:rPr>
              <w:br/>
            </w:r>
            <w:r w:rsidRPr="007A348F">
              <w:rPr>
                <w:i/>
                <w:sz w:val="16"/>
                <w:lang w:val="fr-FR"/>
              </w:rPr>
              <w:t>équipé de l’ALKS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i/>
                <w:sz w:val="16"/>
                <w:lang w:val="fr-FR"/>
              </w:rPr>
              <w:t>Écart</w:t>
            </w:r>
            <w:r w:rsidRPr="007A348F">
              <w:rPr>
                <w:i/>
                <w:sz w:val="16"/>
              </w:rPr>
              <w:t xml:space="preserve"> </w:t>
            </w:r>
            <w:r w:rsidRPr="007A348F">
              <w:rPr>
                <w:i/>
                <w:sz w:val="16"/>
                <w:lang w:val="fr-FR"/>
              </w:rPr>
              <w:t>temporel minimal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i/>
                <w:sz w:val="16"/>
                <w:lang w:val="fr-FR"/>
              </w:rPr>
              <w:t>Distance de sécurité</w:t>
            </w:r>
          </w:p>
        </w:tc>
      </w:tr>
      <w:tr w:rsidR="008D5660" w:rsidRPr="007A348F" w:rsidTr="00D80537">
        <w:tc>
          <w:tcPr>
            <w:tcW w:w="2313" w:type="dxa"/>
            <w:tcBorders>
              <w:top w:val="single" w:sz="12" w:space="0" w:color="auto"/>
            </w:tcBorders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(km/h)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(m/s)</w:t>
            </w:r>
          </w:p>
        </w:tc>
        <w:tc>
          <w:tcPr>
            <w:tcW w:w="2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(s)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(m)</w:t>
            </w:r>
          </w:p>
        </w:tc>
      </w:tr>
      <w:tr w:rsidR="008D5660" w:rsidRPr="007A348F" w:rsidTr="00D80537">
        <w:tc>
          <w:tcPr>
            <w:tcW w:w="2313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7,2</w:t>
            </w:r>
          </w:p>
        </w:tc>
        <w:tc>
          <w:tcPr>
            <w:tcW w:w="991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2,0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1,0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 xml:space="preserve">2,0 </w:t>
            </w:r>
          </w:p>
        </w:tc>
      </w:tr>
      <w:tr w:rsidR="008D5660" w:rsidRPr="007A348F" w:rsidTr="00D80537">
        <w:tc>
          <w:tcPr>
            <w:tcW w:w="2313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2,78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1,1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3,1</w:t>
            </w:r>
          </w:p>
        </w:tc>
      </w:tr>
      <w:tr w:rsidR="008D5660" w:rsidRPr="007A348F" w:rsidTr="00D80537">
        <w:tc>
          <w:tcPr>
            <w:tcW w:w="2313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5,56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1,2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6,7</w:t>
            </w:r>
          </w:p>
        </w:tc>
      </w:tr>
      <w:tr w:rsidR="008D5660" w:rsidRPr="007A348F" w:rsidTr="00D80537">
        <w:tc>
          <w:tcPr>
            <w:tcW w:w="2313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8,33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1,3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10,8</w:t>
            </w:r>
          </w:p>
        </w:tc>
      </w:tr>
      <w:tr w:rsidR="008D5660" w:rsidRPr="007A348F" w:rsidTr="00D80537">
        <w:tc>
          <w:tcPr>
            <w:tcW w:w="2313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11,11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1,4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15,6</w:t>
            </w:r>
          </w:p>
        </w:tc>
      </w:tr>
      <w:tr w:rsidR="008D5660" w:rsidRPr="007A348F" w:rsidTr="00D80537">
        <w:tc>
          <w:tcPr>
            <w:tcW w:w="2313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50</w:t>
            </w:r>
          </w:p>
        </w:tc>
        <w:tc>
          <w:tcPr>
            <w:tcW w:w="991" w:type="dxa"/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13,89</w:t>
            </w:r>
          </w:p>
        </w:tc>
        <w:tc>
          <w:tcPr>
            <w:tcW w:w="2149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1,5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20,8</w:t>
            </w:r>
          </w:p>
        </w:tc>
      </w:tr>
      <w:tr w:rsidR="008D5660" w:rsidRPr="007A348F" w:rsidTr="00D80537">
        <w:tc>
          <w:tcPr>
            <w:tcW w:w="2313" w:type="dxa"/>
            <w:tcBorders>
              <w:bottom w:val="single" w:sz="12" w:space="0" w:color="auto"/>
            </w:tcBorders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60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16,67</w:t>
            </w:r>
          </w:p>
        </w:tc>
        <w:tc>
          <w:tcPr>
            <w:tcW w:w="21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1,6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5660" w:rsidRPr="007A348F" w:rsidRDefault="008D5660" w:rsidP="00D8053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7A348F">
              <w:rPr>
                <w:sz w:val="18"/>
                <w:lang w:val="fr-FR"/>
              </w:rPr>
              <w:t>26,7</w:t>
            </w:r>
          </w:p>
        </w:tc>
      </w:tr>
    </w:tbl>
    <w:p w:rsidR="008D5660" w:rsidRPr="000B258A" w:rsidRDefault="008D5660" w:rsidP="008D5660">
      <w:pPr>
        <w:pStyle w:val="SingleTxtG"/>
        <w:spacing w:before="120" w:line="240" w:lineRule="exact"/>
        <w:ind w:left="2268"/>
        <w:rPr>
          <w:lang w:val="fr-FR"/>
        </w:rPr>
      </w:pPr>
      <w:r w:rsidRPr="000B258A">
        <w:rPr>
          <w:lang w:val="fr-FR"/>
        </w:rPr>
        <w:t>Pour les valeurs de vitesse non mentionnées dans le tableau, une interpolation linéair</w:t>
      </w:r>
      <w:r>
        <w:rPr>
          <w:lang w:val="fr-FR"/>
        </w:rPr>
        <w:t>e</w:t>
      </w:r>
      <w:r w:rsidRPr="000B258A">
        <w:rPr>
          <w:lang w:val="fr-FR"/>
        </w:rPr>
        <w:t xml:space="preserve"> est appliquée.</w:t>
      </w:r>
    </w:p>
    <w:p w:rsidR="008D5660" w:rsidRDefault="008D5660" w:rsidP="008D5660">
      <w:pPr>
        <w:pStyle w:val="SingleTxtG"/>
        <w:spacing w:line="240" w:lineRule="exact"/>
        <w:ind w:left="2268"/>
        <w:rPr>
          <w:lang w:val="fr-FR"/>
        </w:rPr>
      </w:pPr>
      <w:r w:rsidRPr="000B258A">
        <w:rPr>
          <w:lang w:val="fr-FR"/>
        </w:rPr>
        <w:t>Nonobstant le résultat de la formule ci-dessus</w:t>
      </w:r>
      <w:r>
        <w:rPr>
          <w:lang w:val="fr-FR"/>
        </w:rPr>
        <w:t>, p</w:t>
      </w:r>
      <w:r w:rsidRPr="000B258A">
        <w:rPr>
          <w:lang w:val="fr-FR"/>
        </w:rPr>
        <w:t xml:space="preserve">our les vitesses </w:t>
      </w:r>
      <w:r>
        <w:rPr>
          <w:lang w:val="fr-FR"/>
        </w:rPr>
        <w:t>ré</w:t>
      </w:r>
      <w:r w:rsidRPr="000B258A">
        <w:rPr>
          <w:lang w:val="fr-FR"/>
        </w:rPr>
        <w:t>elles inférieures à 2</w:t>
      </w:r>
      <w:r>
        <w:rPr>
          <w:lang w:val="fr-FR"/>
        </w:rPr>
        <w:t> </w:t>
      </w:r>
      <w:r w:rsidRPr="000B258A">
        <w:rPr>
          <w:lang w:val="fr-FR"/>
        </w:rPr>
        <w:t xml:space="preserve">m/s, la distance </w:t>
      </w:r>
      <w:r>
        <w:rPr>
          <w:lang w:val="fr-FR"/>
        </w:rPr>
        <w:t xml:space="preserve">de sécurité </w:t>
      </w:r>
      <w:r w:rsidRPr="000B258A">
        <w:rPr>
          <w:lang w:val="fr-FR"/>
        </w:rPr>
        <w:t>ne doit jamais être inférieure à</w:t>
      </w:r>
      <w:r>
        <w:rPr>
          <w:lang w:val="fr-FR"/>
        </w:rPr>
        <w:t> </w:t>
      </w:r>
      <w:r w:rsidRPr="000B258A">
        <w:rPr>
          <w:lang w:val="fr-FR"/>
        </w:rPr>
        <w:t>2</w:t>
      </w:r>
      <w:r>
        <w:rPr>
          <w:lang w:val="fr-FR"/>
        </w:rPr>
        <w:t> </w:t>
      </w:r>
      <w:r w:rsidRPr="000B258A">
        <w:rPr>
          <w:lang w:val="fr-FR"/>
        </w:rPr>
        <w:t>m.</w:t>
      </w:r>
    </w:p>
    <w:p w:rsidR="008D5660" w:rsidRPr="007E166B" w:rsidRDefault="008D5660" w:rsidP="008D5660">
      <w:pPr>
        <w:pStyle w:val="SingleTxtG"/>
        <w:spacing w:line="240" w:lineRule="exact"/>
        <w:ind w:left="2268"/>
        <w:rPr>
          <w:b/>
          <w:bCs/>
          <w:lang w:val="fr-FR"/>
        </w:rPr>
      </w:pPr>
      <w:r w:rsidRPr="007E166B">
        <w:rPr>
          <w:b/>
          <w:bCs/>
          <w:lang w:val="fr-FR"/>
        </w:rPr>
        <w:t>Lorsqu</w:t>
      </w:r>
      <w:r>
        <w:rPr>
          <w:b/>
          <w:bCs/>
          <w:lang w:val="fr-FR"/>
        </w:rPr>
        <w:t>e</w:t>
      </w:r>
      <w:r w:rsidRPr="007E166B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le système </w:t>
      </w:r>
      <w:r w:rsidRPr="007E166B">
        <w:rPr>
          <w:b/>
          <w:bCs/>
          <w:lang w:val="fr-FR"/>
        </w:rPr>
        <w:t xml:space="preserve">est activé, le </w:t>
      </w:r>
      <w:r>
        <w:rPr>
          <w:b/>
          <w:bCs/>
          <w:lang w:val="fr-FR"/>
        </w:rPr>
        <w:t>véhicule</w:t>
      </w:r>
      <w:r w:rsidRPr="007E166B">
        <w:rPr>
          <w:b/>
          <w:bCs/>
          <w:lang w:val="fr-FR"/>
        </w:rPr>
        <w:t xml:space="preserve"> doit respecter les distances de sécurité prévues par les règles de circulation locales des Parties contractantes telles que déclarées par le constructeur du véhicule </w:t>
      </w:r>
      <w:r>
        <w:rPr>
          <w:b/>
          <w:bCs/>
          <w:lang w:val="fr-FR"/>
        </w:rPr>
        <w:t>dans</w:t>
      </w:r>
      <w:r w:rsidRPr="007E166B">
        <w:rPr>
          <w:b/>
          <w:bCs/>
          <w:lang w:val="fr-FR"/>
        </w:rPr>
        <w:t xml:space="preserve"> l’appendice de l’annexe 1, pour les véhicules des catégories M</w:t>
      </w:r>
      <w:r w:rsidRPr="007E166B">
        <w:rPr>
          <w:b/>
          <w:bCs/>
          <w:vertAlign w:val="subscript"/>
          <w:lang w:val="fr-FR"/>
        </w:rPr>
        <w:t>2</w:t>
      </w:r>
      <w:r w:rsidRPr="007E166B">
        <w:rPr>
          <w:b/>
          <w:bCs/>
          <w:lang w:val="fr-FR"/>
        </w:rPr>
        <w:t>, N</w:t>
      </w:r>
      <w:r w:rsidRPr="007E166B">
        <w:rPr>
          <w:b/>
          <w:bCs/>
          <w:vertAlign w:val="subscript"/>
          <w:lang w:val="fr-FR"/>
        </w:rPr>
        <w:t>2</w:t>
      </w:r>
      <w:r w:rsidRPr="007E166B">
        <w:rPr>
          <w:b/>
          <w:bCs/>
          <w:lang w:val="fr-FR"/>
        </w:rPr>
        <w:t>, M</w:t>
      </w:r>
      <w:r w:rsidRPr="007E166B">
        <w:rPr>
          <w:b/>
          <w:bCs/>
          <w:vertAlign w:val="subscript"/>
          <w:lang w:val="fr-FR"/>
        </w:rPr>
        <w:t>3</w:t>
      </w:r>
      <w:r w:rsidRPr="007E166B">
        <w:rPr>
          <w:b/>
          <w:bCs/>
          <w:lang w:val="fr-FR"/>
        </w:rPr>
        <w:t xml:space="preserve"> et N</w:t>
      </w:r>
      <w:r w:rsidRPr="007E166B">
        <w:rPr>
          <w:b/>
          <w:bCs/>
          <w:vertAlign w:val="subscript"/>
          <w:lang w:val="fr-FR"/>
        </w:rPr>
        <w:t>3</w:t>
      </w:r>
      <w:r w:rsidRPr="007E166B">
        <w:rPr>
          <w:b/>
          <w:bCs/>
          <w:lang w:val="fr-FR"/>
        </w:rPr>
        <w:t>.</w:t>
      </w:r>
      <w:r>
        <w:rPr>
          <w:b/>
          <w:bCs/>
          <w:lang w:val="fr-FR"/>
        </w:rPr>
        <w:t> </w:t>
      </w:r>
      <w:r w:rsidRPr="00E90EA8">
        <w:rPr>
          <w:lang w:val="fr-FR"/>
        </w:rPr>
        <w:t>».</w:t>
      </w:r>
    </w:p>
    <w:p w:rsidR="008D5660" w:rsidRDefault="008D5660" w:rsidP="008D5660">
      <w:pPr>
        <w:shd w:val="clear" w:color="auto" w:fill="FFFFFF"/>
        <w:suppressAutoHyphens w:val="0"/>
        <w:spacing w:after="120" w:line="240" w:lineRule="exact"/>
        <w:ind w:left="2268" w:right="1134" w:hanging="1134"/>
        <w:jc w:val="both"/>
        <w:rPr>
          <w:bCs/>
          <w:lang w:val="fr-FR"/>
        </w:rPr>
      </w:pPr>
      <w:r w:rsidRPr="007E166B">
        <w:rPr>
          <w:bCs/>
          <w:i/>
          <w:iCs/>
          <w:lang w:val="fr-FR"/>
        </w:rPr>
        <w:t>Paragraphe 5.2.5.2</w:t>
      </w:r>
      <w:r>
        <w:rPr>
          <w:bCs/>
          <w:lang w:val="fr-FR"/>
        </w:rPr>
        <w:t>, lire :</w:t>
      </w:r>
    </w:p>
    <w:p w:rsidR="008D5660" w:rsidRPr="000B258A" w:rsidRDefault="008D5660" w:rsidP="008D5660">
      <w:pPr>
        <w:keepNext/>
        <w:shd w:val="clear" w:color="auto" w:fill="FFFFFF"/>
        <w:suppressAutoHyphens w:val="0"/>
        <w:spacing w:after="120" w:line="240" w:lineRule="exact"/>
        <w:ind w:left="2268" w:right="1134" w:hanging="1134"/>
        <w:jc w:val="both"/>
        <w:rPr>
          <w:lang w:val="fr-FR"/>
        </w:rPr>
      </w:pPr>
      <w:r>
        <w:rPr>
          <w:bCs/>
          <w:lang w:val="fr-FR"/>
        </w:rPr>
        <w:t>« </w:t>
      </w:r>
      <w:r w:rsidRPr="000B258A">
        <w:rPr>
          <w:lang w:val="fr-FR"/>
        </w:rPr>
        <w:t>5.2.5.2</w:t>
      </w:r>
      <w:r w:rsidRPr="000B258A">
        <w:rPr>
          <w:lang w:val="fr-FR"/>
        </w:rPr>
        <w:tab/>
      </w:r>
      <w:r>
        <w:rPr>
          <w:lang w:val="fr-FR"/>
        </w:rPr>
        <w:t xml:space="preserve">Lorsqu’il est activé, le système </w:t>
      </w:r>
      <w:r w:rsidRPr="000B258A">
        <w:rPr>
          <w:lang w:val="fr-FR"/>
        </w:rPr>
        <w:t>doit éviter une collision avec un véhicule</w:t>
      </w:r>
      <w:r>
        <w:rPr>
          <w:lang w:val="fr-FR"/>
        </w:rPr>
        <w:t xml:space="preserve"> effectuant un rabattement dangereux :</w:t>
      </w:r>
      <w:r w:rsidRPr="000B258A">
        <w:rPr>
          <w:lang w:val="fr-FR"/>
        </w:rPr>
        <w:t xml:space="preserve"> </w:t>
      </w:r>
    </w:p>
    <w:p w:rsidR="008D5660" w:rsidRPr="000B258A" w:rsidRDefault="008D5660" w:rsidP="008D5660">
      <w:pPr>
        <w:pStyle w:val="SingleTxtG"/>
        <w:spacing w:line="240" w:lineRule="exact"/>
        <w:ind w:left="2835" w:hanging="567"/>
        <w:rPr>
          <w:lang w:val="fr-FR"/>
        </w:rPr>
      </w:pPr>
      <w:r w:rsidRPr="000B258A">
        <w:rPr>
          <w:lang w:val="fr-FR"/>
        </w:rPr>
        <w:t>a)</w:t>
      </w:r>
      <w:r w:rsidRPr="000B258A">
        <w:rPr>
          <w:lang w:val="fr-FR"/>
        </w:rPr>
        <w:tab/>
      </w:r>
      <w:r w:rsidRPr="001E1EE3">
        <w:rPr>
          <w:lang w:val="fr-FR"/>
        </w:rPr>
        <w:t xml:space="preserve">À condition que </w:t>
      </w:r>
      <w:r w:rsidRPr="000B258A">
        <w:rPr>
          <w:lang w:val="fr-FR"/>
        </w:rPr>
        <w:t xml:space="preserve">le véhicule </w:t>
      </w:r>
      <w:r>
        <w:rPr>
          <w:lang w:val="fr-FR"/>
        </w:rPr>
        <w:t xml:space="preserve">qui se rabat </w:t>
      </w:r>
      <w:r w:rsidRPr="000B258A">
        <w:rPr>
          <w:lang w:val="fr-FR"/>
        </w:rPr>
        <w:t xml:space="preserve">conserve sa vitesse longitudinale qui est inférieure à la vitesse longitudinale du </w:t>
      </w:r>
      <w:r w:rsidRPr="00A31EA4">
        <w:rPr>
          <w:lang w:val="fr-FR"/>
        </w:rPr>
        <w:t>véhicule équipé de l</w:t>
      </w:r>
      <w:r>
        <w:rPr>
          <w:lang w:val="fr-FR"/>
        </w:rPr>
        <w:t>’</w:t>
      </w:r>
      <w:r w:rsidRPr="00A31EA4">
        <w:rPr>
          <w:lang w:val="fr-FR"/>
        </w:rPr>
        <w:t>ALKS</w:t>
      </w:r>
      <w:r>
        <w:rPr>
          <w:lang w:val="fr-FR"/>
        </w:rPr>
        <w:t> ;</w:t>
      </w:r>
      <w:r w:rsidRPr="00A31EA4">
        <w:rPr>
          <w:lang w:val="fr-FR"/>
        </w:rPr>
        <w:t xml:space="preserve"> </w:t>
      </w:r>
      <w:r w:rsidRPr="000B258A">
        <w:rPr>
          <w:lang w:val="fr-FR"/>
        </w:rPr>
        <w:t>et</w:t>
      </w:r>
    </w:p>
    <w:p w:rsidR="008D5660" w:rsidRPr="000B258A" w:rsidRDefault="008D5660" w:rsidP="008D5660">
      <w:pPr>
        <w:pStyle w:val="SingleTxtG"/>
        <w:spacing w:line="240" w:lineRule="exact"/>
        <w:ind w:left="2835" w:hanging="567"/>
        <w:rPr>
          <w:lang w:val="fr-FR"/>
        </w:rPr>
      </w:pPr>
      <w:r w:rsidRPr="000B258A">
        <w:rPr>
          <w:bCs/>
          <w:lang w:val="fr-FR"/>
        </w:rPr>
        <w:t>b)</w:t>
      </w:r>
      <w:r w:rsidRPr="000B258A">
        <w:rPr>
          <w:b/>
          <w:lang w:val="fr-FR"/>
        </w:rPr>
        <w:tab/>
      </w:r>
      <w:r w:rsidRPr="000B258A">
        <w:rPr>
          <w:lang w:val="fr-FR"/>
        </w:rPr>
        <w:t xml:space="preserve">À condition que le </w:t>
      </w:r>
      <w:r>
        <w:rPr>
          <w:lang w:val="fr-FR"/>
        </w:rPr>
        <w:t>déplacement</w:t>
      </w:r>
      <w:r w:rsidRPr="000B258A">
        <w:rPr>
          <w:lang w:val="fr-FR"/>
        </w:rPr>
        <w:t xml:space="preserve"> latéral d</w:t>
      </w:r>
      <w:r>
        <w:rPr>
          <w:lang w:val="fr-FR"/>
        </w:rPr>
        <w:t>u</w:t>
      </w:r>
      <w:r w:rsidRPr="000B258A">
        <w:rPr>
          <w:lang w:val="fr-FR"/>
        </w:rPr>
        <w:t xml:space="preserve"> </w:t>
      </w:r>
      <w:r w:rsidRPr="001E1EE3">
        <w:rPr>
          <w:lang w:val="fr-FR"/>
        </w:rPr>
        <w:t xml:space="preserve">véhicule qui se rabat </w:t>
      </w:r>
      <w:r w:rsidRPr="000B258A">
        <w:rPr>
          <w:lang w:val="fr-FR"/>
        </w:rPr>
        <w:t>ait été visible pendant une durée d</w:t>
      </w:r>
      <w:r>
        <w:rPr>
          <w:lang w:val="fr-FR"/>
        </w:rPr>
        <w:t>’</w:t>
      </w:r>
      <w:r w:rsidRPr="000B258A">
        <w:rPr>
          <w:lang w:val="fr-FR"/>
        </w:rPr>
        <w:t>au moins 0,72</w:t>
      </w:r>
      <w:r>
        <w:rPr>
          <w:lang w:val="fr-FR"/>
        </w:rPr>
        <w:t> </w:t>
      </w:r>
      <w:r w:rsidRPr="000B258A">
        <w:rPr>
          <w:lang w:val="fr-FR"/>
        </w:rPr>
        <w:t>s avant que le point de référence pour l</w:t>
      </w:r>
      <w:r>
        <w:rPr>
          <w:lang w:val="fr-FR"/>
        </w:rPr>
        <w:t>e</w:t>
      </w:r>
      <w:r w:rsidRPr="000B258A">
        <w:rPr>
          <w:lang w:val="fr-FR"/>
        </w:rPr>
        <w:t xml:space="preserve"> </w:t>
      </w:r>
      <w:proofErr w:type="spellStart"/>
      <w:r w:rsidRPr="002A4F86">
        <w:rPr>
          <w:iCs/>
          <w:lang w:val="fr-FR"/>
        </w:rPr>
        <w:t>TTC</w:t>
      </w:r>
      <w:r w:rsidRPr="002A4F86">
        <w:rPr>
          <w:iCs/>
          <w:vertAlign w:val="subscript"/>
          <w:lang w:val="fr-FR"/>
        </w:rPr>
        <w:t>LaneIntrusion</w:t>
      </w:r>
      <w:proofErr w:type="spellEnd"/>
      <w:r>
        <w:rPr>
          <w:iCs/>
          <w:lang w:val="fr-FR"/>
        </w:rPr>
        <w:t xml:space="preserve"> (délai avant collision en raison d’une intrusion dans la voie de circulation) </w:t>
      </w:r>
      <w:r w:rsidRPr="000B258A">
        <w:rPr>
          <w:lang w:val="fr-FR"/>
        </w:rPr>
        <w:t>soit atteint</w:t>
      </w:r>
      <w:r>
        <w:rPr>
          <w:lang w:val="fr-FR"/>
        </w:rPr>
        <w:t> ;</w:t>
      </w:r>
    </w:p>
    <w:p w:rsidR="008D5660" w:rsidRDefault="008D5660" w:rsidP="008D5660">
      <w:pPr>
        <w:pStyle w:val="SingleTxtG"/>
        <w:spacing w:line="240" w:lineRule="exact"/>
        <w:ind w:left="2835" w:hanging="567"/>
        <w:rPr>
          <w:lang w:val="fr-FR"/>
        </w:rPr>
      </w:pPr>
      <w:r w:rsidRPr="000B258A">
        <w:rPr>
          <w:lang w:val="fr-FR"/>
        </w:rPr>
        <w:lastRenderedPageBreak/>
        <w:t>c)</w:t>
      </w:r>
      <w:r w:rsidRPr="000B258A">
        <w:rPr>
          <w:lang w:val="fr-FR"/>
        </w:rPr>
        <w:tab/>
        <w:t>Lorsque la distance entre l</w:t>
      </w:r>
      <w:r>
        <w:rPr>
          <w:lang w:val="fr-FR"/>
        </w:rPr>
        <w:t>’</w:t>
      </w:r>
      <w:r w:rsidRPr="000B258A">
        <w:rPr>
          <w:lang w:val="fr-FR"/>
        </w:rPr>
        <w:t>avant du véhicule et l</w:t>
      </w:r>
      <w:r>
        <w:rPr>
          <w:lang w:val="fr-FR"/>
        </w:rPr>
        <w:t>’</w:t>
      </w:r>
      <w:r w:rsidRPr="000B258A">
        <w:rPr>
          <w:lang w:val="fr-FR"/>
        </w:rPr>
        <w:t xml:space="preserve">arrière du véhicule </w:t>
      </w:r>
      <w:r w:rsidRPr="001E1EE3">
        <w:rPr>
          <w:lang w:val="fr-FR"/>
        </w:rPr>
        <w:t xml:space="preserve">qui se rabat </w:t>
      </w:r>
      <w:r w:rsidRPr="000B258A">
        <w:rPr>
          <w:lang w:val="fr-FR"/>
        </w:rPr>
        <w:t xml:space="preserve">correspond à un </w:t>
      </w:r>
      <w:r>
        <w:rPr>
          <w:lang w:val="fr-FR"/>
        </w:rPr>
        <w:t>délai avant collision (</w:t>
      </w:r>
      <w:r w:rsidRPr="000B258A">
        <w:rPr>
          <w:lang w:val="fr-FR"/>
        </w:rPr>
        <w:t>TTC</w:t>
      </w:r>
      <w:r>
        <w:rPr>
          <w:lang w:val="fr-FR"/>
        </w:rPr>
        <w:t>)</w:t>
      </w:r>
      <w:r w:rsidRPr="000B258A">
        <w:rPr>
          <w:lang w:val="fr-FR"/>
        </w:rPr>
        <w:t xml:space="preserve"> calculé </w:t>
      </w:r>
      <w:r>
        <w:rPr>
          <w:lang w:val="fr-FR"/>
        </w:rPr>
        <w:t>au moyen de</w:t>
      </w:r>
      <w:r w:rsidRPr="000B258A">
        <w:rPr>
          <w:lang w:val="fr-FR"/>
        </w:rPr>
        <w:t xml:space="preserve"> l</w:t>
      </w:r>
      <w:r>
        <w:rPr>
          <w:lang w:val="fr-FR"/>
        </w:rPr>
        <w:t>’</w:t>
      </w:r>
      <w:r w:rsidRPr="000B258A">
        <w:rPr>
          <w:lang w:val="fr-FR"/>
        </w:rPr>
        <w:t>équation suivante :</w:t>
      </w:r>
    </w:p>
    <w:p w:rsidR="008D5660" w:rsidRPr="00AB634E" w:rsidRDefault="008D5660" w:rsidP="008D5660">
      <w:pPr>
        <w:pStyle w:val="SingleTxtG"/>
        <w:spacing w:line="240" w:lineRule="auto"/>
        <w:ind w:left="2835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18"/>
                  <w:szCs w:val="18"/>
                  <w:vertAlign w:val="subscript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  <w:lang w:val="fr-FR"/>
                </w:rPr>
                <m:t>TTC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  <w:lang w:val="fr-FR"/>
                </w:rPr>
                <m:t>LaneIntrusion</m:t>
              </m:r>
            </m:sub>
          </m:sSub>
          <m:r>
            <m:rPr>
              <m:sty m:val="p"/>
            </m:rPr>
            <w:rPr>
              <w:rFonts w:ascii="Cambria Math" w:hAnsi="Cambria Math"/>
              <w:sz w:val="18"/>
              <w:szCs w:val="18"/>
              <w:vertAlign w:val="subscript"/>
              <w:lang w:val="fr-FR"/>
            </w:rPr>
            <m:t xml:space="preserve"> &gt;</m:t>
          </m:r>
          <m:f>
            <m:fPr>
              <m:ctrlPr>
                <w:rPr>
                  <w:rFonts w:ascii="Cambria Math" w:hAnsi="Cambria Math"/>
                  <w:sz w:val="18"/>
                  <w:szCs w:val="18"/>
                  <w:vertAlign w:val="subscript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fr-FR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fr-FR"/>
                    </w:rPr>
                    <m:t xml:space="preserve">rel 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fr-FR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4"/>
                      <w:sz w:val="18"/>
                      <w:szCs w:val="18"/>
                      <w:vertAlign w:val="subscript"/>
                      <w:lang w:val="fr-FR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/>
                          <w:sz w:val="18"/>
                          <w:szCs w:val="18"/>
                          <w:vertAlign w:val="subscript"/>
                          <w:lang w:val="fr-FR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18"/>
                          <w:szCs w:val="18"/>
                          <w:vertAlign w:val="subscript"/>
                          <w:lang w:val="fr-FR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trike/>
                          <w:sz w:val="18"/>
                          <w:szCs w:val="18"/>
                          <w:vertAlign w:val="subscript"/>
                          <w:lang w:val="fr-FR"/>
                        </w:rPr>
                        <m:t>6m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trike/>
                              <w:sz w:val="18"/>
                              <w:szCs w:val="18"/>
                              <w:vertAlign w:val="subscript"/>
                              <w:lang w:val="fr-FR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trike/>
                              <w:sz w:val="18"/>
                              <w:szCs w:val="18"/>
                              <w:vertAlign w:val="subscript"/>
                              <w:lang w:val="fr-FR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trike/>
                              <w:sz w:val="18"/>
                              <w:szCs w:val="18"/>
                              <w:vertAlign w:val="subscript"/>
                              <w:lang w:val="fr-FR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  <w:vertAlign w:val="subscript"/>
              <w:lang w:val="fr-FR"/>
            </w:rPr>
            <m:t>+0,35 s</m:t>
          </m:r>
        </m:oMath>
      </m:oMathPara>
    </w:p>
    <w:p w:rsidR="008D5660" w:rsidRPr="000B258A" w:rsidRDefault="008D5660" w:rsidP="008D5660">
      <w:pPr>
        <w:pStyle w:val="SingleTxtG"/>
        <w:keepNext/>
        <w:spacing w:line="240" w:lineRule="exact"/>
        <w:ind w:left="2835"/>
        <w:rPr>
          <w:lang w:val="fr-FR"/>
        </w:rPr>
      </w:pPr>
      <w:r w:rsidRPr="000B258A">
        <w:rPr>
          <w:lang w:val="fr-FR"/>
        </w:rPr>
        <w:t>Où :</w:t>
      </w:r>
    </w:p>
    <w:p w:rsidR="008D5660" w:rsidRPr="007E166B" w:rsidRDefault="008D5660" w:rsidP="008D5660">
      <w:pPr>
        <w:pStyle w:val="SingleTxtG"/>
        <w:tabs>
          <w:tab w:val="left" w:pos="4158"/>
        </w:tabs>
        <w:spacing w:line="240" w:lineRule="exact"/>
        <w:ind w:left="4820" w:hanging="1985"/>
        <w:rPr>
          <w:b/>
          <w:bCs/>
          <w:lang w:val="fr-FR"/>
        </w:rPr>
      </w:pPr>
      <w:r w:rsidRPr="007E166B">
        <w:rPr>
          <w:b/>
          <w:bCs/>
          <w:lang w:val="fr-FR"/>
        </w:rPr>
        <w:t>X</w:t>
      </w:r>
      <w:r w:rsidRPr="007E166B">
        <w:rPr>
          <w:b/>
          <w:bCs/>
          <w:lang w:val="fr-FR"/>
        </w:rPr>
        <w:tab/>
        <w:t>=</w:t>
      </w:r>
      <w:r w:rsidRPr="007E166B">
        <w:rPr>
          <w:b/>
          <w:bCs/>
          <w:lang w:val="fr-FR"/>
        </w:rPr>
        <w:tab/>
        <w:t>6 m/s</w:t>
      </w:r>
      <w:r w:rsidRPr="007E166B">
        <w:rPr>
          <w:b/>
          <w:bCs/>
          <w:vertAlign w:val="superscript"/>
          <w:lang w:val="fr-FR"/>
        </w:rPr>
        <w:t>2</w:t>
      </w:r>
      <w:r w:rsidRPr="007E166B">
        <w:rPr>
          <w:b/>
          <w:bCs/>
          <w:lang w:val="fr-FR"/>
        </w:rPr>
        <w:t xml:space="preserve"> pour</w:t>
      </w:r>
      <w:r>
        <w:rPr>
          <w:b/>
          <w:bCs/>
          <w:lang w:val="fr-FR"/>
        </w:rPr>
        <w:t xml:space="preserve"> les véhicules des catégories</w:t>
      </w:r>
      <w:r w:rsidRPr="007E166B">
        <w:rPr>
          <w:b/>
          <w:bCs/>
          <w:lang w:val="fr-FR"/>
        </w:rPr>
        <w:t xml:space="preserve"> M</w:t>
      </w:r>
      <w:r w:rsidRPr="007E166B">
        <w:rPr>
          <w:b/>
          <w:bCs/>
          <w:vertAlign w:val="subscript"/>
          <w:lang w:val="fr-FR"/>
        </w:rPr>
        <w:t>1</w:t>
      </w:r>
      <w:r w:rsidRPr="007E166B">
        <w:rPr>
          <w:b/>
          <w:bCs/>
          <w:lang w:val="fr-FR"/>
        </w:rPr>
        <w:t xml:space="preserve"> et N</w:t>
      </w:r>
      <w:r w:rsidRPr="007E166B">
        <w:rPr>
          <w:b/>
          <w:bCs/>
          <w:vertAlign w:val="subscript"/>
          <w:lang w:val="fr-FR"/>
        </w:rPr>
        <w:t>1</w:t>
      </w:r>
      <w:r w:rsidRPr="007E166B">
        <w:rPr>
          <w:b/>
          <w:bCs/>
          <w:lang w:val="fr-FR"/>
        </w:rPr>
        <w:t xml:space="preserve"> et 5 m/s</w:t>
      </w:r>
      <w:r w:rsidRPr="007E166B">
        <w:rPr>
          <w:b/>
          <w:bCs/>
          <w:vertAlign w:val="superscript"/>
          <w:lang w:val="fr-FR"/>
        </w:rPr>
        <w:t>2</w:t>
      </w:r>
      <w:r w:rsidRPr="007E166B">
        <w:rPr>
          <w:b/>
          <w:bCs/>
          <w:lang w:val="fr-FR"/>
        </w:rPr>
        <w:t xml:space="preserve"> pour </w:t>
      </w:r>
      <w:r>
        <w:rPr>
          <w:b/>
          <w:bCs/>
          <w:lang w:val="fr-FR"/>
        </w:rPr>
        <w:t xml:space="preserve">les véhicules des catégories </w:t>
      </w:r>
      <w:r w:rsidRPr="007E166B">
        <w:rPr>
          <w:b/>
          <w:bCs/>
          <w:lang w:val="fr-FR"/>
        </w:rPr>
        <w:t>M</w:t>
      </w:r>
      <w:r w:rsidRPr="007E166B">
        <w:rPr>
          <w:b/>
          <w:bCs/>
          <w:vertAlign w:val="subscript"/>
          <w:lang w:val="fr-FR"/>
        </w:rPr>
        <w:t>2</w:t>
      </w:r>
      <w:r w:rsidRPr="007E166B">
        <w:rPr>
          <w:b/>
          <w:bCs/>
          <w:lang w:val="fr-FR"/>
        </w:rPr>
        <w:t>, M</w:t>
      </w:r>
      <w:r w:rsidRPr="007E166B">
        <w:rPr>
          <w:b/>
          <w:bCs/>
          <w:vertAlign w:val="subscript"/>
          <w:lang w:val="fr-FR"/>
        </w:rPr>
        <w:t>3</w:t>
      </w:r>
      <w:r w:rsidRPr="007E166B">
        <w:rPr>
          <w:b/>
          <w:bCs/>
          <w:lang w:val="fr-FR"/>
        </w:rPr>
        <w:t>, N</w:t>
      </w:r>
      <w:r w:rsidRPr="007E166B">
        <w:rPr>
          <w:b/>
          <w:bCs/>
          <w:vertAlign w:val="subscript"/>
          <w:lang w:val="fr-FR"/>
        </w:rPr>
        <w:t>2</w:t>
      </w:r>
      <w:r w:rsidRPr="007E166B">
        <w:rPr>
          <w:b/>
          <w:bCs/>
          <w:lang w:val="fr-FR"/>
        </w:rPr>
        <w:t xml:space="preserve"> et N</w:t>
      </w:r>
      <w:r w:rsidRPr="007E166B">
        <w:rPr>
          <w:b/>
          <w:bCs/>
          <w:vertAlign w:val="subscript"/>
          <w:lang w:val="fr-FR"/>
        </w:rPr>
        <w:t>3</w:t>
      </w:r>
      <w:r>
        <w:rPr>
          <w:lang w:val="fr-FR"/>
        </w:rPr>
        <w:t> ;</w:t>
      </w:r>
    </w:p>
    <w:p w:rsidR="008D5660" w:rsidRPr="000B258A" w:rsidRDefault="008D5660" w:rsidP="008D5660">
      <w:pPr>
        <w:pStyle w:val="SingleTxtG"/>
        <w:tabs>
          <w:tab w:val="left" w:pos="4158"/>
        </w:tabs>
        <w:spacing w:line="240" w:lineRule="exact"/>
        <w:ind w:left="4820" w:hanging="1985"/>
        <w:rPr>
          <w:lang w:val="fr-FR"/>
        </w:rPr>
      </w:pPr>
      <w:proofErr w:type="spellStart"/>
      <w:r w:rsidRPr="000B258A">
        <w:rPr>
          <w:lang w:val="fr-FR"/>
        </w:rPr>
        <w:t>V</w:t>
      </w:r>
      <w:r w:rsidRPr="00105FCA">
        <w:rPr>
          <w:vertAlign w:val="subscript"/>
          <w:lang w:val="fr-FR"/>
        </w:rPr>
        <w:t>rel</w:t>
      </w:r>
      <w:proofErr w:type="spellEnd"/>
      <w:r w:rsidRPr="000B258A">
        <w:rPr>
          <w:lang w:val="fr-FR"/>
        </w:rPr>
        <w:tab/>
        <w:t>=</w:t>
      </w:r>
      <w:r w:rsidRPr="000B258A">
        <w:rPr>
          <w:lang w:val="fr-FR"/>
        </w:rPr>
        <w:tab/>
      </w:r>
      <w:r>
        <w:rPr>
          <w:lang w:val="fr-FR"/>
        </w:rPr>
        <w:t>v</w:t>
      </w:r>
      <w:r w:rsidRPr="000B258A">
        <w:rPr>
          <w:lang w:val="fr-FR"/>
        </w:rPr>
        <w:t xml:space="preserve">itesse relative entre les deux véhicules, </w:t>
      </w:r>
      <w:r>
        <w:rPr>
          <w:lang w:val="fr-FR"/>
        </w:rPr>
        <w:t xml:space="preserve">dont </w:t>
      </w:r>
      <w:r w:rsidRPr="000B258A">
        <w:rPr>
          <w:lang w:val="fr-FR"/>
        </w:rPr>
        <w:t>la valeur</w:t>
      </w:r>
      <w:r>
        <w:rPr>
          <w:lang w:val="fr-FR"/>
        </w:rPr>
        <w:t xml:space="preserve"> est</w:t>
      </w:r>
      <w:r w:rsidRPr="000B258A">
        <w:rPr>
          <w:lang w:val="fr-FR"/>
        </w:rPr>
        <w:t xml:space="preserve"> positive </w:t>
      </w:r>
      <w:r>
        <w:rPr>
          <w:lang w:val="fr-FR"/>
        </w:rPr>
        <w:t>lorsque</w:t>
      </w:r>
      <w:r w:rsidRPr="000B258A">
        <w:rPr>
          <w:lang w:val="fr-FR"/>
        </w:rPr>
        <w:t xml:space="preserve"> le véhicule</w:t>
      </w:r>
      <w:r w:rsidRPr="007A7C1F">
        <w:rPr>
          <w:lang w:val="fr-FR"/>
        </w:rPr>
        <w:t xml:space="preserve"> </w:t>
      </w:r>
      <w:r w:rsidRPr="000C7F34">
        <w:rPr>
          <w:lang w:val="fr-FR"/>
        </w:rPr>
        <w:t>équipé de l</w:t>
      </w:r>
      <w:r>
        <w:rPr>
          <w:lang w:val="fr-FR"/>
        </w:rPr>
        <w:t>’</w:t>
      </w:r>
      <w:r w:rsidRPr="000C7F34">
        <w:rPr>
          <w:lang w:val="fr-FR"/>
        </w:rPr>
        <w:t>ALKS</w:t>
      </w:r>
      <w:r w:rsidRPr="000B258A">
        <w:rPr>
          <w:lang w:val="fr-FR"/>
        </w:rPr>
        <w:t xml:space="preserve"> </w:t>
      </w:r>
      <w:r>
        <w:rPr>
          <w:lang w:val="fr-FR"/>
        </w:rPr>
        <w:t>est</w:t>
      </w:r>
      <w:r w:rsidRPr="000B258A">
        <w:rPr>
          <w:lang w:val="fr-FR"/>
        </w:rPr>
        <w:t xml:space="preserve"> plus rapide </w:t>
      </w:r>
      <w:r>
        <w:rPr>
          <w:lang w:val="fr-FR"/>
        </w:rPr>
        <w:t xml:space="preserve">que le </w:t>
      </w:r>
      <w:r w:rsidRPr="000B258A">
        <w:rPr>
          <w:lang w:val="fr-FR"/>
        </w:rPr>
        <w:t>véhicule</w:t>
      </w:r>
      <w:r>
        <w:rPr>
          <w:lang w:val="fr-FR"/>
        </w:rPr>
        <w:t xml:space="preserve"> qui se rabat ;</w:t>
      </w:r>
    </w:p>
    <w:p w:rsidR="008D5660" w:rsidRPr="000B258A" w:rsidRDefault="008D5660" w:rsidP="008D5660">
      <w:pPr>
        <w:pStyle w:val="SingleTxtG"/>
        <w:tabs>
          <w:tab w:val="left" w:pos="4158"/>
        </w:tabs>
        <w:spacing w:line="240" w:lineRule="exact"/>
        <w:ind w:left="4820" w:hanging="1985"/>
        <w:rPr>
          <w:lang w:val="fr-FR"/>
        </w:rPr>
      </w:pPr>
      <w:proofErr w:type="spellStart"/>
      <w:r w:rsidRPr="000B258A">
        <w:rPr>
          <w:lang w:val="fr-FR"/>
        </w:rPr>
        <w:t>TTC</w:t>
      </w:r>
      <w:r w:rsidRPr="00105FCA">
        <w:rPr>
          <w:vertAlign w:val="subscript"/>
          <w:lang w:val="fr-FR"/>
        </w:rPr>
        <w:t>LaneIntrusion</w:t>
      </w:r>
      <w:proofErr w:type="spellEnd"/>
      <w:r w:rsidRPr="000B258A">
        <w:rPr>
          <w:lang w:val="fr-FR"/>
        </w:rPr>
        <w:tab/>
        <w:t>=</w:t>
      </w:r>
      <w:r w:rsidRPr="000B258A">
        <w:rPr>
          <w:lang w:val="fr-FR"/>
        </w:rPr>
        <w:tab/>
        <w:t xml:space="preserve">valeur </w:t>
      </w:r>
      <w:r>
        <w:rPr>
          <w:lang w:val="fr-FR"/>
        </w:rPr>
        <w:t xml:space="preserve">du </w:t>
      </w:r>
      <w:r w:rsidRPr="000B258A">
        <w:rPr>
          <w:lang w:val="fr-FR"/>
        </w:rPr>
        <w:t>TTC</w:t>
      </w:r>
      <w:r w:rsidRPr="00FA230A">
        <w:rPr>
          <w:lang w:val="fr-FR"/>
        </w:rPr>
        <w:t xml:space="preserve"> </w:t>
      </w:r>
      <w:r w:rsidRPr="000B258A">
        <w:rPr>
          <w:lang w:val="fr-FR"/>
        </w:rPr>
        <w:t>lorsque l</w:t>
      </w:r>
      <w:r>
        <w:rPr>
          <w:lang w:val="fr-FR"/>
        </w:rPr>
        <w:t>’</w:t>
      </w:r>
      <w:r w:rsidRPr="000B258A">
        <w:rPr>
          <w:lang w:val="fr-FR"/>
        </w:rPr>
        <w:t>extérieur du pneu</w:t>
      </w:r>
      <w:r>
        <w:rPr>
          <w:lang w:val="fr-FR"/>
        </w:rPr>
        <w:t>matique</w:t>
      </w:r>
      <w:r w:rsidRPr="000B258A">
        <w:rPr>
          <w:lang w:val="fr-FR"/>
        </w:rPr>
        <w:t xml:space="preserve"> de la roue avant du véhicule intrus l</w:t>
      </w:r>
      <w:r>
        <w:rPr>
          <w:lang w:val="fr-FR"/>
        </w:rPr>
        <w:t>a</w:t>
      </w:r>
      <w:r w:rsidRPr="000B258A">
        <w:rPr>
          <w:lang w:val="fr-FR"/>
        </w:rPr>
        <w:t xml:space="preserve"> plus proche d</w:t>
      </w:r>
      <w:r>
        <w:rPr>
          <w:lang w:val="fr-FR"/>
        </w:rPr>
        <w:t>u</w:t>
      </w:r>
      <w:r w:rsidRPr="000B258A">
        <w:rPr>
          <w:lang w:val="fr-FR"/>
        </w:rPr>
        <w:t xml:space="preserve"> marquage de la voie franchit une li</w:t>
      </w:r>
      <w:r>
        <w:rPr>
          <w:lang w:val="fr-FR"/>
        </w:rPr>
        <w:t>mit</w:t>
      </w:r>
      <w:r w:rsidRPr="000B258A">
        <w:rPr>
          <w:lang w:val="fr-FR"/>
        </w:rPr>
        <w:t>e de 0,3</w:t>
      </w:r>
      <w:r>
        <w:rPr>
          <w:lang w:val="fr-FR"/>
        </w:rPr>
        <w:t> m</w:t>
      </w:r>
      <w:r w:rsidRPr="000B258A">
        <w:rPr>
          <w:lang w:val="fr-FR"/>
        </w:rPr>
        <w:t xml:space="preserve"> au-delà du bord extérieur du marquage visible de la voie vers laquelle dérive le véhicule intrus</w:t>
      </w:r>
      <w:r>
        <w:rPr>
          <w:lang w:val="fr-FR"/>
        </w:rPr>
        <w:t>. ».</w:t>
      </w:r>
    </w:p>
    <w:p w:rsidR="008D5660" w:rsidRDefault="008D5660" w:rsidP="008D5660">
      <w:pPr>
        <w:shd w:val="clear" w:color="auto" w:fill="FFFFFF"/>
        <w:suppressAutoHyphens w:val="0"/>
        <w:spacing w:after="120" w:line="240" w:lineRule="exact"/>
        <w:ind w:left="2268" w:right="1134" w:hanging="1134"/>
        <w:jc w:val="both"/>
        <w:rPr>
          <w:lang w:val="fr-FR"/>
        </w:rPr>
      </w:pPr>
      <w:r w:rsidRPr="007E166B">
        <w:rPr>
          <w:i/>
          <w:iCs/>
          <w:lang w:val="fr-FR"/>
        </w:rPr>
        <w:t>Paragraphe 5.3.4</w:t>
      </w:r>
      <w:r>
        <w:rPr>
          <w:lang w:val="fr-FR"/>
        </w:rPr>
        <w:t>, lire :</w:t>
      </w:r>
    </w:p>
    <w:p w:rsidR="008D5660" w:rsidRDefault="008D5660" w:rsidP="008D5660">
      <w:pPr>
        <w:shd w:val="clear" w:color="auto" w:fill="FFFFFF"/>
        <w:suppressAutoHyphens w:val="0"/>
        <w:spacing w:after="120" w:line="240" w:lineRule="exact"/>
        <w:ind w:left="2268" w:right="1134" w:hanging="1134"/>
        <w:jc w:val="both"/>
        <w:rPr>
          <w:bCs/>
          <w:lang w:val="fr-FR"/>
        </w:rPr>
      </w:pPr>
      <w:r>
        <w:rPr>
          <w:lang w:val="fr-FR"/>
        </w:rPr>
        <w:t>« </w:t>
      </w:r>
      <w:r w:rsidRPr="000B258A">
        <w:rPr>
          <w:bCs/>
          <w:lang w:val="fr-FR"/>
        </w:rPr>
        <w:t>5.3.4</w:t>
      </w:r>
      <w:r w:rsidRPr="000B258A">
        <w:rPr>
          <w:bCs/>
          <w:lang w:val="fr-FR"/>
        </w:rPr>
        <w:tab/>
        <w:t>Le véhicule doit mettre en œuvre un signal logique indiquant un freinage d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 xml:space="preserve">urgence comme </w:t>
      </w:r>
      <w:r>
        <w:rPr>
          <w:bCs/>
          <w:lang w:val="fr-FR"/>
        </w:rPr>
        <w:t>énoncé</w:t>
      </w:r>
      <w:r w:rsidRPr="000B258A">
        <w:rPr>
          <w:bCs/>
          <w:lang w:val="fr-FR"/>
        </w:rPr>
        <w:t xml:space="preserve"> dans le Règlement ONU n</w:t>
      </w:r>
      <w:r w:rsidRPr="000B258A">
        <w:rPr>
          <w:bCs/>
          <w:vertAlign w:val="superscript"/>
          <w:lang w:val="fr-FR"/>
        </w:rPr>
        <w:t>o</w:t>
      </w:r>
      <w:r w:rsidRPr="000B258A">
        <w:rPr>
          <w:bCs/>
          <w:lang w:val="fr-FR"/>
        </w:rPr>
        <w:t> 13-H</w:t>
      </w:r>
      <w:r>
        <w:rPr>
          <w:bCs/>
          <w:lang w:val="fr-FR"/>
        </w:rPr>
        <w:t xml:space="preserve"> </w:t>
      </w:r>
      <w:r w:rsidRPr="007E166B">
        <w:rPr>
          <w:b/>
          <w:lang w:val="fr-FR"/>
        </w:rPr>
        <w:t>ou 13, selon le cas</w:t>
      </w:r>
      <w:r w:rsidRPr="000B258A">
        <w:rPr>
          <w:bCs/>
          <w:lang w:val="fr-FR"/>
        </w:rPr>
        <w:t>.</w:t>
      </w:r>
      <w:r>
        <w:rPr>
          <w:bCs/>
          <w:lang w:val="fr-FR"/>
        </w:rPr>
        <w:t> ».</w:t>
      </w:r>
    </w:p>
    <w:p w:rsidR="008D5660" w:rsidRPr="000B258A" w:rsidRDefault="008D5660" w:rsidP="008D5660">
      <w:pPr>
        <w:shd w:val="clear" w:color="auto" w:fill="FFFFFF"/>
        <w:suppressAutoHyphens w:val="0"/>
        <w:spacing w:after="120" w:line="240" w:lineRule="exact"/>
        <w:ind w:left="2268" w:right="1134" w:hanging="1134"/>
        <w:jc w:val="both"/>
        <w:rPr>
          <w:bCs/>
          <w:lang w:val="fr-FR"/>
        </w:rPr>
      </w:pPr>
      <w:r w:rsidRPr="007E166B">
        <w:rPr>
          <w:bCs/>
          <w:i/>
          <w:iCs/>
          <w:lang w:val="fr-FR"/>
        </w:rPr>
        <w:t>Paragraphes 7.1 et 7.1.2</w:t>
      </w:r>
      <w:r>
        <w:rPr>
          <w:bCs/>
          <w:lang w:val="fr-FR"/>
        </w:rPr>
        <w:t>, lire :</w:t>
      </w:r>
    </w:p>
    <w:p w:rsidR="008D5660" w:rsidRPr="000B258A" w:rsidRDefault="008D5660" w:rsidP="008D5660">
      <w:pPr>
        <w:pStyle w:val="SingleTxtG"/>
        <w:keepNext/>
        <w:ind w:left="2268" w:hanging="1134"/>
        <w:jc w:val="left"/>
        <w:rPr>
          <w:lang w:val="fr-FR"/>
        </w:rPr>
      </w:pPr>
      <w:r>
        <w:rPr>
          <w:lang w:val="fr-FR"/>
        </w:rPr>
        <w:t>« </w:t>
      </w:r>
      <w:r w:rsidRPr="000B258A">
        <w:rPr>
          <w:lang w:val="fr-FR"/>
        </w:rPr>
        <w:t>7.1</w:t>
      </w:r>
      <w:r w:rsidRPr="000B258A">
        <w:rPr>
          <w:bCs/>
          <w:lang w:val="fr-FR"/>
        </w:rPr>
        <w:tab/>
      </w:r>
      <w:r>
        <w:rPr>
          <w:bCs/>
          <w:lang w:val="fr-FR"/>
        </w:rPr>
        <w:t>Prescriptions</w:t>
      </w:r>
      <w:r w:rsidRPr="000B258A">
        <w:rPr>
          <w:bCs/>
          <w:lang w:val="fr-FR"/>
        </w:rPr>
        <w:t xml:space="preserve"> en matière de</w:t>
      </w:r>
      <w:r w:rsidRPr="000B258A">
        <w:rPr>
          <w:lang w:val="fr-FR"/>
        </w:rPr>
        <w:t xml:space="preserve"> </w:t>
      </w:r>
      <w:r>
        <w:rPr>
          <w:lang w:val="fr-FR"/>
        </w:rPr>
        <w:t>capteurs</w:t>
      </w:r>
      <w:r w:rsidRPr="000B258A">
        <w:rPr>
          <w:lang w:val="fr-FR"/>
        </w:rPr>
        <w:t xml:space="preserve"> </w:t>
      </w:r>
    </w:p>
    <w:p w:rsidR="008D5660" w:rsidRPr="000B258A" w:rsidRDefault="008D5660" w:rsidP="008D5660">
      <w:pPr>
        <w:pStyle w:val="SingleTxtG"/>
        <w:spacing w:line="240" w:lineRule="exact"/>
        <w:ind w:left="2268"/>
        <w:rPr>
          <w:lang w:val="fr-FR"/>
        </w:rPr>
      </w:pPr>
      <w:r w:rsidRPr="000B258A">
        <w:rPr>
          <w:lang w:val="fr-FR"/>
        </w:rPr>
        <w:t xml:space="preserve">Le respect des dispositions du présent paragraphe doit être démontré par le </w:t>
      </w:r>
      <w:r>
        <w:rPr>
          <w:lang w:val="fr-FR"/>
        </w:rPr>
        <w:t>constructeur</w:t>
      </w:r>
      <w:r w:rsidRPr="000B258A">
        <w:rPr>
          <w:lang w:val="fr-FR"/>
        </w:rPr>
        <w:t xml:space="preserve"> au service technique lors de l</w:t>
      </w:r>
      <w:r>
        <w:rPr>
          <w:lang w:val="fr-FR"/>
        </w:rPr>
        <w:t>’</w:t>
      </w:r>
      <w:r w:rsidRPr="000B258A">
        <w:rPr>
          <w:lang w:val="fr-FR"/>
        </w:rPr>
        <w:t xml:space="preserve">inspection de </w:t>
      </w:r>
      <w:r w:rsidRPr="0030478B">
        <w:rPr>
          <w:lang w:val="fr-FR"/>
        </w:rPr>
        <w:t xml:space="preserve">la stratégie en matière de sécurité </w:t>
      </w:r>
      <w:r>
        <w:rPr>
          <w:lang w:val="fr-FR"/>
        </w:rPr>
        <w:t xml:space="preserve">effectuée </w:t>
      </w:r>
      <w:r w:rsidRPr="000B258A">
        <w:rPr>
          <w:lang w:val="fr-FR"/>
        </w:rPr>
        <w:t xml:space="preserve">dans le cadre de </w:t>
      </w:r>
      <w:r w:rsidRPr="00A06333">
        <w:rPr>
          <w:lang w:val="fr-FR"/>
        </w:rPr>
        <w:t>l</w:t>
      </w:r>
      <w:r>
        <w:rPr>
          <w:lang w:val="fr-FR"/>
        </w:rPr>
        <w:t>’</w:t>
      </w:r>
      <w:r w:rsidRPr="00A06333">
        <w:rPr>
          <w:lang w:val="fr-FR"/>
        </w:rPr>
        <w:t>évaluation décrite à l</w:t>
      </w:r>
      <w:r>
        <w:rPr>
          <w:lang w:val="fr-FR"/>
        </w:rPr>
        <w:t>’annexe </w:t>
      </w:r>
      <w:r w:rsidRPr="00A06333">
        <w:rPr>
          <w:lang w:val="fr-FR"/>
        </w:rPr>
        <w:t>4 et en fonction des essais pertinents décrits à l</w:t>
      </w:r>
      <w:r>
        <w:rPr>
          <w:lang w:val="fr-FR"/>
        </w:rPr>
        <w:t>’annexe </w:t>
      </w:r>
      <w:r w:rsidRPr="000B258A">
        <w:rPr>
          <w:lang w:val="fr-FR"/>
        </w:rPr>
        <w:t>5.</w:t>
      </w:r>
    </w:p>
    <w:p w:rsidR="008D5660" w:rsidRPr="000B258A" w:rsidRDefault="008D5660" w:rsidP="008D5660">
      <w:pPr>
        <w:pStyle w:val="SingleTxtG"/>
        <w:keepNext/>
        <w:spacing w:line="240" w:lineRule="exact"/>
        <w:ind w:left="2268"/>
        <w:rPr>
          <w:lang w:val="fr-FR"/>
        </w:rPr>
      </w:pPr>
      <w:r w:rsidRPr="000B258A">
        <w:rPr>
          <w:lang w:val="fr-FR"/>
        </w:rPr>
        <w:t xml:space="preserve">Le </w:t>
      </w:r>
      <w:r w:rsidRPr="00A31EA4">
        <w:rPr>
          <w:lang w:val="fr-FR"/>
        </w:rPr>
        <w:t>véhicule équipé de l</w:t>
      </w:r>
      <w:r>
        <w:rPr>
          <w:lang w:val="fr-FR"/>
        </w:rPr>
        <w:t>’</w:t>
      </w:r>
      <w:r w:rsidRPr="00A31EA4">
        <w:rPr>
          <w:lang w:val="fr-FR"/>
        </w:rPr>
        <w:t xml:space="preserve">ALKS </w:t>
      </w:r>
      <w:r w:rsidRPr="000B258A">
        <w:rPr>
          <w:lang w:val="fr-FR"/>
        </w:rPr>
        <w:t xml:space="preserve">doit </w:t>
      </w:r>
      <w:r>
        <w:rPr>
          <w:lang w:val="fr-FR"/>
        </w:rPr>
        <w:t>être pourvu d’</w:t>
      </w:r>
      <w:r w:rsidRPr="000B258A">
        <w:rPr>
          <w:lang w:val="fr-FR"/>
        </w:rPr>
        <w:t xml:space="preserve">un système de </w:t>
      </w:r>
      <w:r w:rsidRPr="000E1657">
        <w:rPr>
          <w:lang w:val="fr-FR"/>
        </w:rPr>
        <w:t xml:space="preserve">capteurs </w:t>
      </w:r>
      <w:r w:rsidRPr="000B258A">
        <w:rPr>
          <w:lang w:val="fr-FR"/>
        </w:rPr>
        <w:t xml:space="preserve">permettant </w:t>
      </w:r>
      <w:r w:rsidRPr="000B258A">
        <w:rPr>
          <w:bCs/>
          <w:lang w:val="fr-FR"/>
        </w:rPr>
        <w:t xml:space="preserve">au moins de </w:t>
      </w:r>
      <w:r w:rsidRPr="000B258A">
        <w:rPr>
          <w:lang w:val="fr-FR"/>
        </w:rPr>
        <w:t>déterminer l</w:t>
      </w:r>
      <w:r>
        <w:rPr>
          <w:lang w:val="fr-FR"/>
        </w:rPr>
        <w:t>’</w:t>
      </w:r>
      <w:r w:rsidRPr="000B258A">
        <w:rPr>
          <w:lang w:val="fr-FR"/>
        </w:rPr>
        <w:t>environnement de conduite (</w:t>
      </w:r>
      <w:r>
        <w:rPr>
          <w:lang w:val="fr-FR"/>
        </w:rPr>
        <w:t xml:space="preserve">par exemple, </w:t>
      </w:r>
      <w:r w:rsidRPr="000B258A">
        <w:rPr>
          <w:lang w:val="fr-FR"/>
        </w:rPr>
        <w:t xml:space="preserve">la géométrie de la route </w:t>
      </w:r>
      <w:r>
        <w:rPr>
          <w:lang w:val="fr-FR"/>
        </w:rPr>
        <w:t>vers l’avant</w:t>
      </w:r>
      <w:r w:rsidRPr="000B258A">
        <w:rPr>
          <w:lang w:val="fr-FR"/>
        </w:rPr>
        <w:t xml:space="preserve">, le marquage des voies) et la dynamique </w:t>
      </w:r>
      <w:r>
        <w:rPr>
          <w:lang w:val="fr-FR"/>
        </w:rPr>
        <w:t>de la</w:t>
      </w:r>
      <w:r w:rsidRPr="007A7C1F">
        <w:rPr>
          <w:lang w:val="fr-FR"/>
        </w:rPr>
        <w:t xml:space="preserve"> </w:t>
      </w:r>
      <w:r w:rsidRPr="00EF57D5">
        <w:rPr>
          <w:lang w:val="fr-FR"/>
        </w:rPr>
        <w:t>circulation</w:t>
      </w:r>
      <w:r>
        <w:rPr>
          <w:lang w:val="fr-FR"/>
        </w:rPr>
        <w:t> </w:t>
      </w:r>
      <w:r w:rsidRPr="000B258A">
        <w:rPr>
          <w:lang w:val="fr-FR"/>
        </w:rPr>
        <w:t>:</w:t>
      </w:r>
      <w:bookmarkStart w:id="2" w:name="_Hlk25844990"/>
    </w:p>
    <w:p w:rsidR="008D5660" w:rsidRPr="000B258A" w:rsidRDefault="008D5660" w:rsidP="008D5660">
      <w:pPr>
        <w:pStyle w:val="SingleTxtG"/>
        <w:ind w:left="2835" w:hanging="567"/>
        <w:rPr>
          <w:lang w:val="fr-FR"/>
        </w:rPr>
      </w:pPr>
      <w:r w:rsidRPr="000B258A">
        <w:rPr>
          <w:lang w:val="fr-FR"/>
        </w:rPr>
        <w:t>a)</w:t>
      </w:r>
      <w:r w:rsidRPr="000B258A">
        <w:rPr>
          <w:lang w:val="fr-FR"/>
        </w:rPr>
        <w:tab/>
        <w:t xml:space="preserve">Sur toute </w:t>
      </w:r>
      <w:r w:rsidRPr="000B258A">
        <w:rPr>
          <w:bCs/>
          <w:lang w:val="fr-FR"/>
        </w:rPr>
        <w:t>la largeur de</w:t>
      </w:r>
      <w:r w:rsidRPr="000B258A">
        <w:rPr>
          <w:lang w:val="fr-FR"/>
        </w:rPr>
        <w:t xml:space="preserve"> sa propre voie de circulation, sur </w:t>
      </w:r>
      <w:r w:rsidRPr="000B258A">
        <w:rPr>
          <w:bCs/>
          <w:lang w:val="fr-FR"/>
        </w:rPr>
        <w:t xml:space="preserve">toute la largeur des </w:t>
      </w:r>
      <w:r w:rsidRPr="000B258A">
        <w:rPr>
          <w:lang w:val="fr-FR"/>
        </w:rPr>
        <w:t>voies de circulation situées immédiatement à sa gauche et à sa droite</w:t>
      </w:r>
      <w:r w:rsidRPr="000B258A">
        <w:rPr>
          <w:bCs/>
          <w:lang w:val="fr-FR"/>
        </w:rPr>
        <w:t>, jusqu</w:t>
      </w:r>
      <w:r>
        <w:rPr>
          <w:bCs/>
          <w:lang w:val="fr-FR"/>
        </w:rPr>
        <w:t>’</w:t>
      </w:r>
      <w:r w:rsidRPr="000B258A">
        <w:rPr>
          <w:bCs/>
          <w:lang w:val="fr-FR"/>
        </w:rPr>
        <w:t>à</w:t>
      </w:r>
      <w:r w:rsidRPr="000B258A">
        <w:rPr>
          <w:lang w:val="fr-FR"/>
        </w:rPr>
        <w:t xml:space="preserve"> la limite de la portée de</w:t>
      </w:r>
      <w:bookmarkEnd w:id="2"/>
      <w:r>
        <w:rPr>
          <w:lang w:val="fr-FR"/>
        </w:rPr>
        <w:t xml:space="preserve"> </w:t>
      </w:r>
      <w:r w:rsidRPr="000B258A">
        <w:rPr>
          <w:bCs/>
          <w:lang w:val="fr-FR"/>
        </w:rPr>
        <w:t>détection avant ;</w:t>
      </w:r>
    </w:p>
    <w:p w:rsidR="008D5660" w:rsidRPr="000B258A" w:rsidRDefault="008D5660" w:rsidP="008D5660">
      <w:pPr>
        <w:pStyle w:val="SingleTxtG"/>
        <w:ind w:left="2835" w:hanging="567"/>
        <w:rPr>
          <w:lang w:val="fr-FR"/>
        </w:rPr>
      </w:pPr>
      <w:r w:rsidRPr="000B258A">
        <w:rPr>
          <w:lang w:val="fr-FR"/>
        </w:rPr>
        <w:t>b)</w:t>
      </w:r>
      <w:r w:rsidRPr="000B258A">
        <w:rPr>
          <w:lang w:val="fr-FR"/>
        </w:rPr>
        <w:tab/>
        <w:t xml:space="preserve">Sur toute la longueur du véhicule </w:t>
      </w:r>
      <w:r w:rsidRPr="007E166B">
        <w:rPr>
          <w:b/>
          <w:bCs/>
          <w:lang w:val="fr-FR"/>
        </w:rPr>
        <w:t>ou de la combinaison</w:t>
      </w:r>
      <w:r>
        <w:rPr>
          <w:lang w:val="fr-FR"/>
        </w:rPr>
        <w:t xml:space="preserve"> </w:t>
      </w:r>
      <w:r w:rsidRPr="000B258A">
        <w:rPr>
          <w:bCs/>
          <w:lang w:val="fr-FR"/>
        </w:rPr>
        <w:t>et jusqu</w:t>
      </w:r>
      <w:r>
        <w:rPr>
          <w:bCs/>
          <w:lang w:val="fr-FR"/>
        </w:rPr>
        <w:t>’</w:t>
      </w:r>
      <w:r w:rsidRPr="000B258A">
        <w:rPr>
          <w:lang w:val="fr-FR"/>
        </w:rPr>
        <w:t>à la limite de la portée de détection latérale.</w:t>
      </w:r>
    </w:p>
    <w:p w:rsidR="008D5660" w:rsidRPr="000B258A" w:rsidRDefault="008D5660" w:rsidP="008D5660">
      <w:pPr>
        <w:pStyle w:val="SingleTxtG"/>
        <w:spacing w:line="240" w:lineRule="exact"/>
        <w:ind w:left="2268"/>
        <w:rPr>
          <w:lang w:val="fr-FR"/>
        </w:rPr>
      </w:pPr>
      <w:r w:rsidRPr="000B258A">
        <w:rPr>
          <w:lang w:val="fr-FR"/>
        </w:rPr>
        <w:t xml:space="preserve">Les </w:t>
      </w:r>
      <w:r>
        <w:rPr>
          <w:lang w:val="fr-FR"/>
        </w:rPr>
        <w:t>prescriptions</w:t>
      </w:r>
      <w:r w:rsidRPr="000B258A">
        <w:rPr>
          <w:lang w:val="fr-FR"/>
        </w:rPr>
        <w:t xml:space="preserve"> du présent paragraphe sont sans préjudice des autres </w:t>
      </w:r>
      <w:r>
        <w:rPr>
          <w:lang w:val="fr-FR"/>
        </w:rPr>
        <w:t>prescriptions</w:t>
      </w:r>
      <w:r w:rsidRPr="000B258A">
        <w:rPr>
          <w:lang w:val="fr-FR"/>
        </w:rPr>
        <w:t xml:space="preserve"> du présent Règlement, </w:t>
      </w:r>
      <w:r>
        <w:rPr>
          <w:lang w:val="fr-FR"/>
        </w:rPr>
        <w:t>et particulièrement</w:t>
      </w:r>
      <w:r w:rsidRPr="000B258A">
        <w:rPr>
          <w:lang w:val="fr-FR"/>
        </w:rPr>
        <w:t xml:space="preserve"> du paragraphe</w:t>
      </w:r>
      <w:r>
        <w:rPr>
          <w:lang w:val="fr-FR"/>
        </w:rPr>
        <w:t> </w:t>
      </w:r>
      <w:r w:rsidRPr="000B258A">
        <w:rPr>
          <w:lang w:val="fr-FR"/>
        </w:rPr>
        <w:t>5.1.1</w:t>
      </w:r>
      <w:r w:rsidR="0071040F">
        <w:rPr>
          <w:lang w:val="fr-FR"/>
        </w:rPr>
        <w:t>.</w:t>
      </w:r>
    </w:p>
    <w:p w:rsidR="008D5660" w:rsidRPr="000B258A" w:rsidRDefault="008D5660" w:rsidP="008D5660">
      <w:pPr>
        <w:pStyle w:val="SingleTxtG"/>
        <w:keepNext/>
        <w:ind w:left="2268" w:hanging="1134"/>
        <w:jc w:val="left"/>
        <w:rPr>
          <w:lang w:val="fr-FR"/>
        </w:rPr>
      </w:pPr>
      <w:bookmarkStart w:id="3" w:name="_Hlk25843368"/>
      <w:bookmarkEnd w:id="3"/>
      <w:r w:rsidRPr="000B258A">
        <w:rPr>
          <w:lang w:val="fr-FR"/>
        </w:rPr>
        <w:t>7.1.2</w:t>
      </w:r>
      <w:r w:rsidRPr="000B258A">
        <w:rPr>
          <w:lang w:val="fr-FR"/>
        </w:rPr>
        <w:tab/>
        <w:t>Portée de détection latérale</w:t>
      </w:r>
    </w:p>
    <w:p w:rsidR="008D5660" w:rsidRPr="000B258A" w:rsidRDefault="008D5660" w:rsidP="008D5660">
      <w:pPr>
        <w:pStyle w:val="SingleTxtG"/>
        <w:spacing w:line="240" w:lineRule="exact"/>
        <w:ind w:left="2268"/>
        <w:rPr>
          <w:bCs/>
          <w:lang w:val="fr-FR"/>
        </w:rPr>
      </w:pPr>
      <w:r w:rsidRPr="000B258A">
        <w:rPr>
          <w:lang w:val="fr-FR"/>
        </w:rPr>
        <w:tab/>
      </w:r>
      <w:r w:rsidRPr="000B258A">
        <w:rPr>
          <w:bCs/>
          <w:lang w:val="fr-FR"/>
        </w:rPr>
        <w:t xml:space="preserve">Le </w:t>
      </w:r>
      <w:r>
        <w:rPr>
          <w:bCs/>
          <w:lang w:val="fr-FR"/>
        </w:rPr>
        <w:t>constructeur</w:t>
      </w:r>
      <w:r w:rsidRPr="000B258A">
        <w:rPr>
          <w:bCs/>
          <w:lang w:val="fr-FR"/>
        </w:rPr>
        <w:t xml:space="preserve"> doit déclarer la portée de détection latérale. La portée déclarée doit être suffisante pour couvrir toute la largeur de la voie</w:t>
      </w:r>
      <w:r>
        <w:rPr>
          <w:bCs/>
          <w:lang w:val="fr-FR"/>
        </w:rPr>
        <w:t xml:space="preserve"> située</w:t>
      </w:r>
      <w:r w:rsidRPr="000B258A">
        <w:rPr>
          <w:bCs/>
          <w:lang w:val="fr-FR"/>
        </w:rPr>
        <w:t xml:space="preserve"> immédiatement à gauche et de la voie</w:t>
      </w:r>
      <w:r w:rsidRPr="007A7C1F">
        <w:rPr>
          <w:lang w:val="fr-FR"/>
        </w:rPr>
        <w:t xml:space="preserve"> </w:t>
      </w:r>
      <w:r w:rsidRPr="003D0986">
        <w:rPr>
          <w:bCs/>
          <w:lang w:val="fr-FR"/>
        </w:rPr>
        <w:t>située</w:t>
      </w:r>
      <w:r w:rsidRPr="000B258A">
        <w:rPr>
          <w:bCs/>
          <w:lang w:val="fr-FR"/>
        </w:rPr>
        <w:t xml:space="preserve"> immédiatement à droite du véhicule</w:t>
      </w:r>
      <w:r>
        <w:rPr>
          <w:bCs/>
          <w:lang w:val="fr-FR"/>
        </w:rPr>
        <w:t xml:space="preserve"> </w:t>
      </w:r>
      <w:r w:rsidRPr="007E166B">
        <w:rPr>
          <w:b/>
          <w:lang w:val="fr-FR"/>
        </w:rPr>
        <w:t>ou de la combinaison</w:t>
      </w:r>
      <w:r w:rsidRPr="000B258A">
        <w:rPr>
          <w:bCs/>
          <w:lang w:val="fr-FR"/>
        </w:rPr>
        <w:t>.</w:t>
      </w:r>
    </w:p>
    <w:p w:rsidR="008D5660" w:rsidRDefault="008D5660" w:rsidP="008D5660">
      <w:pPr>
        <w:pStyle w:val="SingleTxtG"/>
        <w:spacing w:line="240" w:lineRule="exact"/>
        <w:ind w:left="2268"/>
        <w:rPr>
          <w:lang w:val="fr-FR"/>
        </w:rPr>
      </w:pPr>
      <w:bookmarkStart w:id="4" w:name="_Hlk25843789"/>
      <w:r w:rsidRPr="000B258A">
        <w:rPr>
          <w:lang w:val="fr-FR"/>
        </w:rPr>
        <w:t xml:space="preserve">Le service technique vérifie </w:t>
      </w:r>
      <w:r w:rsidRPr="000B258A">
        <w:rPr>
          <w:bCs/>
          <w:lang w:val="fr-FR"/>
        </w:rPr>
        <w:t xml:space="preserve">que </w:t>
      </w:r>
      <w:r w:rsidRPr="000B258A">
        <w:rPr>
          <w:lang w:val="fr-FR"/>
        </w:rPr>
        <w:t>le système de détection des véhicules détecte les véhicules lors de l</w:t>
      </w:r>
      <w:r>
        <w:rPr>
          <w:lang w:val="fr-FR"/>
        </w:rPr>
        <w:t>’</w:t>
      </w:r>
      <w:r w:rsidRPr="000B258A">
        <w:rPr>
          <w:lang w:val="fr-FR"/>
        </w:rPr>
        <w:t xml:space="preserve">essai pertinent </w:t>
      </w:r>
      <w:r>
        <w:rPr>
          <w:lang w:val="fr-FR"/>
        </w:rPr>
        <w:t>décrit à</w:t>
      </w:r>
      <w:r w:rsidRPr="000B258A">
        <w:rPr>
          <w:lang w:val="fr-FR"/>
        </w:rPr>
        <w:t xml:space="preserve"> l</w:t>
      </w:r>
      <w:r>
        <w:rPr>
          <w:lang w:val="fr-FR"/>
        </w:rPr>
        <w:t>’annexe </w:t>
      </w:r>
      <w:r w:rsidRPr="000B258A">
        <w:rPr>
          <w:lang w:val="fr-FR"/>
        </w:rPr>
        <w:t>5. Cette portée doit être égale ou supérieure à la portée déclarée.</w:t>
      </w:r>
      <w:r>
        <w:rPr>
          <w:lang w:val="fr-FR"/>
        </w:rPr>
        <w:t> ».</w:t>
      </w:r>
    </w:p>
    <w:p w:rsidR="008D5660" w:rsidRDefault="008D5660" w:rsidP="008D5660">
      <w:pPr>
        <w:pStyle w:val="HChG"/>
        <w:rPr>
          <w:bCs/>
          <w:lang w:val="fr-FR"/>
        </w:rPr>
      </w:pPr>
      <w:r>
        <w:rPr>
          <w:bCs/>
          <w:lang w:val="fr-FR"/>
        </w:rPr>
        <w:lastRenderedPageBreak/>
        <w:tab/>
        <w:t>II.</w:t>
      </w:r>
      <w:r>
        <w:rPr>
          <w:bCs/>
          <w:lang w:val="fr-FR"/>
        </w:rPr>
        <w:tab/>
      </w:r>
      <w:r w:rsidRPr="00262727">
        <w:rPr>
          <w:lang w:val="fr-FR"/>
        </w:rPr>
        <w:t>Justification</w:t>
      </w:r>
    </w:p>
    <w:p w:rsidR="008D5660" w:rsidRDefault="008D5660" w:rsidP="0071040F">
      <w:pPr>
        <w:pStyle w:val="SingleTxtG"/>
        <w:spacing w:line="240" w:lineRule="exact"/>
        <w:rPr>
          <w:bCs/>
          <w:lang w:val="fr-FR"/>
        </w:rPr>
      </w:pPr>
      <w:r>
        <w:rPr>
          <w:bCs/>
          <w:lang w:val="fr-FR"/>
        </w:rPr>
        <w:t>1.</w:t>
      </w:r>
      <w:r w:rsidR="0071040F">
        <w:rPr>
          <w:bCs/>
          <w:lang w:val="fr-FR"/>
        </w:rPr>
        <w:tab/>
      </w:r>
      <w:r>
        <w:rPr>
          <w:bCs/>
          <w:lang w:val="fr-FR"/>
        </w:rPr>
        <w:t xml:space="preserve">L’objectif global de l’ancien </w:t>
      </w:r>
      <w:r w:rsidRPr="00BD4871">
        <w:rPr>
          <w:bCs/>
          <w:lang w:val="fr-FR"/>
        </w:rPr>
        <w:t>groupe de travail informel des fonctions de direction à commande automatique</w:t>
      </w:r>
      <w:r>
        <w:rPr>
          <w:bCs/>
          <w:lang w:val="fr-FR"/>
        </w:rPr>
        <w:t xml:space="preserve"> (ACSF) était de mettre au point des prescriptions techniques pour les sys</w:t>
      </w:r>
      <w:bookmarkStart w:id="5" w:name="_GoBack"/>
      <w:bookmarkEnd w:id="5"/>
      <w:r>
        <w:rPr>
          <w:bCs/>
          <w:lang w:val="fr-FR"/>
        </w:rPr>
        <w:t>tèmes automatisés de maintien dans la voie (ALKS). Il avait au départ été convenu de restreindre ces prescriptions aux voitures particulières (véhicules de la catégorie M</w:t>
      </w:r>
      <w:r w:rsidRPr="007E166B">
        <w:rPr>
          <w:bCs/>
          <w:vertAlign w:val="subscript"/>
          <w:lang w:val="fr-FR"/>
        </w:rPr>
        <w:t>1</w:t>
      </w:r>
      <w:r>
        <w:rPr>
          <w:bCs/>
          <w:lang w:val="fr-FR"/>
        </w:rPr>
        <w:t xml:space="preserve">) </w:t>
      </w:r>
      <w:r w:rsidRPr="008A4A18">
        <w:rPr>
          <w:bCs/>
          <w:lang w:val="fr-FR"/>
        </w:rPr>
        <w:t>pour que les délais soient respectés</w:t>
      </w:r>
      <w:r>
        <w:rPr>
          <w:bCs/>
          <w:lang w:val="fr-FR"/>
        </w:rPr>
        <w:t xml:space="preserve">. </w:t>
      </w:r>
      <w:r w:rsidRPr="008A4A18">
        <w:rPr>
          <w:bCs/>
          <w:lang w:val="fr-FR"/>
        </w:rPr>
        <w:t>Après avoir dans un premier temps mené à bien</w:t>
      </w:r>
      <w:r>
        <w:rPr>
          <w:bCs/>
          <w:lang w:val="fr-FR"/>
        </w:rPr>
        <w:t xml:space="preserve"> </w:t>
      </w:r>
      <w:r w:rsidRPr="008A4A18">
        <w:rPr>
          <w:bCs/>
          <w:lang w:val="fr-FR"/>
        </w:rPr>
        <w:t>les travaux relatifs au système</w:t>
      </w:r>
      <w:r>
        <w:rPr>
          <w:bCs/>
          <w:lang w:val="fr-FR"/>
        </w:rPr>
        <w:t>, l’industrie automobile vient de revoir et d'analyser les prescriptions existantes en vue de les rendre applicables à tous les véhicules des catégories M et N.</w:t>
      </w:r>
    </w:p>
    <w:p w:rsidR="008D5660" w:rsidRPr="000B258A" w:rsidRDefault="008D5660" w:rsidP="0071040F">
      <w:pPr>
        <w:pStyle w:val="SingleTxtG"/>
        <w:spacing w:line="240" w:lineRule="exact"/>
        <w:rPr>
          <w:bCs/>
          <w:lang w:val="fr-FR"/>
        </w:rPr>
      </w:pPr>
      <w:r>
        <w:rPr>
          <w:bCs/>
          <w:lang w:val="fr-FR"/>
        </w:rPr>
        <w:t>2.</w:t>
      </w:r>
      <w:r>
        <w:rPr>
          <w:bCs/>
          <w:lang w:val="fr-FR"/>
        </w:rPr>
        <w:tab/>
        <w:t>La proposition concernant le paragraphe 5.2.5.2 tient compte des exigences minimales relatives à l’efficacité des systèmes de freinage de service (5 m/s</w:t>
      </w:r>
      <w:r w:rsidRPr="007E166B">
        <w:rPr>
          <w:bCs/>
          <w:vertAlign w:val="superscript"/>
          <w:lang w:val="fr-FR"/>
        </w:rPr>
        <w:t>2</w:t>
      </w:r>
      <w:r>
        <w:rPr>
          <w:bCs/>
          <w:lang w:val="fr-FR"/>
        </w:rPr>
        <w:t>) énoncées dans les 11 séries d’amendements au Règlement ONU n</w:t>
      </w:r>
      <w:r w:rsidRPr="007E166B">
        <w:rPr>
          <w:bCs/>
          <w:vertAlign w:val="superscript"/>
          <w:lang w:val="fr-FR"/>
        </w:rPr>
        <w:t>o</w:t>
      </w:r>
      <w:r w:rsidR="0071040F">
        <w:rPr>
          <w:bCs/>
          <w:lang w:val="fr-FR"/>
        </w:rPr>
        <w:t> </w:t>
      </w:r>
      <w:r>
        <w:rPr>
          <w:bCs/>
          <w:lang w:val="fr-FR"/>
        </w:rPr>
        <w:t>13 pour les véhicules des catégories M</w:t>
      </w:r>
      <w:r w:rsidRPr="007E166B">
        <w:rPr>
          <w:bCs/>
          <w:vertAlign w:val="subscript"/>
          <w:lang w:val="fr-FR"/>
        </w:rPr>
        <w:t>2</w:t>
      </w:r>
      <w:r>
        <w:rPr>
          <w:bCs/>
          <w:lang w:val="fr-FR"/>
        </w:rPr>
        <w:t>, M</w:t>
      </w:r>
      <w:r w:rsidRPr="007E166B">
        <w:rPr>
          <w:bCs/>
          <w:vertAlign w:val="subscript"/>
          <w:lang w:val="fr-FR"/>
        </w:rPr>
        <w:t>3</w:t>
      </w:r>
      <w:r>
        <w:rPr>
          <w:bCs/>
          <w:lang w:val="fr-FR"/>
        </w:rPr>
        <w:t>, N</w:t>
      </w:r>
      <w:r w:rsidRPr="007E166B">
        <w:rPr>
          <w:bCs/>
          <w:vertAlign w:val="subscript"/>
          <w:lang w:val="fr-FR"/>
        </w:rPr>
        <w:t>2</w:t>
      </w:r>
      <w:r>
        <w:rPr>
          <w:bCs/>
          <w:lang w:val="fr-FR"/>
        </w:rPr>
        <w:t xml:space="preserve"> et</w:t>
      </w:r>
      <w:r w:rsidR="0071040F">
        <w:rPr>
          <w:bCs/>
          <w:lang w:val="fr-FR"/>
        </w:rPr>
        <w:t> </w:t>
      </w:r>
      <w:r>
        <w:rPr>
          <w:bCs/>
          <w:lang w:val="fr-FR"/>
        </w:rPr>
        <w:t>N</w:t>
      </w:r>
      <w:r w:rsidRPr="007E166B">
        <w:rPr>
          <w:bCs/>
          <w:vertAlign w:val="subscript"/>
          <w:lang w:val="fr-FR"/>
        </w:rPr>
        <w:t>3</w:t>
      </w:r>
      <w:r>
        <w:rPr>
          <w:bCs/>
          <w:lang w:val="fr-FR"/>
        </w:rPr>
        <w:t>.</w:t>
      </w:r>
    </w:p>
    <w:bookmarkEnd w:id="4"/>
    <w:p w:rsidR="00F9573C" w:rsidRPr="008D5660" w:rsidRDefault="008D5660" w:rsidP="008D56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8D5660" w:rsidSect="008D56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4D" w:rsidRDefault="00251C4D" w:rsidP="00F95C08">
      <w:pPr>
        <w:spacing w:line="240" w:lineRule="auto"/>
      </w:pPr>
    </w:p>
  </w:endnote>
  <w:endnote w:type="continuationSeparator" w:id="0">
    <w:p w:rsidR="00251C4D" w:rsidRPr="00AC3823" w:rsidRDefault="00251C4D" w:rsidP="00AC3823">
      <w:pPr>
        <w:pStyle w:val="Pieddepage"/>
      </w:pPr>
    </w:p>
  </w:endnote>
  <w:endnote w:type="continuationNotice" w:id="1">
    <w:p w:rsidR="00251C4D" w:rsidRDefault="00251C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60" w:rsidRPr="008D5660" w:rsidRDefault="008D5660" w:rsidP="008D5660">
    <w:pPr>
      <w:pStyle w:val="Pieddepage"/>
      <w:tabs>
        <w:tab w:val="right" w:pos="9638"/>
      </w:tabs>
    </w:pPr>
    <w:r w:rsidRPr="008D5660">
      <w:rPr>
        <w:b/>
        <w:sz w:val="18"/>
      </w:rPr>
      <w:fldChar w:fldCharType="begin"/>
    </w:r>
    <w:r w:rsidRPr="008D5660">
      <w:rPr>
        <w:b/>
        <w:sz w:val="18"/>
      </w:rPr>
      <w:instrText xml:space="preserve"> PAGE  \* MERGEFORMAT </w:instrText>
    </w:r>
    <w:r w:rsidRPr="008D5660">
      <w:rPr>
        <w:b/>
        <w:sz w:val="18"/>
      </w:rPr>
      <w:fldChar w:fldCharType="separate"/>
    </w:r>
    <w:r w:rsidRPr="008D5660">
      <w:rPr>
        <w:b/>
        <w:noProof/>
        <w:sz w:val="18"/>
      </w:rPr>
      <w:t>2</w:t>
    </w:r>
    <w:r w:rsidRPr="008D5660">
      <w:rPr>
        <w:b/>
        <w:sz w:val="18"/>
      </w:rPr>
      <w:fldChar w:fldCharType="end"/>
    </w:r>
    <w:r>
      <w:rPr>
        <w:b/>
        <w:sz w:val="18"/>
      </w:rPr>
      <w:tab/>
    </w:r>
    <w:r>
      <w:t>GE.20-15661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60" w:rsidRPr="008D5660" w:rsidRDefault="008D5660" w:rsidP="008D5660">
    <w:pPr>
      <w:pStyle w:val="Pieddepage"/>
      <w:tabs>
        <w:tab w:val="right" w:pos="9638"/>
      </w:tabs>
      <w:rPr>
        <w:b/>
        <w:sz w:val="18"/>
      </w:rPr>
    </w:pPr>
    <w:r>
      <w:t>GE.20-15661</w:t>
    </w:r>
    <w:r>
      <w:tab/>
    </w:r>
    <w:r w:rsidRPr="008D5660">
      <w:rPr>
        <w:b/>
        <w:sz w:val="18"/>
      </w:rPr>
      <w:fldChar w:fldCharType="begin"/>
    </w:r>
    <w:r w:rsidRPr="008D5660">
      <w:rPr>
        <w:b/>
        <w:sz w:val="18"/>
      </w:rPr>
      <w:instrText xml:space="preserve"> PAGE  \* MERGEFORMAT </w:instrText>
    </w:r>
    <w:r w:rsidRPr="008D5660">
      <w:rPr>
        <w:b/>
        <w:sz w:val="18"/>
      </w:rPr>
      <w:fldChar w:fldCharType="separate"/>
    </w:r>
    <w:r w:rsidRPr="008D5660">
      <w:rPr>
        <w:b/>
        <w:noProof/>
        <w:sz w:val="18"/>
      </w:rPr>
      <w:t>3</w:t>
    </w:r>
    <w:r w:rsidRPr="008D56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D5660" w:rsidRDefault="008D5660" w:rsidP="008D566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20-15661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F9">
      <w:rPr>
        <w:sz w:val="20"/>
      </w:rPr>
      <w:t xml:space="preserve">    111220    111220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4D" w:rsidRPr="00AC3823" w:rsidRDefault="00251C4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1C4D" w:rsidRPr="00AC3823" w:rsidRDefault="00251C4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1C4D" w:rsidRPr="00AC3823" w:rsidRDefault="00251C4D">
      <w:pPr>
        <w:spacing w:line="240" w:lineRule="auto"/>
        <w:rPr>
          <w:sz w:val="2"/>
          <w:szCs w:val="2"/>
        </w:rPr>
      </w:pPr>
    </w:p>
  </w:footnote>
  <w:footnote w:id="2">
    <w:p w:rsidR="008D5660" w:rsidRPr="00872EAA" w:rsidRDefault="008D5660" w:rsidP="008D5660">
      <w:pPr>
        <w:pStyle w:val="Notedebasdepage"/>
        <w:rPr>
          <w:lang w:val="fr-FR"/>
        </w:rPr>
      </w:pPr>
      <w:r w:rsidRPr="00872EAA">
        <w:rPr>
          <w:lang w:val="fr-FR"/>
        </w:rPr>
        <w:tab/>
      </w:r>
      <w:r w:rsidRPr="008D5660">
        <w:rPr>
          <w:rStyle w:val="Appelnotedebasdep"/>
          <w:sz w:val="20"/>
          <w:vertAlign w:val="baseline"/>
          <w:lang w:val="fr-FR"/>
        </w:rPr>
        <w:t>*</w:t>
      </w:r>
      <w:r w:rsidRPr="008D5660">
        <w:rPr>
          <w:sz w:val="20"/>
          <w:lang w:val="fr-FR"/>
        </w:rPr>
        <w:tab/>
      </w:r>
      <w:r w:rsidRPr="00872EAA">
        <w:rPr>
          <w:lang w:val="fr-FR"/>
        </w:rPr>
        <w:t>Conformément au programme de travail du Comité des transports intérieurs pour 202</w:t>
      </w:r>
      <w:r>
        <w:rPr>
          <w:lang w:val="fr-FR"/>
        </w:rPr>
        <w:t>1</w:t>
      </w:r>
      <w:r w:rsidRPr="00872EAA">
        <w:rPr>
          <w:lang w:val="fr-FR"/>
        </w:rPr>
        <w:t xml:space="preserve"> tel qu’il figure dans le projet de budget-programme pour 202</w:t>
      </w:r>
      <w:r>
        <w:rPr>
          <w:lang w:val="fr-FR"/>
        </w:rPr>
        <w:t>1</w:t>
      </w:r>
      <w:r w:rsidRPr="00872EAA">
        <w:rPr>
          <w:lang w:val="fr-FR"/>
        </w:rPr>
        <w:t xml:space="preserve"> (A/7</w:t>
      </w:r>
      <w:r>
        <w:rPr>
          <w:lang w:val="fr-FR"/>
        </w:rPr>
        <w:t>5</w:t>
      </w:r>
      <w:r w:rsidRPr="00872EAA">
        <w:rPr>
          <w:lang w:val="fr-FR"/>
        </w:rPr>
        <w:t>/6 (chap.</w:t>
      </w:r>
      <w:r>
        <w:rPr>
          <w:lang w:val="fr-FR"/>
        </w:rPr>
        <w:t> </w:t>
      </w:r>
      <w:r w:rsidRPr="00872EAA">
        <w:rPr>
          <w:lang w:val="fr-FR"/>
        </w:rPr>
        <w:t>20), par.</w:t>
      </w:r>
      <w:r>
        <w:rPr>
          <w:lang w:val="fr-FR"/>
        </w:rPr>
        <w:t> </w:t>
      </w:r>
      <w:r w:rsidRPr="00872EAA">
        <w:rPr>
          <w:lang w:val="fr-FR"/>
        </w:rPr>
        <w:t>20.</w:t>
      </w:r>
      <w:r>
        <w:rPr>
          <w:lang w:val="fr-FR"/>
        </w:rPr>
        <w:t>51</w:t>
      </w:r>
      <w:r w:rsidRPr="00872EAA">
        <w:rPr>
          <w:lang w:val="fr-FR"/>
        </w:rPr>
        <w:t>), le Forum mondial a pour mission d’élaborer, d’harmoniser et de mettre à jour les Règlements ONU en vue d’améliorer les caractéristiques fonctionnelles des véhicules. Le présent document est soumis conformément à ce mandat.</w:t>
      </w:r>
    </w:p>
  </w:footnote>
  <w:footnote w:id="3">
    <w:p w:rsidR="008D5660" w:rsidRPr="00872EAA" w:rsidRDefault="008D5660" w:rsidP="008D5660">
      <w:pPr>
        <w:pStyle w:val="Notedebasdepage"/>
        <w:rPr>
          <w:lang w:val="fr-FR"/>
        </w:rPr>
      </w:pPr>
      <w:r w:rsidRPr="00872EAA">
        <w:rPr>
          <w:lang w:val="fr-FR"/>
        </w:rPr>
        <w:tab/>
      </w:r>
      <w:r w:rsidRPr="000B30EF">
        <w:rPr>
          <w:rStyle w:val="Appelnotedebasdep"/>
        </w:rPr>
        <w:footnoteRef/>
      </w:r>
      <w:r w:rsidRPr="00872EAA">
        <w:rPr>
          <w:lang w:val="fr-FR"/>
        </w:rPr>
        <w:t xml:space="preserve"> </w:t>
      </w:r>
      <w:r w:rsidRPr="00872EAA">
        <w:rPr>
          <w:lang w:val="fr-FR"/>
        </w:rPr>
        <w:tab/>
        <w:t>Tels que définis dans la Résolution d’ensemble sur la construction des véhicules (R.E.3.), document ECE/TRANS/WP.29/78/Rev.6, par</w:t>
      </w:r>
      <w:r>
        <w:rPr>
          <w:lang w:val="fr-FR"/>
        </w:rPr>
        <w:t>.</w:t>
      </w:r>
      <w:r w:rsidRPr="00872EAA">
        <w:rPr>
          <w:lang w:val="fr-FR"/>
        </w:rPr>
        <w:t xml:space="preserve"> 2</w:t>
      </w:r>
      <w:r>
        <w:rPr>
          <w:lang w:val="fr-FR"/>
        </w:rPr>
        <w:t>,</w:t>
      </w:r>
      <w:r w:rsidRPr="00872EAA">
        <w:rPr>
          <w:lang w:val="fr-FR"/>
        </w:rPr>
        <w:t xml:space="preserve"> </w:t>
      </w:r>
      <w:hyperlink r:id="rId1" w:history="1">
        <w:r w:rsidRPr="00872EAA">
          <w:rPr>
            <w:rStyle w:val="Lienhypertexte"/>
            <w:lang w:val="fr-FR"/>
          </w:rPr>
          <w:t>www.unece.org/tr</w:t>
        </w:r>
        <w:r w:rsidRPr="00872EAA">
          <w:rPr>
            <w:rStyle w:val="Lienhypertexte"/>
            <w:lang w:val="fr-FR"/>
          </w:rPr>
          <w:t>a</w:t>
        </w:r>
        <w:r w:rsidRPr="00872EAA">
          <w:rPr>
            <w:rStyle w:val="Lienhypertexte"/>
            <w:lang w:val="fr-FR"/>
          </w:rPr>
          <w:t>ns/main/wp29/wp29wgs/wp29gen/wp29</w:t>
        </w:r>
        <w:r>
          <w:rPr>
            <w:rStyle w:val="Lienhypertexte"/>
            <w:lang w:val="fr-FR"/>
          </w:rPr>
          <w:t xml:space="preserve"> </w:t>
        </w:r>
        <w:r w:rsidRPr="00872EAA">
          <w:rPr>
            <w:rStyle w:val="Lienhypertexte"/>
            <w:lang w:val="fr-FR"/>
          </w:rPr>
          <w:t>resolutions.html</w:t>
        </w:r>
      </w:hyperlink>
      <w:r>
        <w:rPr>
          <w:rStyle w:val="Lienhypertexte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60" w:rsidRPr="008D5660" w:rsidRDefault="008D5660">
    <w:pPr>
      <w:pStyle w:val="En-tte"/>
    </w:pPr>
    <w:fldSimple w:instr=" TITLE  \* MERGEFORMAT ">
      <w:r>
        <w:t>ECE/TRANS/WP.29/GRVA/2021/3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60" w:rsidRPr="008D5660" w:rsidRDefault="008D5660" w:rsidP="008D5660">
    <w:pPr>
      <w:pStyle w:val="En-tte"/>
      <w:jc w:val="right"/>
    </w:pPr>
    <w:fldSimple w:instr=" TITLE  \* MERGEFORMAT ">
      <w:r>
        <w:t>ECE/TRANS/WP.29/GRVA/2021/3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4D"/>
    <w:rsid w:val="00017F94"/>
    <w:rsid w:val="00023842"/>
    <w:rsid w:val="000334F9"/>
    <w:rsid w:val="00045FEB"/>
    <w:rsid w:val="00076C1C"/>
    <w:rsid w:val="0007796D"/>
    <w:rsid w:val="000B7790"/>
    <w:rsid w:val="00111F2F"/>
    <w:rsid w:val="0014365E"/>
    <w:rsid w:val="00143C66"/>
    <w:rsid w:val="00165E52"/>
    <w:rsid w:val="00176178"/>
    <w:rsid w:val="001F525A"/>
    <w:rsid w:val="00201148"/>
    <w:rsid w:val="00223272"/>
    <w:rsid w:val="0024779E"/>
    <w:rsid w:val="00251C4D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040F"/>
    <w:rsid w:val="0071601D"/>
    <w:rsid w:val="007A62E6"/>
    <w:rsid w:val="007F20FA"/>
    <w:rsid w:val="0080684C"/>
    <w:rsid w:val="00826BF9"/>
    <w:rsid w:val="00871C75"/>
    <w:rsid w:val="008776DC"/>
    <w:rsid w:val="008D5660"/>
    <w:rsid w:val="008D5EF9"/>
    <w:rsid w:val="009446C0"/>
    <w:rsid w:val="009705C8"/>
    <w:rsid w:val="009C1CF4"/>
    <w:rsid w:val="009F6B74"/>
    <w:rsid w:val="00A21A41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90EA8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22CB28"/>
  <w15:docId w15:val="{D1272E0D-30FA-43FA-A978-B109225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D566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D566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8D566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1309</Words>
  <Characters>9168</Characters>
  <Application>Microsoft Office Word</Application>
  <DocSecurity>0</DocSecurity>
  <Lines>764</Lines>
  <Paragraphs>419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ECE/TRANS/WP.29/GRVA/2021/3</vt:lpstr>
    </vt:vector>
  </TitlesOfParts>
  <Company>DCM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ECE/TRANS/WP.29/GRVA/2021/3</dc:title>
  <dc:subject/>
  <dc:creator>Fabienne CRELIER</dc:creator>
  <cp:keywords/>
  <cp:lastModifiedBy>Fabienne Crelier</cp:lastModifiedBy>
  <cp:revision>2</cp:revision>
  <cp:lastPrinted>2014-05-14T10:59:00Z</cp:lastPrinted>
  <dcterms:created xsi:type="dcterms:W3CDTF">2020-12-11T13:57:00Z</dcterms:created>
  <dcterms:modified xsi:type="dcterms:W3CDTF">2020-12-11T13:57:00Z</dcterms:modified>
</cp:coreProperties>
</file>