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EDB3219" w14:textId="77777777" w:rsidTr="00C97039">
        <w:trPr>
          <w:trHeight w:hRule="exact" w:val="851"/>
        </w:trPr>
        <w:tc>
          <w:tcPr>
            <w:tcW w:w="1276" w:type="dxa"/>
            <w:tcBorders>
              <w:bottom w:val="single" w:sz="4" w:space="0" w:color="auto"/>
            </w:tcBorders>
          </w:tcPr>
          <w:p w14:paraId="0C7B3B08" w14:textId="77777777" w:rsidR="00F35BAF" w:rsidRPr="00DB58B5" w:rsidRDefault="00F35BAF" w:rsidP="004D6315"/>
        </w:tc>
        <w:tc>
          <w:tcPr>
            <w:tcW w:w="2268" w:type="dxa"/>
            <w:tcBorders>
              <w:bottom w:val="single" w:sz="4" w:space="0" w:color="auto"/>
            </w:tcBorders>
            <w:vAlign w:val="bottom"/>
          </w:tcPr>
          <w:p w14:paraId="6E945F9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D2350AF" w14:textId="77777777" w:rsidR="00F35BAF" w:rsidRPr="00DB58B5" w:rsidRDefault="004D6315" w:rsidP="004D6315">
            <w:pPr>
              <w:jc w:val="right"/>
            </w:pPr>
            <w:r w:rsidRPr="004D6315">
              <w:rPr>
                <w:sz w:val="40"/>
              </w:rPr>
              <w:t>ECE</w:t>
            </w:r>
            <w:r>
              <w:t>/TRANS/2021/8</w:t>
            </w:r>
          </w:p>
        </w:tc>
      </w:tr>
      <w:tr w:rsidR="00F35BAF" w:rsidRPr="00DB58B5" w14:paraId="68D83007" w14:textId="77777777" w:rsidTr="00C97039">
        <w:trPr>
          <w:trHeight w:hRule="exact" w:val="2835"/>
        </w:trPr>
        <w:tc>
          <w:tcPr>
            <w:tcW w:w="1276" w:type="dxa"/>
            <w:tcBorders>
              <w:top w:val="single" w:sz="4" w:space="0" w:color="auto"/>
              <w:bottom w:val="single" w:sz="12" w:space="0" w:color="auto"/>
            </w:tcBorders>
          </w:tcPr>
          <w:p w14:paraId="1A1DD1D6" w14:textId="77777777" w:rsidR="00F35BAF" w:rsidRPr="00DB58B5" w:rsidRDefault="00F35BAF" w:rsidP="00C97039">
            <w:pPr>
              <w:spacing w:before="120"/>
              <w:jc w:val="center"/>
            </w:pPr>
            <w:r>
              <w:rPr>
                <w:noProof/>
                <w:lang w:eastAsia="fr-CH"/>
              </w:rPr>
              <w:drawing>
                <wp:inline distT="0" distB="0" distL="0" distR="0" wp14:anchorId="73C12AB6" wp14:editId="5490873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07AFA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2EB246A" w14:textId="77777777" w:rsidR="00F35BAF" w:rsidRDefault="004D6315" w:rsidP="00C97039">
            <w:pPr>
              <w:spacing w:before="240"/>
            </w:pPr>
            <w:r>
              <w:t>Distr. générale</w:t>
            </w:r>
          </w:p>
          <w:p w14:paraId="61E0C28F" w14:textId="77777777" w:rsidR="004D6315" w:rsidRDefault="004D6315" w:rsidP="004D6315">
            <w:pPr>
              <w:spacing w:line="240" w:lineRule="exact"/>
            </w:pPr>
            <w:r>
              <w:t>15 décembre 2020</w:t>
            </w:r>
          </w:p>
          <w:p w14:paraId="0694CFCE" w14:textId="77777777" w:rsidR="004D6315" w:rsidRDefault="004D6315" w:rsidP="004D6315">
            <w:pPr>
              <w:spacing w:line="240" w:lineRule="exact"/>
            </w:pPr>
            <w:r>
              <w:t>Français</w:t>
            </w:r>
          </w:p>
          <w:p w14:paraId="15F4BBE0" w14:textId="77777777" w:rsidR="004D6315" w:rsidRPr="00DB58B5" w:rsidRDefault="004D6315" w:rsidP="004D6315">
            <w:pPr>
              <w:spacing w:line="240" w:lineRule="exact"/>
            </w:pPr>
            <w:r>
              <w:t>Original : anglais</w:t>
            </w:r>
          </w:p>
        </w:tc>
      </w:tr>
    </w:tbl>
    <w:p w14:paraId="48B76A76" w14:textId="77777777" w:rsidR="007F20FA" w:rsidRPr="000312C0" w:rsidRDefault="007F20FA" w:rsidP="007F20FA">
      <w:pPr>
        <w:spacing w:before="120"/>
        <w:rPr>
          <w:b/>
          <w:sz w:val="28"/>
          <w:szCs w:val="28"/>
        </w:rPr>
      </w:pPr>
      <w:r w:rsidRPr="000312C0">
        <w:rPr>
          <w:b/>
          <w:sz w:val="28"/>
          <w:szCs w:val="28"/>
        </w:rPr>
        <w:t>Commission économique pour l</w:t>
      </w:r>
      <w:r w:rsidR="00455787">
        <w:rPr>
          <w:b/>
          <w:sz w:val="28"/>
          <w:szCs w:val="28"/>
        </w:rPr>
        <w:t>’</w:t>
      </w:r>
      <w:r w:rsidRPr="000312C0">
        <w:rPr>
          <w:b/>
          <w:sz w:val="28"/>
          <w:szCs w:val="28"/>
        </w:rPr>
        <w:t>Europe</w:t>
      </w:r>
    </w:p>
    <w:p w14:paraId="3F7C1C9D" w14:textId="77777777" w:rsidR="007F20FA" w:rsidRDefault="007F20FA" w:rsidP="007F20FA">
      <w:pPr>
        <w:spacing w:before="120"/>
        <w:rPr>
          <w:sz w:val="28"/>
          <w:szCs w:val="28"/>
        </w:rPr>
      </w:pPr>
      <w:r w:rsidRPr="00685843">
        <w:rPr>
          <w:sz w:val="28"/>
          <w:szCs w:val="28"/>
        </w:rPr>
        <w:t>Comité des transports intérieurs</w:t>
      </w:r>
    </w:p>
    <w:p w14:paraId="17629485" w14:textId="77777777" w:rsidR="004D6315" w:rsidRPr="002274DC" w:rsidRDefault="004D6315" w:rsidP="0065280D">
      <w:pPr>
        <w:spacing w:before="120"/>
        <w:rPr>
          <w:b/>
          <w:bCs/>
        </w:rPr>
      </w:pPr>
      <w:r w:rsidRPr="002274DC">
        <w:rPr>
          <w:b/>
          <w:bCs/>
        </w:rPr>
        <w:t>Quatre-vingt-troisième session</w:t>
      </w:r>
    </w:p>
    <w:p w14:paraId="3BE871DB" w14:textId="77777777" w:rsidR="004D6315" w:rsidRDefault="004D6315" w:rsidP="004D6315">
      <w:r w:rsidRPr="002274DC">
        <w:t>Genève, 23-26 février 2021</w:t>
      </w:r>
    </w:p>
    <w:p w14:paraId="5F64B998" w14:textId="77777777" w:rsidR="004D6315" w:rsidRDefault="004D6315" w:rsidP="004D6315">
      <w:r w:rsidRPr="002274DC">
        <w:t>Point 6 a) de l</w:t>
      </w:r>
      <w:r w:rsidR="00455787">
        <w:t>’</w:t>
      </w:r>
      <w:r w:rsidRPr="002274DC">
        <w:t>ordre du jour provisoire</w:t>
      </w:r>
    </w:p>
    <w:p w14:paraId="3630F0A9" w14:textId="25B56A40" w:rsidR="004D6315" w:rsidRPr="002274DC" w:rsidRDefault="004D6315" w:rsidP="004D6315">
      <w:pPr>
        <w:rPr>
          <w:b/>
          <w:bCs/>
        </w:rPr>
      </w:pPr>
      <w:r w:rsidRPr="002274DC">
        <w:rPr>
          <w:b/>
          <w:bCs/>
        </w:rPr>
        <w:t xml:space="preserve">Questions relatives aux programmes : </w:t>
      </w:r>
      <w:r w:rsidR="001A3BA4">
        <w:rPr>
          <w:b/>
          <w:bCs/>
        </w:rPr>
        <w:br/>
      </w:r>
      <w:r w:rsidRPr="002274DC">
        <w:rPr>
          <w:b/>
          <w:bCs/>
        </w:rPr>
        <w:t>Programme de travail pour 2021</w:t>
      </w:r>
    </w:p>
    <w:p w14:paraId="0E8D4137" w14:textId="77777777" w:rsidR="004D6315" w:rsidRPr="002274DC" w:rsidRDefault="004D6315" w:rsidP="0065280D">
      <w:pPr>
        <w:pStyle w:val="HChG"/>
      </w:pPr>
      <w:r w:rsidRPr="002274DC">
        <w:tab/>
      </w:r>
      <w:r w:rsidRPr="002274DC">
        <w:tab/>
        <w:t>Projet de programme de travail du sous-programme Transports pour 2021</w:t>
      </w:r>
    </w:p>
    <w:p w14:paraId="5C0B88D6" w14:textId="77777777" w:rsidR="004D6315" w:rsidRPr="002274DC" w:rsidRDefault="004D6315" w:rsidP="0065280D">
      <w:pPr>
        <w:pStyle w:val="H1G"/>
      </w:pPr>
      <w:r w:rsidRPr="002274DC">
        <w:tab/>
      </w:r>
      <w:r w:rsidRPr="002274DC">
        <w:tab/>
        <w:t xml:space="preserve">Note du </w:t>
      </w:r>
      <w:r>
        <w:t>s</w:t>
      </w:r>
      <w:r w:rsidRPr="002274DC">
        <w:t>ecrétariat</w:t>
      </w:r>
    </w:p>
    <w:p w14:paraId="418D59E0" w14:textId="77777777" w:rsidR="004D6315" w:rsidRPr="002274DC" w:rsidRDefault="0065280D" w:rsidP="0065280D">
      <w:pPr>
        <w:pStyle w:val="HChG"/>
        <w:rPr>
          <w:szCs w:val="28"/>
        </w:rPr>
      </w:pPr>
      <w:r>
        <w:tab/>
      </w:r>
      <w:r>
        <w:tab/>
      </w:r>
      <w:r w:rsidR="004D6315" w:rsidRPr="002274DC">
        <w:t>Introduction</w:t>
      </w:r>
    </w:p>
    <w:p w14:paraId="66BDC1EF" w14:textId="77777777" w:rsidR="004D6315" w:rsidRPr="002274DC" w:rsidRDefault="004D6315" w:rsidP="0065280D">
      <w:pPr>
        <w:pStyle w:val="SingleTxtG"/>
      </w:pPr>
      <w:r w:rsidRPr="002274DC">
        <w:t>1.</w:t>
      </w:r>
      <w:r w:rsidRPr="002274DC">
        <w:tab/>
        <w:t>On trouvera ci-après le projet de programme de travail du sous-programme Transports («</w:t>
      </w:r>
      <w:r w:rsidR="0065280D">
        <w:t> </w:t>
      </w:r>
      <w:r w:rsidRPr="002274DC">
        <w:t>le sous-programme</w:t>
      </w:r>
      <w:r w:rsidR="0065280D">
        <w:t> </w:t>
      </w:r>
      <w:r w:rsidRPr="002274DC">
        <w:t xml:space="preserve">») pour 2021. Le Comité des transports intérieurs (ci-après, le Comité) est invité à </w:t>
      </w:r>
      <w:r w:rsidRPr="00860746">
        <w:rPr>
          <w:b/>
          <w:bCs/>
        </w:rPr>
        <w:t>l</w:t>
      </w:r>
      <w:r w:rsidR="00455787">
        <w:rPr>
          <w:b/>
          <w:bCs/>
        </w:rPr>
        <w:t>’</w:t>
      </w:r>
      <w:r w:rsidRPr="00860746">
        <w:rPr>
          <w:b/>
          <w:bCs/>
        </w:rPr>
        <w:t>adopter et à le recommander</w:t>
      </w:r>
      <w:r w:rsidRPr="002274DC">
        <w:t xml:space="preserve"> au Comité exécutif </w:t>
      </w:r>
      <w:r w:rsidRPr="00860746">
        <w:rPr>
          <w:b/>
          <w:bCs/>
        </w:rPr>
        <w:t>pour approbation</w:t>
      </w:r>
      <w:r w:rsidRPr="002274DC">
        <w:t>. Si par la suite des éléments à livrer sont ajoutés, supprimés ou reportés, ces changements seront consignés dans le progiciel Umoja que le secrétariat utilise pour planifier et suivre l</w:t>
      </w:r>
      <w:r w:rsidR="00455787">
        <w:t>’</w:t>
      </w:r>
      <w:r w:rsidRPr="002274DC">
        <w:t xml:space="preserve">exécution du programme et en rendre compte. </w:t>
      </w:r>
    </w:p>
    <w:p w14:paraId="18C5ECAE" w14:textId="77777777" w:rsidR="004D6315" w:rsidRPr="002274DC" w:rsidRDefault="004D6315" w:rsidP="0065280D">
      <w:pPr>
        <w:pStyle w:val="SingleTxtG"/>
      </w:pPr>
      <w:r w:rsidRPr="002274DC">
        <w:t>2.</w:t>
      </w:r>
      <w:r w:rsidRPr="002274DC">
        <w:tab/>
        <w:t>Le présent projet de programme de travail découle de l</w:t>
      </w:r>
      <w:r w:rsidR="00455787">
        <w:t>’</w:t>
      </w:r>
      <w:r w:rsidRPr="002274DC">
        <w:t>application d</w:t>
      </w:r>
      <w:r w:rsidR="00455787">
        <w:t>’</w:t>
      </w:r>
      <w:r w:rsidRPr="002274DC">
        <w:t>une méthode de gestion axée sur les résultats qui repose sur une approche globale dans laquelle on définit les relations logiques entre les produits (éléments à livrer − résultats − objectifs − incidences), les ressources (humaines et financières), que l</w:t>
      </w:r>
      <w:r w:rsidR="00455787">
        <w:t>’</w:t>
      </w:r>
      <w:r w:rsidRPr="002274DC">
        <w:t>on appelle les intrants, et les facteurs extérieurs (stratégiques, liés à la gouvernance, opérationnels, financiers) qui peuvent faire obstacle à la réalisation de l</w:t>
      </w:r>
      <w:r w:rsidR="00455787">
        <w:t>’</w:t>
      </w:r>
      <w:r w:rsidRPr="002274DC">
        <w:t>objectif visé.</w:t>
      </w:r>
    </w:p>
    <w:p w14:paraId="7C15968A" w14:textId="77777777" w:rsidR="004D6315" w:rsidRPr="002274DC" w:rsidRDefault="004D6315" w:rsidP="0065280D">
      <w:pPr>
        <w:pStyle w:val="SingleTxtG"/>
      </w:pPr>
      <w:r w:rsidRPr="002274DC">
        <w:t>3.</w:t>
      </w:r>
      <w:r w:rsidRPr="002274DC">
        <w:tab/>
        <w:t>L</w:t>
      </w:r>
      <w:r w:rsidR="00455787">
        <w:t>’</w:t>
      </w:r>
      <w:r w:rsidRPr="002274DC">
        <w:t>objectif, les principaux résultats escomptés et les produits inscrits dans le projet de programme de travail correspondent à ceux qui figurent dans le projet de budget-programme de la Commission économique pour l</w:t>
      </w:r>
      <w:r w:rsidR="00455787">
        <w:t>’</w:t>
      </w:r>
      <w:r w:rsidRPr="002274DC">
        <w:t>Europe (CEE) pour 2021 (A/75/6 (Sect. 20)). Les travaux du sous-programme sont alignés sur les objectifs de développement durable (ODD). Pour atteindre l</w:t>
      </w:r>
      <w:r w:rsidR="00455787">
        <w:t>’</w:t>
      </w:r>
      <w:r w:rsidRPr="002274DC">
        <w:t>objectif du sous-programme, il faut une collaboration intersectorielle avec d</w:t>
      </w:r>
      <w:r w:rsidR="00455787">
        <w:t>’</w:t>
      </w:r>
      <w:r w:rsidRPr="002274DC">
        <w:t>autres sous-programmes concernant certains domaines d</w:t>
      </w:r>
      <w:r w:rsidR="00455787">
        <w:t>’</w:t>
      </w:r>
      <w:r w:rsidRPr="002274DC">
        <w:t>interaction de la CEE pour lesquels il existe une convergence de multiples ODD</w:t>
      </w:r>
      <w:r w:rsidRPr="00860746">
        <w:rPr>
          <w:rStyle w:val="Appelnotedebasdep"/>
        </w:rPr>
        <w:footnoteReference w:id="2"/>
      </w:r>
      <w:r w:rsidRPr="002274DC">
        <w:t>. Ce type de collaboration permet de tirer le meilleur parti des synergies existantes dans le cadre du sous-programme, d</w:t>
      </w:r>
      <w:r w:rsidR="00455787">
        <w:t>’</w:t>
      </w:r>
      <w:r w:rsidRPr="002274DC">
        <w:t>accroître l</w:t>
      </w:r>
      <w:r w:rsidR="00455787">
        <w:t>’</w:t>
      </w:r>
      <w:r w:rsidRPr="002274DC">
        <w:t>efficacité des travaux effectués et de démultiplier les effets de l</w:t>
      </w:r>
      <w:r w:rsidR="00455787">
        <w:t>’</w:t>
      </w:r>
      <w:r w:rsidRPr="002274DC">
        <w:t>action menée pour aider les pays à appliquer les ODD. Les produits définis pour le sous-programme relèvent des grandes catégories suivantes : a) facilitation des travaux des organes intergouvernementaux et des organes d</w:t>
      </w:r>
      <w:r w:rsidR="00455787">
        <w:t>’</w:t>
      </w:r>
      <w:r w:rsidRPr="002274DC">
        <w:t xml:space="preserve">experts ; b) création et transfert de connaissances, que ce soit sous la forme de </w:t>
      </w:r>
      <w:r w:rsidRPr="002274DC">
        <w:lastRenderedPageBreak/>
        <w:t>projets de coopération technique, d</w:t>
      </w:r>
      <w:r w:rsidR="00455787">
        <w:t>’</w:t>
      </w:r>
      <w:r w:rsidRPr="002274DC">
        <w:t>activités de formation, de séminaires, d</w:t>
      </w:r>
      <w:r w:rsidR="00455787">
        <w:t>’</w:t>
      </w:r>
      <w:r w:rsidRPr="002274DC">
        <w:t>ateliers ou de publications</w:t>
      </w:r>
      <w:r w:rsidR="00455787">
        <w:t> </w:t>
      </w:r>
      <w:r w:rsidRPr="002274DC">
        <w:t>; c) autres activités de fond</w:t>
      </w:r>
      <w:r w:rsidR="00455787">
        <w:t> </w:t>
      </w:r>
      <w:r w:rsidRPr="002274DC">
        <w:t xml:space="preserve">; </w:t>
      </w:r>
      <w:r>
        <w:t xml:space="preserve">et </w:t>
      </w:r>
      <w:r w:rsidRPr="002274DC">
        <w:t>d) activités de communication.</w:t>
      </w:r>
    </w:p>
    <w:p w14:paraId="633D2956" w14:textId="77777777" w:rsidR="004D6315" w:rsidRPr="002274DC" w:rsidRDefault="004D6315" w:rsidP="0065280D">
      <w:pPr>
        <w:pStyle w:val="SingleTxtG"/>
      </w:pPr>
      <w:r w:rsidRPr="002274DC">
        <w:t>4.</w:t>
      </w:r>
      <w:r w:rsidRPr="002274DC">
        <w:tab/>
        <w:t>Le détail des publications proposées figure à l</w:t>
      </w:r>
      <w:r w:rsidR="00455787">
        <w:t>’</w:t>
      </w:r>
      <w:r w:rsidRPr="002274DC">
        <w:t>annexe I. Les textes des organes délibérants définissant les mandats de la CEE et du sous-programme sont énumérés à l</w:t>
      </w:r>
      <w:r w:rsidR="00455787">
        <w:t>’</w:t>
      </w:r>
      <w:r w:rsidRPr="002274DC">
        <w:t>annexe II.</w:t>
      </w:r>
      <w:bookmarkStart w:id="0" w:name="_Hlk5788519"/>
      <w:bookmarkEnd w:id="0"/>
    </w:p>
    <w:p w14:paraId="3C67B62A" w14:textId="77777777" w:rsidR="004D6315" w:rsidRPr="002274DC" w:rsidRDefault="004D6315" w:rsidP="0065280D">
      <w:pPr>
        <w:pStyle w:val="SingleTxtG"/>
      </w:pPr>
      <w:r w:rsidRPr="002274DC">
        <w:t>5.</w:t>
      </w:r>
      <w:r w:rsidRPr="002274DC">
        <w:tab/>
        <w:t>On trouvera dans le tableau 1 de l</w:t>
      </w:r>
      <w:r w:rsidR="00455787">
        <w:t>’</w:t>
      </w:r>
      <w:r w:rsidRPr="002274DC">
        <w:t xml:space="preserve">annexe III la liste des éléments à livrer qui font partie du </w:t>
      </w:r>
      <w:r>
        <w:t>p</w:t>
      </w:r>
      <w:r w:rsidRPr="002274DC">
        <w:t>rogramme de travail du sous-programme Transports pour 2021, mais qui n</w:t>
      </w:r>
      <w:r w:rsidR="00455787">
        <w:t>’</w:t>
      </w:r>
      <w:r w:rsidRPr="002274DC">
        <w:t xml:space="preserve">ont pas été pris en compte dans le projet de budget-programme de la CEE pour </w:t>
      </w:r>
      <w:r>
        <w:t>l</w:t>
      </w:r>
      <w:r w:rsidR="00455787">
        <w:t>’</w:t>
      </w:r>
      <w:r w:rsidRPr="002274DC">
        <w:t>année</w:t>
      </w:r>
      <w:r>
        <w:t xml:space="preserve"> en question</w:t>
      </w:r>
      <w:r w:rsidRPr="002274DC">
        <w:t xml:space="preserve">. </w:t>
      </w:r>
      <w:r>
        <w:t>On distinguera l</w:t>
      </w:r>
      <w:r w:rsidRPr="002274DC">
        <w:t xml:space="preserve">es éléments </w:t>
      </w:r>
      <w:r>
        <w:t xml:space="preserve">qui </w:t>
      </w:r>
      <w:r w:rsidRPr="002274DC">
        <w:t>ont été approuvés conformément aux processus établis par la CEE, après l</w:t>
      </w:r>
      <w:r w:rsidR="00455787">
        <w:t>’</w:t>
      </w:r>
      <w:r w:rsidRPr="002274DC">
        <w:t>adoption du budget-programme de la CEE pour 2021</w:t>
      </w:r>
      <w:r>
        <w:t>, et les éléments qui étaient</w:t>
      </w:r>
      <w:r w:rsidRPr="002274DC">
        <w:t xml:space="preserve"> prévus initialement pour 2020 mais</w:t>
      </w:r>
      <w:r>
        <w:t xml:space="preserve"> qui</w:t>
      </w:r>
      <w:r w:rsidRPr="002274DC">
        <w:t>, en raison des effets de la pandémie de COVID</w:t>
      </w:r>
      <w:r>
        <w:t>-</w:t>
      </w:r>
      <w:r w:rsidRPr="002274DC">
        <w:t>19</w:t>
      </w:r>
      <w:r>
        <w:t xml:space="preserve">, ont dû être </w:t>
      </w:r>
      <w:r w:rsidRPr="002274DC">
        <w:t>reporté</w:t>
      </w:r>
      <w:r>
        <w:t>s</w:t>
      </w:r>
      <w:r w:rsidRPr="002274DC">
        <w:t xml:space="preserve"> en 2021 pour venir s</w:t>
      </w:r>
      <w:r w:rsidR="00455787">
        <w:t>’</w:t>
      </w:r>
      <w:r w:rsidRPr="002274DC">
        <w:t>ajouter aux éléments à livrer au titre du budget</w:t>
      </w:r>
      <w:r w:rsidR="00455787">
        <w:noBreakHyphen/>
      </w:r>
      <w:r w:rsidRPr="002274DC">
        <w:t xml:space="preserve">programme proposé pour </w:t>
      </w:r>
      <w:r>
        <w:t>cette année</w:t>
      </w:r>
      <w:r w:rsidRPr="002274DC">
        <w:t>. On trouvera dans le tableau 2 l</w:t>
      </w:r>
      <w:r>
        <w:t>a liste d</w:t>
      </w:r>
      <w:r w:rsidRPr="002274DC">
        <w:t xml:space="preserve">es </w:t>
      </w:r>
      <w:r>
        <w:t>mandats attribués aux organes d</w:t>
      </w:r>
      <w:r w:rsidR="00455787">
        <w:t>’</w:t>
      </w:r>
      <w:r>
        <w:t>experts mentionnés dans le tableau 1, qui ont été créés ou dont le mandat a été prorogé récemment</w:t>
      </w:r>
      <w:r w:rsidRPr="002274DC">
        <w:t>.</w:t>
      </w:r>
    </w:p>
    <w:p w14:paraId="71C42EA4" w14:textId="77777777" w:rsidR="004D6315" w:rsidRPr="002274DC" w:rsidRDefault="004D6315" w:rsidP="0065280D">
      <w:pPr>
        <w:pStyle w:val="HChG"/>
      </w:pPr>
      <w:r w:rsidRPr="002274DC">
        <w:tab/>
        <w:t>I.</w:t>
      </w:r>
      <w:r w:rsidRPr="002274DC">
        <w:tab/>
        <w:t xml:space="preserve">Objectif et alignement sur les ODD </w:t>
      </w:r>
    </w:p>
    <w:p w14:paraId="0E3E2B10" w14:textId="77777777" w:rsidR="004D6315" w:rsidRPr="002274DC" w:rsidRDefault="004D6315" w:rsidP="0065280D">
      <w:pPr>
        <w:pStyle w:val="SingleTxtG"/>
      </w:pPr>
      <w:r w:rsidRPr="002274DC">
        <w:t>6.</w:t>
      </w:r>
      <w:r w:rsidRPr="002274DC">
        <w:tab/>
        <w:t>Le sous-programme doit contribuer à promouvoir la viabilité des systèmes de transport intérieur (transports routiers, ferroviaires et par voies de navigation intérieure, et transport intermodal) à l</w:t>
      </w:r>
      <w:r w:rsidR="00455787">
        <w:t>’</w:t>
      </w:r>
      <w:r w:rsidRPr="002274DC">
        <w:t>échelle régionale ou mondiale en les rendant plus sûrs, plus propres, plus efficaces et plus abordables, qu</w:t>
      </w:r>
      <w:r w:rsidR="00455787">
        <w:t>’</w:t>
      </w:r>
      <w:r w:rsidRPr="002274DC">
        <w:t>il s</w:t>
      </w:r>
      <w:r w:rsidR="00455787">
        <w:t>’</w:t>
      </w:r>
      <w:r w:rsidRPr="002274DC">
        <w:t>agisse d</w:t>
      </w:r>
      <w:r w:rsidR="00455787">
        <w:t>’</w:t>
      </w:r>
      <w:r w:rsidRPr="002274DC">
        <w:t>assurer le transport de marchandises ou la mobilité personnelle.</w:t>
      </w:r>
    </w:p>
    <w:p w14:paraId="0206C46E" w14:textId="77777777" w:rsidR="004D6315" w:rsidRPr="002274DC" w:rsidRDefault="004D6315" w:rsidP="0065280D">
      <w:pPr>
        <w:pStyle w:val="HChG"/>
      </w:pPr>
      <w:r w:rsidRPr="002274DC">
        <w:tab/>
        <w:t>II.</w:t>
      </w:r>
      <w:r w:rsidRPr="002274DC">
        <w:tab/>
        <w:t>Stratégie</w:t>
      </w:r>
    </w:p>
    <w:p w14:paraId="58AA6B9A" w14:textId="77777777" w:rsidR="004D6315" w:rsidRPr="002274DC" w:rsidRDefault="004D6315" w:rsidP="0065280D">
      <w:pPr>
        <w:pStyle w:val="SingleTxtG"/>
      </w:pPr>
      <w:r w:rsidRPr="002274DC">
        <w:t>7.</w:t>
      </w:r>
      <w:r w:rsidRPr="002274DC">
        <w:tab/>
        <w:t xml:space="preserve">La responsabilité de ce sous-programme est confiée à la Division des transports durables. </w:t>
      </w:r>
    </w:p>
    <w:p w14:paraId="1CEEE345" w14:textId="1D1ABC45" w:rsidR="004D6315" w:rsidRPr="002274DC" w:rsidRDefault="004D6315" w:rsidP="0065280D">
      <w:pPr>
        <w:pStyle w:val="SingleTxtG"/>
      </w:pPr>
      <w:r w:rsidRPr="002274DC">
        <w:t>8.</w:t>
      </w:r>
      <w:r w:rsidRPr="002274DC">
        <w:tab/>
        <w:t xml:space="preserve">Le sous-programme de la CEE </w:t>
      </w:r>
      <w:r>
        <w:t>po</w:t>
      </w:r>
      <w:r w:rsidRPr="002274DC">
        <w:t>ur les transports est mis en œuvre par l</w:t>
      </w:r>
      <w:r w:rsidR="00455787">
        <w:t>’</w:t>
      </w:r>
      <w:r w:rsidRPr="002274DC">
        <w:t>intermédiaire du programme de travail adopté par le Comité des transports intérieurs (CTI), en sa qualité de «</w:t>
      </w:r>
      <w:r w:rsidR="00455787">
        <w:t> </w:t>
      </w:r>
      <w:r w:rsidRPr="002274DC">
        <w:t>plateforme des Nations Unies pour les transports intérieurs contribuant à répondre efficacement aux besoins régionaux et mondiaux dans ce domaine</w:t>
      </w:r>
      <w:r w:rsidR="00455787">
        <w:t> </w:t>
      </w:r>
      <w:r w:rsidRPr="002274DC">
        <w:t>», comme l</w:t>
      </w:r>
      <w:r w:rsidR="00455787">
        <w:t>’</w:t>
      </w:r>
      <w:r w:rsidRPr="002274DC">
        <w:t>énonce expressément la Stratégie du CTI jusqu</w:t>
      </w:r>
      <w:r w:rsidR="00455787">
        <w:t>’</w:t>
      </w:r>
      <w:r w:rsidRPr="002274DC">
        <w:t>en 2030 (voir ECE/TRANS/288/Add.2). Par</w:t>
      </w:r>
      <w:r w:rsidR="001A3BA4">
        <w:t> </w:t>
      </w:r>
      <w:r w:rsidRPr="002274DC">
        <w:t>l</w:t>
      </w:r>
      <w:r w:rsidR="00455787">
        <w:t>’</w:t>
      </w:r>
      <w:r w:rsidRPr="002274DC">
        <w:t>intermédiaire, notamment, de ses 20 groupes de travail et de ses 14 comités de gestion, du Comité d</w:t>
      </w:r>
      <w:r w:rsidR="00455787">
        <w:t>’</w:t>
      </w:r>
      <w:r w:rsidRPr="002274DC">
        <w:t xml:space="preserve">experts du Conseil économique et social et de plus de 50 réseaux formels et informels rassemblant quelque 6 000 experts agréés, le sous-programme promeut la viabilité des systèmes de transport aux échelles régionale et mondiale. </w:t>
      </w:r>
    </w:p>
    <w:p w14:paraId="13917CE6" w14:textId="77777777" w:rsidR="004D6315" w:rsidRPr="002274DC" w:rsidRDefault="004D6315" w:rsidP="0065280D">
      <w:pPr>
        <w:pStyle w:val="SingleTxtG"/>
      </w:pPr>
      <w:r w:rsidRPr="002274DC">
        <w:t>9.</w:t>
      </w:r>
      <w:r w:rsidRPr="002274DC">
        <w:tab/>
        <w:t>Sa tâche principale consiste à administrer le cadre réglementaire international pour les transports intérieurs, qui comprend actuellement 59 instruments juridiques des Nations Unies relatifs à la sécurité, la pollution, l</w:t>
      </w:r>
      <w:r w:rsidR="00455787">
        <w:t>’</w:t>
      </w:r>
      <w:r w:rsidRPr="002274DC">
        <w:t>efficience et l</w:t>
      </w:r>
      <w:r w:rsidR="00455787">
        <w:t>’</w:t>
      </w:r>
      <w:r w:rsidRPr="002274DC">
        <w:t>efficacité (fonction normative), en élaborant de nouveaux instruments juridiques et en actualisant ceux qui existent, selon les besoins.</w:t>
      </w:r>
    </w:p>
    <w:p w14:paraId="4F714B2F" w14:textId="77777777" w:rsidR="004D6315" w:rsidRPr="002274DC" w:rsidRDefault="004D6315" w:rsidP="0065280D">
      <w:pPr>
        <w:pStyle w:val="SingleTxtG"/>
      </w:pPr>
      <w:r w:rsidRPr="002274DC">
        <w:t>10.</w:t>
      </w:r>
      <w:r w:rsidRPr="002274DC">
        <w:tab/>
        <w:t>Faisant suite à la demande des États membres et des Parties contractantes, le sous</w:t>
      </w:r>
      <w:r w:rsidR="00455787">
        <w:noBreakHyphen/>
      </w:r>
      <w:r w:rsidRPr="002274DC">
        <w:t>programme offre aux gouvernements nationaux et aux autres parties prenantes de premier plan du secteur des transports une plateforme institutionnelle leur permettant de gérer ce cadre réglementaire, que complètent des activités connexes de concertation, d</w:t>
      </w:r>
      <w:r w:rsidR="00455787">
        <w:t>’</w:t>
      </w:r>
      <w:r w:rsidRPr="002274DC">
        <w:t>analyse, d</w:t>
      </w:r>
      <w:r w:rsidR="00455787">
        <w:t>’</w:t>
      </w:r>
      <w:r w:rsidRPr="002274DC">
        <w:t>assistance technique et de renforcement des capacités. Il est prévu que ces travaux contribuent aux quatre domaines d</w:t>
      </w:r>
      <w:r w:rsidR="00455787">
        <w:t>’</w:t>
      </w:r>
      <w:r w:rsidRPr="002274DC">
        <w:t>interaction de la CEE, à savoir la mobilité durable et la connectivité intelligente, l</w:t>
      </w:r>
      <w:r w:rsidR="00455787">
        <w:t>’</w:t>
      </w:r>
      <w:r w:rsidRPr="002274DC">
        <w:t>utilisation durable des ressources naturelles, les villes intelligentes et durables, et la mesure et le suivi des ODD.</w:t>
      </w:r>
    </w:p>
    <w:p w14:paraId="485E3CCA" w14:textId="77777777" w:rsidR="004D6315" w:rsidRPr="002274DC" w:rsidRDefault="004D6315" w:rsidP="00AF5984">
      <w:pPr>
        <w:pStyle w:val="SingleTxtG"/>
        <w:keepNext/>
        <w:keepLines/>
      </w:pPr>
      <w:r w:rsidRPr="002274DC">
        <w:lastRenderedPageBreak/>
        <w:t>11.</w:t>
      </w:r>
      <w:r w:rsidRPr="002274DC">
        <w:tab/>
        <w:t>Pour contribuer à promouvoir la viabilité des systèmes de transport intérieur (transports routiers, ferroviaires et par voies de navigation intérieure, et transport intermodal) à l</w:t>
      </w:r>
      <w:r w:rsidR="00455787">
        <w:t>’</w:t>
      </w:r>
      <w:r w:rsidRPr="002274DC">
        <w:t>échelle régionale ou mondiale en les rendant plus sûrs, plus propres, plus efficaces et plus abordables, qu</w:t>
      </w:r>
      <w:r w:rsidR="00455787">
        <w:t>’</w:t>
      </w:r>
      <w:r w:rsidRPr="002274DC">
        <w:t>il s</w:t>
      </w:r>
      <w:r w:rsidR="00455787">
        <w:t>’</w:t>
      </w:r>
      <w:r w:rsidRPr="002274DC">
        <w:t>agisse d</w:t>
      </w:r>
      <w:r w:rsidR="00455787">
        <w:t>’</w:t>
      </w:r>
      <w:r w:rsidRPr="002274DC">
        <w:t xml:space="preserve">assurer le transport de marchandises ou la mobilité personnelle, le sous-programme : </w:t>
      </w:r>
    </w:p>
    <w:p w14:paraId="624EEEBE" w14:textId="77777777" w:rsidR="004D6315" w:rsidRPr="0065280D" w:rsidRDefault="004D6315" w:rsidP="00AF5984">
      <w:pPr>
        <w:pStyle w:val="SingleTxtG"/>
        <w:keepNext/>
        <w:keepLines/>
        <w:ind w:firstLine="567"/>
      </w:pPr>
      <w:r w:rsidRPr="0065280D">
        <w:t>a)</w:t>
      </w:r>
      <w:r w:rsidRPr="0065280D">
        <w:tab/>
        <w:t>Intensifiera les activités normatives et réglementaires du CTI en tant que plateforme des Nations Unies pour les conventions relatives aux transports intérieurs, en veillant à ce qu</w:t>
      </w:r>
      <w:r w:rsidR="00455787">
        <w:t>’</w:t>
      </w:r>
      <w:r w:rsidRPr="0065280D">
        <w:t>elles restent d</w:t>
      </w:r>
      <w:r w:rsidR="00455787">
        <w:t>’</w:t>
      </w:r>
      <w:r w:rsidRPr="0065280D">
        <w:t>actualité et ouvertes à tous les États Membres des Nations</w:t>
      </w:r>
      <w:r w:rsidR="00AF5984">
        <w:t> </w:t>
      </w:r>
      <w:r w:rsidRPr="0065280D">
        <w:t>Unies. Ces activités devraient aider les États à faire des progrès dans la réalisation des objectifs de développement durable, en particulier les objectifs 3, 6, 7, 8, 9, 11, 12 et 13</w:t>
      </w:r>
      <w:r w:rsidR="0065280D">
        <w:t> </w:t>
      </w:r>
      <w:r w:rsidRPr="0065280D">
        <w:t xml:space="preserve">; </w:t>
      </w:r>
    </w:p>
    <w:p w14:paraId="0929D54E" w14:textId="77777777" w:rsidR="004D6315" w:rsidRPr="002274DC" w:rsidRDefault="004D6315" w:rsidP="0065280D">
      <w:pPr>
        <w:pStyle w:val="SingleTxtG"/>
        <w:ind w:firstLine="567"/>
      </w:pPr>
      <w:r w:rsidRPr="002274DC">
        <w:tab/>
        <w:t>b)</w:t>
      </w:r>
      <w:r w:rsidRPr="002274DC">
        <w:tab/>
        <w:t xml:space="preserve">Permettra de </w:t>
      </w:r>
      <w:r>
        <w:t>s</w:t>
      </w:r>
      <w:r w:rsidR="00455787">
        <w:t>’</w:t>
      </w:r>
      <w:r>
        <w:t>assurer</w:t>
      </w:r>
      <w:r w:rsidR="0065280D">
        <w:t> </w:t>
      </w:r>
      <w:r w:rsidRPr="002274DC">
        <w:t xml:space="preserve">: i) que le Comité </w:t>
      </w:r>
      <w:r w:rsidR="009E2CDB">
        <w:t>e</w:t>
      </w:r>
      <w:r>
        <w:t xml:space="preserve">st </w:t>
      </w:r>
      <w:r w:rsidRPr="002274DC">
        <w:t>en phase, dans l</w:t>
      </w:r>
      <w:r w:rsidR="00455787">
        <w:t>’</w:t>
      </w:r>
      <w:r w:rsidRPr="002274DC">
        <w:t>exercice de ses fonctions de réglementation, avec l</w:t>
      </w:r>
      <w:r w:rsidR="00455787">
        <w:t>’</w:t>
      </w:r>
      <w:r w:rsidRPr="002274DC">
        <w:t>évolution des technologies de pointe qui suscitent l</w:t>
      </w:r>
      <w:r w:rsidR="00455787">
        <w:t>’</w:t>
      </w:r>
      <w:r w:rsidRPr="002274DC">
        <w:t xml:space="preserve">innovation dans les transports </w:t>
      </w:r>
      <w:r w:rsidR="0065280D">
        <w:t>−</w:t>
      </w:r>
      <w:r w:rsidRPr="002274DC">
        <w:t xml:space="preserve"> en particulier dans les domaines des systèmes de transport intelligents, des véhicules autonomes et de la numérisation</w:t>
      </w:r>
      <w:r w:rsidR="0065280D">
        <w:t> </w:t>
      </w:r>
      <w:r w:rsidRPr="002274DC">
        <w:t>; ii) que les différents processus d</w:t>
      </w:r>
      <w:r w:rsidR="00455787">
        <w:t>’</w:t>
      </w:r>
      <w:r w:rsidRPr="002274DC">
        <w:t xml:space="preserve">amendement des différentes conventions ne provoquent pas de fragmentation ; </w:t>
      </w:r>
      <w:r>
        <w:t xml:space="preserve">et </w:t>
      </w:r>
      <w:r w:rsidRPr="002274DC">
        <w:t>iii) qu</w:t>
      </w:r>
      <w:r w:rsidR="00455787">
        <w:t>’</w:t>
      </w:r>
      <w:r w:rsidRPr="002274DC">
        <w:t xml:space="preserve">une réglementation trop précoce </w:t>
      </w:r>
      <w:r>
        <w:t xml:space="preserve">ne vienne entraver </w:t>
      </w:r>
      <w:r w:rsidRPr="002274DC">
        <w:t xml:space="preserve">le progrès ; </w:t>
      </w:r>
    </w:p>
    <w:p w14:paraId="24E8C27E" w14:textId="77777777" w:rsidR="004D6315" w:rsidRPr="002274DC" w:rsidRDefault="004D6315" w:rsidP="0065280D">
      <w:pPr>
        <w:pStyle w:val="SingleTxtG"/>
        <w:ind w:firstLine="567"/>
      </w:pPr>
      <w:r w:rsidRPr="002274DC">
        <w:tab/>
        <w:t>c)</w:t>
      </w:r>
      <w:r w:rsidRPr="002274DC">
        <w:tab/>
        <w:t>Constituera une plateforme de concertation pour examiner les nouveaux défis qui se posent dans le domaine des transports intérieurs, ainsi que les propositions visant à améliorer les infrastructures et les pratiques d</w:t>
      </w:r>
      <w:r w:rsidR="00455787">
        <w:t>’</w:t>
      </w:r>
      <w:r w:rsidRPr="002274DC">
        <w:t xml:space="preserve">exploitation, lors de la session annuelle du CTI ; </w:t>
      </w:r>
    </w:p>
    <w:p w14:paraId="107A153F" w14:textId="77777777" w:rsidR="004D6315" w:rsidRPr="002274DC" w:rsidRDefault="004D6315" w:rsidP="0065280D">
      <w:pPr>
        <w:pStyle w:val="SingleTxtG"/>
        <w:ind w:firstLine="567"/>
      </w:pPr>
      <w:r w:rsidRPr="002274DC">
        <w:tab/>
        <w:t>d)</w:t>
      </w:r>
      <w:r w:rsidRPr="002274DC">
        <w:tab/>
        <w:t>Constituera un cadre institutionnel permettant de favoriser la connectivité régionale et interrégionale, en mettant sur pied des initiatives, des accords ou des corridors ou en s</w:t>
      </w:r>
      <w:r w:rsidR="00455787">
        <w:t>’</w:t>
      </w:r>
      <w:r w:rsidRPr="002274DC">
        <w:t>appuyant sur ceux qui existent déjà, ce qui devrait se traduire par des flux transfrontaliers de biens et de personnes plus efficaces.</w:t>
      </w:r>
    </w:p>
    <w:p w14:paraId="368DD194" w14:textId="77777777" w:rsidR="004D6315" w:rsidRPr="002274DC" w:rsidRDefault="004D6315" w:rsidP="0065280D">
      <w:pPr>
        <w:pStyle w:val="SingleTxtG"/>
      </w:pPr>
      <w:r w:rsidRPr="002274DC">
        <w:t>12.</w:t>
      </w:r>
      <w:r w:rsidRPr="002274DC">
        <w:tab/>
        <w:t>Ces mesures devraient permettre d</w:t>
      </w:r>
      <w:r w:rsidR="00455787">
        <w:t>’</w:t>
      </w:r>
      <w:r w:rsidRPr="002274DC">
        <w:t>améliorer les transports intérieurs, ce qui rendra les systèmes plus sûrs, plus propres, plus efficaces et plus abordables pour les principaux bénéficiaires du sous-programme, à savoir les États membres de la CEE et les États Membres de l</w:t>
      </w:r>
      <w:r w:rsidR="00455787">
        <w:t>’</w:t>
      </w:r>
      <w:r w:rsidRPr="002274DC">
        <w:t>ONU qui sont Parties contractantes aux conventions des Nations Unies sur les transports intérieurs.</w:t>
      </w:r>
    </w:p>
    <w:p w14:paraId="79ADDD60" w14:textId="77777777" w:rsidR="004D6315" w:rsidRPr="002274DC" w:rsidRDefault="004D6315" w:rsidP="0065280D">
      <w:pPr>
        <w:pStyle w:val="SingleTxtG"/>
      </w:pPr>
      <w:r w:rsidRPr="002274DC">
        <w:t>13.</w:t>
      </w:r>
      <w:r w:rsidRPr="002274DC">
        <w:tab/>
        <w:t xml:space="preserve">Parmi les résultats obtenus précédemment dans ce domaine, on peut citer le renforcement du cadre réglementaire </w:t>
      </w:r>
      <w:r>
        <w:t>applicable aux</w:t>
      </w:r>
      <w:r w:rsidRPr="002274DC">
        <w:t xml:space="preserve"> systèmes de transport intérieur, </w:t>
      </w:r>
      <w:r>
        <w:t>y</w:t>
      </w:r>
      <w:r w:rsidR="009E2CDB">
        <w:t> </w:t>
      </w:r>
      <w:r>
        <w:t>compris</w:t>
      </w:r>
      <w:r w:rsidR="009E2CDB">
        <w:t> </w:t>
      </w:r>
      <w:r w:rsidRPr="002274DC">
        <w:t>: a) l</w:t>
      </w:r>
      <w:r w:rsidR="00455787">
        <w:t>’</w:t>
      </w:r>
      <w:r w:rsidRPr="002274DC">
        <w:t>adoption de 100 nouveaux règlements ONU relatifs aux véhicules et la mise à jour de règlements existants, au service de l</w:t>
      </w:r>
      <w:r w:rsidR="00455787">
        <w:t>’</w:t>
      </w:r>
      <w:r w:rsidRPr="002274DC">
        <w:t>approche à 360 degrés en matière de sécurité routière adoptée par le CTI, ainsi que l</w:t>
      </w:r>
      <w:r w:rsidR="00455787">
        <w:t>’</w:t>
      </w:r>
      <w:r w:rsidRPr="002274DC">
        <w:t>adoption de deux règlements techniques mondiaux ONU sur les voitures électriques et les deux-roues électriques pour promouvoir la décarbonisation des transports. Ces modifications réglementaires sont juridiquement contraignantes et ont une incidence sur la production mondiale de véhicules. Elles ont ainsi un impact immédiat sur la sécurité routière et les performances environnementales ; b)</w:t>
      </w:r>
      <w:r w:rsidR="00AF5984">
        <w:t> </w:t>
      </w:r>
      <w:r w:rsidRPr="002274DC">
        <w:t>l</w:t>
      </w:r>
      <w:r w:rsidR="00455787">
        <w:t>’</w:t>
      </w:r>
      <w:r w:rsidRPr="002274DC">
        <w:t>adoption de dispositions relatives au transport des marchandises dangereuses pour l</w:t>
      </w:r>
      <w:r w:rsidR="00455787">
        <w:t>’</w:t>
      </w:r>
      <w:r w:rsidRPr="002274DC">
        <w:t>Accord européen relatif au transport international des marchandises dangereuses par voies de navigation intérieures (ADN), qui sont axées sur le renforcement de la protection contre les explosions à bord des bateaux de navigation intérieure ; c) l</w:t>
      </w:r>
      <w:r w:rsidR="00455787">
        <w:t>’</w:t>
      </w:r>
      <w:r w:rsidRPr="002274DC">
        <w:t>adoption d</w:t>
      </w:r>
      <w:r w:rsidR="00455787">
        <w:t>’</w:t>
      </w:r>
      <w:r w:rsidRPr="002274DC">
        <w:t>une série d</w:t>
      </w:r>
      <w:r w:rsidR="00455787">
        <w:t>’</w:t>
      </w:r>
      <w:r w:rsidRPr="002274DC">
        <w:t>amendements à l</w:t>
      </w:r>
      <w:r w:rsidR="00455787">
        <w:t>’</w:t>
      </w:r>
      <w:r w:rsidRPr="002274DC">
        <w:t>Accord européen relatif au transport international des marchandises dangereuses par route (ADR), qui traite des questions nouvelles en rapport avec la sécurité et l</w:t>
      </w:r>
      <w:r w:rsidR="00455787">
        <w:t>’</w:t>
      </w:r>
      <w:r w:rsidRPr="002274DC">
        <w:t>environnement résultant du développement croissant du transport et de l</w:t>
      </w:r>
      <w:r w:rsidR="00455787">
        <w:t>’</w:t>
      </w:r>
      <w:r w:rsidRPr="002274DC">
        <w:t xml:space="preserve">utilisation des piles au lithium et des véhicules fonctionnant avec des carburants moins polluants (tels que le gaz naturel liquéfié ou comprimé ou les piles à hydrogène) ; </w:t>
      </w:r>
      <w:r>
        <w:t xml:space="preserve">et </w:t>
      </w:r>
      <w:r w:rsidRPr="002274DC">
        <w:t>d) l</w:t>
      </w:r>
      <w:r w:rsidR="00455787">
        <w:t>’</w:t>
      </w:r>
      <w:r w:rsidRPr="002274DC">
        <w:t>accélération de l</w:t>
      </w:r>
      <w:r w:rsidR="00455787">
        <w:t>’</w:t>
      </w:r>
      <w:r w:rsidRPr="002274DC">
        <w:t>informatisation du système TIR (transports internationaux routiers), sous l</w:t>
      </w:r>
      <w:r w:rsidR="00455787">
        <w:t>’</w:t>
      </w:r>
      <w:r w:rsidRPr="002274DC">
        <w:t>appellation « eTIR », qui s</w:t>
      </w:r>
      <w:r w:rsidR="00455787">
        <w:t>’</w:t>
      </w:r>
      <w:r w:rsidRPr="002274DC">
        <w:t>est traduite par un attrait accru pour le système dans les pays à croissance rapide et ceux qui s</w:t>
      </w:r>
      <w:r w:rsidR="00455787">
        <w:t>’</w:t>
      </w:r>
      <w:r w:rsidRPr="002274DC">
        <w:t>efforcent de mettre en place une administration sans papier. Les</w:t>
      </w:r>
      <w:r w:rsidR="00AF5984">
        <w:t> </w:t>
      </w:r>
      <w:r w:rsidRPr="002274DC">
        <w:t xml:space="preserve">opérations </w:t>
      </w:r>
      <w:proofErr w:type="spellStart"/>
      <w:r w:rsidRPr="002274DC">
        <w:t>eTIR</w:t>
      </w:r>
      <w:proofErr w:type="spellEnd"/>
      <w:r w:rsidRPr="002274DC">
        <w:t xml:space="preserve"> menées dans le cadre de projets pilotes entre l</w:t>
      </w:r>
      <w:r w:rsidR="00455787">
        <w:t>’</w:t>
      </w:r>
      <w:r w:rsidRPr="002274DC">
        <w:t>Iran et la Turquie ainsi qu</w:t>
      </w:r>
      <w:r w:rsidR="00455787">
        <w:t>’</w:t>
      </w:r>
      <w:r w:rsidRPr="002274DC">
        <w:t>entre la Géorgie et la Turquie ont fourni la preuve du bon fonctionnement du système en temps réel. Le nombre accru d</w:t>
      </w:r>
      <w:r w:rsidR="00455787">
        <w:t>’</w:t>
      </w:r>
      <w:r w:rsidRPr="002274DC">
        <w:t>adhésions de pays d</w:t>
      </w:r>
      <w:r w:rsidR="00455787">
        <w:t>’</w:t>
      </w:r>
      <w:r w:rsidRPr="002274DC">
        <w:t>Asie et du Moyen-Orient à la Convention douanière relative au transport international de marchandises sous le couvert de carnets TIR témoigne de l</w:t>
      </w:r>
      <w:r w:rsidR="00455787">
        <w:t>’</w:t>
      </w:r>
      <w:r w:rsidRPr="002274DC">
        <w:t>efficacité de ces activités. Parmi les dernières parties contractantes figurent la Chine, l</w:t>
      </w:r>
      <w:r w:rsidR="00455787">
        <w:t>’</w:t>
      </w:r>
      <w:r w:rsidRPr="002274DC">
        <w:t>Inde et le Pakistan, qui représentent à eux seuls 40 % de la population mondiale.</w:t>
      </w:r>
    </w:p>
    <w:p w14:paraId="1E129813" w14:textId="77777777" w:rsidR="004D6315" w:rsidRPr="002274DC" w:rsidRDefault="004D6315" w:rsidP="0065280D">
      <w:pPr>
        <w:pStyle w:val="HChG"/>
      </w:pPr>
      <w:r w:rsidRPr="002274DC">
        <w:lastRenderedPageBreak/>
        <w:tab/>
        <w:t>III.</w:t>
      </w:r>
      <w:r w:rsidRPr="002274DC">
        <w:tab/>
        <w:t>Résultats escomptés pour 2021</w:t>
      </w:r>
    </w:p>
    <w:p w14:paraId="4A60CF78" w14:textId="77777777" w:rsidR="004D6315" w:rsidRPr="002274DC" w:rsidRDefault="004D6315" w:rsidP="0065280D">
      <w:pPr>
        <w:pStyle w:val="H1G"/>
      </w:pPr>
      <w:r w:rsidRPr="002274DC">
        <w:tab/>
      </w:r>
      <w:r w:rsidRPr="002274DC">
        <w:tab/>
        <w:t xml:space="preserve">Résultat 1 : Renforcement du cadre réglementaire destiné </w:t>
      </w:r>
      <w:r w:rsidR="00A72DCA">
        <w:br/>
      </w:r>
      <w:r w:rsidRPr="002274DC">
        <w:t xml:space="preserve">à assurer la viabilité des systèmes de transport intérieur </w:t>
      </w:r>
      <w:r w:rsidR="00A72DCA">
        <w:br/>
      </w:r>
      <w:r w:rsidRPr="002274DC">
        <w:t>(reporté du programme de 2020)</w:t>
      </w:r>
    </w:p>
    <w:p w14:paraId="7F03FBC4" w14:textId="0021B74E" w:rsidR="004D6315" w:rsidRPr="002274DC" w:rsidRDefault="004D6315" w:rsidP="0065280D">
      <w:pPr>
        <w:pStyle w:val="SingleTxtG"/>
      </w:pPr>
      <w:r w:rsidRPr="002274DC">
        <w:t>14.</w:t>
      </w:r>
      <w:r w:rsidRPr="002274DC">
        <w:tab/>
      </w:r>
      <w:r>
        <w:t>Dans le cadre</w:t>
      </w:r>
      <w:r w:rsidRPr="002274DC">
        <w:t xml:space="preserve"> du sous-programme, les travaux concernant les instruments juridiques relatifs aux transports se poursuivront conformément au mandat </w:t>
      </w:r>
      <w:r>
        <w:t>convenu</w:t>
      </w:r>
      <w:r w:rsidRPr="002274DC">
        <w:t>, ainsi que l</w:t>
      </w:r>
      <w:r w:rsidR="00455787">
        <w:t>’</w:t>
      </w:r>
      <w:r w:rsidRPr="002274DC">
        <w:t xml:space="preserve">aide aux pays </w:t>
      </w:r>
      <w:r>
        <w:t>souhaitant</w:t>
      </w:r>
      <w:r w:rsidRPr="002274DC">
        <w:t xml:space="preserve"> adhérer aux différents instruments administrés par la CEE</w:t>
      </w:r>
      <w:r>
        <w:t>.</w:t>
      </w:r>
      <w:r w:rsidRPr="002274DC">
        <w:t xml:space="preserve"> </w:t>
      </w:r>
      <w:r>
        <w:t>L</w:t>
      </w:r>
      <w:r w:rsidRPr="002274DC">
        <w:t>a figure 1 ci-dessou</w:t>
      </w:r>
      <w:r>
        <w:t xml:space="preserve">s devrait refléter </w:t>
      </w:r>
      <w:r w:rsidRPr="002274DC">
        <w:t>les résultats de ces travaux</w:t>
      </w:r>
      <w:r>
        <w:t xml:space="preserve"> et activités</w:t>
      </w:r>
      <w:r w:rsidRPr="002274DC">
        <w:t>. Une mesure supplétive est utilisée pour 2020 car, dans sa résolution </w:t>
      </w:r>
      <w:hyperlink r:id="rId8" w:history="1">
        <w:r w:rsidRPr="00A72DCA">
          <w:rPr>
            <w:rStyle w:val="Lienhypertexte"/>
          </w:rPr>
          <w:t>74/251</w:t>
        </w:r>
      </w:hyperlink>
      <w:r w:rsidRPr="002274DC">
        <w:t>, l</w:t>
      </w:r>
      <w:r w:rsidR="00455787">
        <w:t>’</w:t>
      </w:r>
      <w:r w:rsidRPr="002274DC">
        <w:t>Assemblée générale a approuvé un texte explicatif pour les sous-programmes qui ne porte que sur les objectifs.</w:t>
      </w:r>
    </w:p>
    <w:p w14:paraId="56DE91DA" w14:textId="77777777" w:rsidR="004D6315" w:rsidRPr="002274DC" w:rsidRDefault="004D6315" w:rsidP="00F4613B">
      <w:pPr>
        <w:pStyle w:val="Titre1"/>
        <w:spacing w:after="120"/>
        <w:ind w:left="0"/>
      </w:pPr>
      <w:r w:rsidRPr="002274DC">
        <w:t>Figure 1</w:t>
      </w:r>
      <w:r w:rsidRPr="002274DC">
        <w:br/>
      </w:r>
      <w:r w:rsidRPr="00F4613B">
        <w:rPr>
          <w:b/>
          <w:bCs/>
        </w:rPr>
        <w:t>Mesure des résultats : nombre total de Parties contractantes aux instruments juridiques des Nations Unies relatifs aux transports administrés par la Commission économique pour l</w:t>
      </w:r>
      <w:r w:rsidR="00455787">
        <w:rPr>
          <w:b/>
          <w:bCs/>
        </w:rPr>
        <w:t>’</w:t>
      </w:r>
      <w:r w:rsidRPr="00F4613B">
        <w:rPr>
          <w:b/>
          <w:bCs/>
        </w:rPr>
        <w:t>Europe</w:t>
      </w:r>
    </w:p>
    <w:p w14:paraId="338E3795" w14:textId="77777777" w:rsidR="004D6315" w:rsidRPr="002274DC" w:rsidRDefault="004D6315" w:rsidP="004D6315">
      <w:r w:rsidRPr="002274DC">
        <w:rPr>
          <w:noProof/>
        </w:rPr>
        <w:drawing>
          <wp:inline distT="0" distB="0" distL="0" distR="0" wp14:anchorId="479F6567" wp14:editId="4901EAE5">
            <wp:extent cx="5943600" cy="2743200"/>
            <wp:effectExtent l="0" t="0" r="0" b="0"/>
            <wp:docPr id="4" name="Chart 2">
              <a:extLst xmlns:a="http://schemas.openxmlformats.org/drawingml/2006/main">
                <a:ext uri="{FF2B5EF4-FFF2-40B4-BE49-F238E27FC236}">
                  <a16:creationId xmlns:a16="http://schemas.microsoft.com/office/drawing/2014/main" id="{A4A0B984-A635-4DA2-B973-B11C6556D6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1F70B5E" w14:textId="77777777" w:rsidR="004D6315" w:rsidRPr="002274DC" w:rsidRDefault="004D6315" w:rsidP="00CF22C1">
      <w:pPr>
        <w:pStyle w:val="H1G"/>
      </w:pPr>
      <w:r w:rsidRPr="002274DC">
        <w:tab/>
      </w:r>
      <w:r w:rsidRPr="002274DC">
        <w:tab/>
        <w:t xml:space="preserve">Résultat 2: </w:t>
      </w:r>
      <w:r w:rsidRPr="002274DC">
        <w:rPr>
          <w:bCs/>
        </w:rPr>
        <w:t xml:space="preserve">Renforcement du cadre </w:t>
      </w:r>
      <w:r w:rsidRPr="00CF22C1">
        <w:t>réglementaire</w:t>
      </w:r>
      <w:r w:rsidRPr="002274DC">
        <w:rPr>
          <w:bCs/>
        </w:rPr>
        <w:t xml:space="preserve"> destiné à assurer la</w:t>
      </w:r>
      <w:r w:rsidR="00CF22C1">
        <w:rPr>
          <w:bCs/>
        </w:rPr>
        <w:t> </w:t>
      </w:r>
      <w:r w:rsidRPr="002274DC">
        <w:rPr>
          <w:bCs/>
        </w:rPr>
        <w:t xml:space="preserve">viabilité de systèmes de transport intérieur plus sûrs, </w:t>
      </w:r>
      <w:r w:rsidR="00CF22C1">
        <w:rPr>
          <w:bCs/>
        </w:rPr>
        <w:br/>
      </w:r>
      <w:r w:rsidRPr="002274DC">
        <w:rPr>
          <w:bCs/>
        </w:rPr>
        <w:t>plus propres et plus efficaces</w:t>
      </w:r>
      <w:r w:rsidRPr="002274DC">
        <w:t xml:space="preserve"> (nouveau résultat)</w:t>
      </w:r>
    </w:p>
    <w:p w14:paraId="2D7C16DA" w14:textId="77777777" w:rsidR="004D6315" w:rsidRPr="002274DC" w:rsidRDefault="004D6315" w:rsidP="0065280D">
      <w:pPr>
        <w:pStyle w:val="SingleTxtG"/>
      </w:pPr>
      <w:r w:rsidRPr="002274DC">
        <w:t>15.</w:t>
      </w:r>
      <w:r w:rsidRPr="002274DC">
        <w:tab/>
        <w:t xml:space="preserve">Les auteurs du </w:t>
      </w:r>
      <w:r w:rsidRPr="00A72DCA">
        <w:rPr>
          <w:i/>
          <w:iCs/>
        </w:rPr>
        <w:t>Rapport sur les objectifs de développement durable 2017</w:t>
      </w:r>
      <w:r w:rsidRPr="002274DC">
        <w:t xml:space="preserve"> ont estimé que, si des progrès considérables avaient été accomplis au cours de la dernière décennie dans tous les domaines du développement, le rythme des progrès n</w:t>
      </w:r>
      <w:r w:rsidR="00455787">
        <w:t>’</w:t>
      </w:r>
      <w:r w:rsidRPr="002274DC">
        <w:t>était pas suffisant pour atteindre pleinement d</w:t>
      </w:r>
      <w:r w:rsidR="00455787">
        <w:t>’</w:t>
      </w:r>
      <w:r w:rsidRPr="002274DC">
        <w:t>ici à 2030 les cibles définies dans le cadre des objectifs de développement durable. Le cas de la sécurité routière illustre clairement ce point. En 2018, l</w:t>
      </w:r>
      <w:r w:rsidR="00455787">
        <w:t>’</w:t>
      </w:r>
      <w:r w:rsidRPr="002274DC">
        <w:t>Assemblée générale a constaté que la cible 3.6 (diminuer de moitié d</w:t>
      </w:r>
      <w:r w:rsidR="00455787">
        <w:t>’</w:t>
      </w:r>
      <w:r w:rsidRPr="002274DC">
        <w:t>ici à 2020 le nombre de décès et de blessures dus à des accidents de la route dans le monde) ne serait probablement pas atteinte, malgré l</w:t>
      </w:r>
      <w:r w:rsidR="00455787">
        <w:t>’</w:t>
      </w:r>
      <w:r w:rsidRPr="002274DC">
        <w:t>action menée dans le monde entier et les améliorations globalement obtenues dans la région de la CEE.</w:t>
      </w:r>
    </w:p>
    <w:p w14:paraId="0C856CDC" w14:textId="77777777" w:rsidR="004D6315" w:rsidRPr="002274DC" w:rsidRDefault="00CF22C1" w:rsidP="00CF22C1">
      <w:pPr>
        <w:pStyle w:val="H4G"/>
      </w:pPr>
      <w:r>
        <w:tab/>
      </w:r>
      <w:r>
        <w:tab/>
      </w:r>
      <w:r w:rsidR="004D6315" w:rsidRPr="002274DC">
        <w:t>Défis internes</w:t>
      </w:r>
    </w:p>
    <w:p w14:paraId="75ADE838" w14:textId="77777777" w:rsidR="004D6315" w:rsidRPr="002274DC" w:rsidRDefault="004D6315" w:rsidP="0065280D">
      <w:pPr>
        <w:pStyle w:val="SingleTxtG"/>
      </w:pPr>
      <w:r w:rsidRPr="002274DC">
        <w:t>16.</w:t>
      </w:r>
      <w:r w:rsidRPr="002274DC">
        <w:tab/>
        <w:t>Le défi pour le sous-programme</w:t>
      </w:r>
      <w:r>
        <w:t xml:space="preserve"> est</w:t>
      </w:r>
      <w:r w:rsidRPr="002274DC">
        <w:t xml:space="preserve">, comme suite aux demandes formulées conformément aux mandats existants par les États Membres </w:t>
      </w:r>
      <w:r>
        <w:t>de l</w:t>
      </w:r>
      <w:r w:rsidR="00455787">
        <w:t>’</w:t>
      </w:r>
      <w:r>
        <w:t xml:space="preserve">ONU </w:t>
      </w:r>
      <w:r w:rsidRPr="002274DC">
        <w:t>n</w:t>
      </w:r>
      <w:r w:rsidR="00455787">
        <w:t>’</w:t>
      </w:r>
      <w:r w:rsidRPr="002274DC">
        <w:t>appartenant pas à la région de la CEE, de fournir un appui hautement technique sous la forme d</w:t>
      </w:r>
      <w:r w:rsidR="00455787">
        <w:t>’</w:t>
      </w:r>
      <w:r w:rsidRPr="002274DC">
        <w:t>activités de renforcement des capacités de ces États pour leur permettre de mettre en œuvre les conventions des Nations Unies relatives aux transports. Il s</w:t>
      </w:r>
      <w:r w:rsidR="00455787">
        <w:t>’</w:t>
      </w:r>
      <w:r w:rsidRPr="002274DC">
        <w:t>agit, en particulier : a) de réduire le nombre de décès annuels imputables aux accidents de la route, actuellement de 1,35 million dans le monde ; b) d</w:t>
      </w:r>
      <w:r w:rsidR="00455787">
        <w:t>’</w:t>
      </w:r>
      <w:r w:rsidRPr="002274DC">
        <w:t xml:space="preserve">améliorer la performance environnementale des systèmes </w:t>
      </w:r>
      <w:r w:rsidRPr="002274DC">
        <w:lastRenderedPageBreak/>
        <w:t xml:space="preserve">de transport intérieur, y compris dans </w:t>
      </w:r>
      <w:r w:rsidR="00A72DCA">
        <w:t xml:space="preserve">le </w:t>
      </w:r>
      <w:r w:rsidRPr="002274DC">
        <w:t xml:space="preserve">domaine du transport des denrées périssables ; </w:t>
      </w:r>
      <w:r>
        <w:t>et</w:t>
      </w:r>
      <w:r w:rsidR="00A72DCA">
        <w:t> </w:t>
      </w:r>
      <w:r w:rsidRPr="002274DC">
        <w:t>c)</w:t>
      </w:r>
      <w:r w:rsidR="00A72DCA">
        <w:t> </w:t>
      </w:r>
      <w:r w:rsidRPr="002274DC">
        <w:t>de renforcer l</w:t>
      </w:r>
      <w:r w:rsidR="00455787">
        <w:t>’</w:t>
      </w:r>
      <w:r w:rsidRPr="002274DC">
        <w:t>efficacité et la connectivité, notamment grâce à la numérisation et à la dématérialisation de la documentation dans les transports. Pour ce faire, le sous-programme encouragera la participation de pays extérieurs à la région de la CEE aux activités du Comité et de ses organes subsidiaires, et en intensifiant les activités de sensibilisation et de renforcement des capacités, notamment par des partenariats avec des entités du système des Nations Unies et des partenaires extérieurs et la participation aux initiatives régionales et mondiales. Dans le même temps, le sous-programme se heurte à des difficultés en ce qui concerne les ressources humaines et les ressources autres que celles affectées à des postes pour répondre aux nouvelles demandes des États Membres, notamment en ce qui concerne de nouveaux domaines tels que la réglementation des véhicules automatisés/autonomes, la numérisation et les systèmes de transport intelligent, et la nécessité de relever le défi de taille que constitue la sécurité routière, qui exige que le sous-programme renforce ses activités de réglementation internationale et d</w:t>
      </w:r>
      <w:r w:rsidR="00455787">
        <w:t>’</w:t>
      </w:r>
      <w:r w:rsidRPr="002274DC">
        <w:t>assistance aux États Membres de l</w:t>
      </w:r>
      <w:r w:rsidR="00455787">
        <w:t>’</w:t>
      </w:r>
      <w:r w:rsidRPr="002274DC">
        <w:t>ONU en vue de l</w:t>
      </w:r>
      <w:r w:rsidR="00455787">
        <w:t>’</w:t>
      </w:r>
      <w:r w:rsidRPr="002274DC">
        <w:t>application des instruments juridiques des Nations Unies. En outre, il conviendrait que le sous-programme réponde aux besoins croissants de l</w:t>
      </w:r>
      <w:r w:rsidR="00455787">
        <w:t>’</w:t>
      </w:r>
      <w:r w:rsidRPr="002274DC">
        <w:t>Envoyé spécial du Secrétaire général pour la sécurité routière et du Fonds des Nations Unies pour la sécurité routière en leur apportant un appui technique.</w:t>
      </w:r>
    </w:p>
    <w:p w14:paraId="2BB2A44E" w14:textId="77777777" w:rsidR="004D6315" w:rsidRPr="002274DC" w:rsidRDefault="004D6315" w:rsidP="00CF22C1">
      <w:pPr>
        <w:pStyle w:val="H4G"/>
      </w:pPr>
      <w:r w:rsidRPr="002274DC">
        <w:tab/>
      </w:r>
      <w:r w:rsidRPr="002274DC">
        <w:tab/>
        <w:t xml:space="preserve">Progrès obtenus </w:t>
      </w:r>
      <w:r>
        <w:t>en vue de</w:t>
      </w:r>
      <w:r w:rsidRPr="002274DC">
        <w:t xml:space="preserve"> la réalisation de l</w:t>
      </w:r>
      <w:r w:rsidR="00455787">
        <w:t>’</w:t>
      </w:r>
      <w:r w:rsidRPr="002274DC">
        <w:t>objectif et résultats en chiffres</w:t>
      </w:r>
    </w:p>
    <w:p w14:paraId="7F5616D4" w14:textId="77777777" w:rsidR="004D6315" w:rsidRPr="002274DC" w:rsidRDefault="004D6315" w:rsidP="0065280D">
      <w:pPr>
        <w:pStyle w:val="SingleTxtG"/>
      </w:pPr>
      <w:r w:rsidRPr="002274DC">
        <w:t>17.</w:t>
      </w:r>
      <w:r w:rsidRPr="002274DC">
        <w:tab/>
        <w:t>Le sous-programme devrait contribuer à promouvoir la viabilité des systèmes de transport intérieur (transports routiers, ferroviaires et par voies de navigation intérieure, et transport intermodal) à l</w:t>
      </w:r>
      <w:r w:rsidR="00455787">
        <w:t>’</w:t>
      </w:r>
      <w:r w:rsidRPr="002274DC">
        <w:t>échelle régionale ou mondiale en les rendant plus sûrs, plus propres, plus efficaces et plus abordables, qu</w:t>
      </w:r>
      <w:r w:rsidR="00455787">
        <w:t>’</w:t>
      </w:r>
      <w:r w:rsidRPr="002274DC">
        <w:t>il s</w:t>
      </w:r>
      <w:r w:rsidR="00455787">
        <w:t>’</w:t>
      </w:r>
      <w:r w:rsidRPr="002274DC">
        <w:t>agisse d</w:t>
      </w:r>
      <w:r w:rsidR="00455787">
        <w:t>’</w:t>
      </w:r>
      <w:r w:rsidRPr="002274DC">
        <w:t>assurer le transport de marchandises ou la mobilité personnelle. Il a été démontré que les pays comptant le plus grand nombre d</w:t>
      </w:r>
      <w:r w:rsidR="00455787">
        <w:t>’</w:t>
      </w:r>
      <w:r w:rsidRPr="002274DC">
        <w:t>adhésions aux conventions et accords avaient, entre autres, de meilleurs résultats en matière de sécurité routière en raison de la nature juridiquement contraignante de ces instruments juridiques et des pratiques optimales qui les accompagnent. L</w:t>
      </w:r>
      <w:r w:rsidR="00455787">
        <w:t>’</w:t>
      </w:r>
      <w:r w:rsidRPr="002274DC">
        <w:t>ensemble des textes ayant fait l</w:t>
      </w:r>
      <w:r w:rsidR="00455787">
        <w:t>’</w:t>
      </w:r>
      <w:r w:rsidRPr="002274DC">
        <w:t>objet d</w:t>
      </w:r>
      <w:r w:rsidR="00455787">
        <w:t>’</w:t>
      </w:r>
      <w:r w:rsidRPr="002274DC">
        <w:t>une adhésion forme un cadre juridique et réglementaire plus harmonisé aux échelles nationale et internationale, qui contribue à la mise en place de systèmes de transport</w:t>
      </w:r>
      <w:r w:rsidR="00290629">
        <w:t xml:space="preserve"> intérieur</w:t>
      </w:r>
      <w:r w:rsidRPr="002274DC">
        <w:t xml:space="preserve"> viables. Le nombre des Parties contractantes aux instruments juridiques des Nations Unies relevant du sous-programme (1 768) a atteint un niveau respectable et il ne cesse de croître mais il reste insuffisant si l</w:t>
      </w:r>
      <w:r w:rsidR="00455787">
        <w:t>’</w:t>
      </w:r>
      <w:r w:rsidRPr="002274DC">
        <w:t xml:space="preserve">on </w:t>
      </w:r>
      <w:r>
        <w:t>vise</w:t>
      </w:r>
      <w:r w:rsidRPr="002274DC">
        <w:t xml:space="preserve"> une harmonisation plus poussée et une transition vers des systèmes de transports intérieurs viables. Par conséquent, le résultat escompté correspondant à l</w:t>
      </w:r>
      <w:r w:rsidR="00455787">
        <w:t>’</w:t>
      </w:r>
      <w:r w:rsidRPr="002274DC">
        <w:t>accent supplémentaire mis sur les activités menées dans le cadre du sous-programme à l</w:t>
      </w:r>
      <w:r w:rsidR="00455787">
        <w:t>’</w:t>
      </w:r>
      <w:r w:rsidRPr="002274DC">
        <w:t>appui du développement à l</w:t>
      </w:r>
      <w:r w:rsidR="00455787">
        <w:t>’</w:t>
      </w:r>
      <w:r w:rsidRPr="002274DC">
        <w:t>échelle internationale de systèmes de transport intérieur viables sera un renforcement des cadres juridiques et réglementaires visant à assurer la viabilité des transports intérieurs. La contribution du sous-programme à ce résultat sera notamment démontrée par une augmentation du nombre d</w:t>
      </w:r>
      <w:r w:rsidR="00455787">
        <w:t>’</w:t>
      </w:r>
      <w:r w:rsidRPr="002274DC">
        <w:t xml:space="preserve">adhésions aux conventions et accords, en particulier dans les pays extérieurs à la région de la CEE. Comme le montre aussi la figure 20.V, en 2019, 148 États Membres des Nations Unies, dont 92 États non membres de la CEE, étaient Parties contractantes à au moins une convention administrée dans le cadre du sous-programme. En 2018, Cabo Verde et Oman sont devenus Parties contractantes pour la première fois en adhérant, respectivement, aux conventions sur la </w:t>
      </w:r>
      <w:r>
        <w:t xml:space="preserve">sécurité routière </w:t>
      </w:r>
      <w:r w:rsidRPr="002274DC">
        <w:t>et sur la facilitation du passage des frontières. La même année, le Nigéria est devenu Partie contractante à cinq conventions fondamentales des Nations Unies relatives à la sécurité routière. En 2019, le Myanmar est devenu Partie contractante pour la première fois en adhérant à deux des conventions fondamentales relatives à la sécurité routière.</w:t>
      </w:r>
    </w:p>
    <w:p w14:paraId="24B6C2B2" w14:textId="77777777" w:rsidR="004D6315" w:rsidRPr="002274DC" w:rsidRDefault="004D6315" w:rsidP="00F4613B">
      <w:pPr>
        <w:pStyle w:val="Titre1"/>
        <w:spacing w:after="120"/>
        <w:ind w:left="0"/>
      </w:pPr>
      <w:r w:rsidRPr="00F4613B">
        <w:lastRenderedPageBreak/>
        <w:t>Figure</w:t>
      </w:r>
      <w:r w:rsidRPr="002274DC">
        <w:rPr>
          <w:bCs/>
          <w:iCs/>
        </w:rPr>
        <w:t xml:space="preserve"> 2</w:t>
      </w:r>
      <w:r w:rsidRPr="002274DC">
        <w:br/>
      </w:r>
      <w:r w:rsidRPr="002274DC">
        <w:rPr>
          <w:b/>
          <w:bCs/>
          <w:iCs/>
        </w:rPr>
        <w:t>Mesure des résultats : nombre total d</w:t>
      </w:r>
      <w:r w:rsidR="00455787">
        <w:rPr>
          <w:b/>
          <w:bCs/>
          <w:iCs/>
        </w:rPr>
        <w:t>’</w:t>
      </w:r>
      <w:r w:rsidRPr="002274DC">
        <w:rPr>
          <w:b/>
          <w:bCs/>
          <w:iCs/>
        </w:rPr>
        <w:t>États membres de la Commission économique pour l</w:t>
      </w:r>
      <w:r w:rsidR="00455787">
        <w:rPr>
          <w:b/>
          <w:bCs/>
          <w:iCs/>
        </w:rPr>
        <w:t>’</w:t>
      </w:r>
      <w:r w:rsidRPr="002274DC">
        <w:rPr>
          <w:b/>
          <w:bCs/>
          <w:iCs/>
        </w:rPr>
        <w:t>Europe (CEE) et d</w:t>
      </w:r>
      <w:r w:rsidR="00455787">
        <w:rPr>
          <w:b/>
          <w:bCs/>
          <w:iCs/>
        </w:rPr>
        <w:t>’</w:t>
      </w:r>
      <w:r w:rsidRPr="002274DC">
        <w:rPr>
          <w:b/>
          <w:bCs/>
          <w:iCs/>
        </w:rPr>
        <w:t>États Membres de l</w:t>
      </w:r>
      <w:r w:rsidR="00455787">
        <w:rPr>
          <w:b/>
          <w:bCs/>
          <w:iCs/>
        </w:rPr>
        <w:t>’</w:t>
      </w:r>
      <w:r w:rsidRPr="002274DC">
        <w:rPr>
          <w:b/>
          <w:bCs/>
          <w:iCs/>
        </w:rPr>
        <w:t xml:space="preserve">ONU qui sont Parties contractantes aux instruments juridiques des Nations Unies relatifs aux transports administrés par la </w:t>
      </w:r>
      <w:r>
        <w:rPr>
          <w:b/>
          <w:bCs/>
          <w:iCs/>
        </w:rPr>
        <w:t>CEE</w:t>
      </w:r>
    </w:p>
    <w:p w14:paraId="1257EDED" w14:textId="77777777" w:rsidR="004D6315" w:rsidRPr="002274DC" w:rsidRDefault="00081CAD" w:rsidP="004D6315">
      <w:pPr>
        <w:rPr>
          <w:spacing w:val="5"/>
          <w:sz w:val="10"/>
        </w:rPr>
      </w:pPr>
      <w:r>
        <w:rPr>
          <w:noProof/>
          <w:spacing w:val="5"/>
          <w:sz w:val="10"/>
        </w:rPr>
        <mc:AlternateContent>
          <mc:Choice Requires="wps">
            <w:drawing>
              <wp:anchor distT="0" distB="0" distL="114300" distR="114300" simplePos="0" relativeHeight="251661312" behindDoc="0" locked="0" layoutInCell="1" allowOverlap="1" wp14:anchorId="699D4228" wp14:editId="50FFF91C">
                <wp:simplePos x="0" y="0"/>
                <wp:positionH relativeFrom="column">
                  <wp:posOffset>3305810</wp:posOffset>
                </wp:positionH>
                <wp:positionV relativeFrom="paragraph">
                  <wp:posOffset>2381934</wp:posOffset>
                </wp:positionV>
                <wp:extent cx="1525905" cy="147320"/>
                <wp:effectExtent l="0" t="0" r="0" b="5080"/>
                <wp:wrapNone/>
                <wp:docPr id="10" name="Zone de texte 10"/>
                <wp:cNvGraphicFramePr/>
                <a:graphic xmlns:a="http://schemas.openxmlformats.org/drawingml/2006/main">
                  <a:graphicData uri="http://schemas.microsoft.com/office/word/2010/wordprocessingShape">
                    <wps:wsp>
                      <wps:cNvSpPr txBox="1"/>
                      <wps:spPr>
                        <a:xfrm>
                          <a:off x="0" y="0"/>
                          <a:ext cx="1525905" cy="147320"/>
                        </a:xfrm>
                        <a:prstGeom prst="rect">
                          <a:avLst/>
                        </a:prstGeom>
                        <a:noFill/>
                        <a:ln w="6350">
                          <a:noFill/>
                        </a:ln>
                      </wps:spPr>
                      <wps:txbx>
                        <w:txbxContent>
                          <w:p w14:paraId="29C7FDEC" w14:textId="77777777" w:rsidR="00AF5984" w:rsidRPr="00081CAD" w:rsidRDefault="00AF5984" w:rsidP="00081CAD">
                            <w:pPr>
                              <w:rPr>
                                <w:sz w:val="18"/>
                                <w:szCs w:val="18"/>
                              </w:rPr>
                            </w:pPr>
                            <w:r w:rsidRPr="00081CAD">
                              <w:rPr>
                                <w:sz w:val="18"/>
                                <w:szCs w:val="18"/>
                              </w:rPr>
                              <w:t xml:space="preserve">États </w:t>
                            </w:r>
                            <w:r>
                              <w:rPr>
                                <w:sz w:val="18"/>
                                <w:szCs w:val="18"/>
                              </w:rPr>
                              <w:t>M</w:t>
                            </w:r>
                            <w:r w:rsidRPr="00081CAD">
                              <w:rPr>
                                <w:sz w:val="18"/>
                                <w:szCs w:val="18"/>
                              </w:rPr>
                              <w:t>embres de l</w:t>
                            </w:r>
                            <w:r>
                              <w:rPr>
                                <w:sz w:val="18"/>
                                <w:szCs w:val="18"/>
                              </w:rPr>
                              <w:t>’ONU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99D4228" id="_x0000_t202" coordsize="21600,21600" o:spt="202" path="m,l,21600r21600,l21600,xe">
                <v:stroke joinstyle="miter"/>
                <v:path gradientshapeok="t" o:connecttype="rect"/>
              </v:shapetype>
              <v:shape id="Zone de texte 10" o:spid="_x0000_s1026" type="#_x0000_t202" style="position:absolute;margin-left:260.3pt;margin-top:187.55pt;width:120.15pt;height:11.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" filled="f" stroked="f" strokeweight=".5pt">
                <v:textbox inset="0,0,0,0">
                  <w:txbxContent>
                    <w:p w14:paraId="29C7FDEC" w14:textId="77777777" w:rsidR="00AF5984" w:rsidRPr="00081CAD" w:rsidRDefault="00AF5984" w:rsidP="00081CAD">
                      <w:pPr>
                        <w:rPr>
                          <w:sz w:val="18"/>
                          <w:szCs w:val="18"/>
                        </w:rPr>
                      </w:pPr>
                      <w:r w:rsidRPr="00081CAD">
                        <w:rPr>
                          <w:sz w:val="18"/>
                          <w:szCs w:val="18"/>
                        </w:rPr>
                        <w:t xml:space="preserve">États </w:t>
                      </w:r>
                      <w:r>
                        <w:rPr>
                          <w:sz w:val="18"/>
                          <w:szCs w:val="18"/>
                        </w:rPr>
                        <w:t>M</w:t>
                      </w:r>
                      <w:r w:rsidRPr="00081CAD">
                        <w:rPr>
                          <w:sz w:val="18"/>
                          <w:szCs w:val="18"/>
                        </w:rPr>
                        <w:t>embres de l</w:t>
                      </w:r>
                      <w:r>
                        <w:rPr>
                          <w:sz w:val="18"/>
                          <w:szCs w:val="18"/>
                        </w:rPr>
                        <w:t>’ONU</w:t>
                      </w:r>
                    </w:p>
                  </w:txbxContent>
                </v:textbox>
              </v:shape>
            </w:pict>
          </mc:Fallback>
        </mc:AlternateContent>
      </w:r>
      <w:r>
        <w:rPr>
          <w:noProof/>
          <w:spacing w:val="5"/>
          <w:sz w:val="10"/>
        </w:rPr>
        <mc:AlternateContent>
          <mc:Choice Requires="wps">
            <w:drawing>
              <wp:anchor distT="0" distB="0" distL="114300" distR="114300" simplePos="0" relativeHeight="251659264" behindDoc="0" locked="0" layoutInCell="1" allowOverlap="1" wp14:anchorId="07047553" wp14:editId="5115B5F0">
                <wp:simplePos x="0" y="0"/>
                <wp:positionH relativeFrom="column">
                  <wp:posOffset>1543050</wp:posOffset>
                </wp:positionH>
                <wp:positionV relativeFrom="paragraph">
                  <wp:posOffset>2382520</wp:posOffset>
                </wp:positionV>
                <wp:extent cx="1525905" cy="147320"/>
                <wp:effectExtent l="0" t="0" r="0" b="5080"/>
                <wp:wrapNone/>
                <wp:docPr id="9" name="Zone de texte 9"/>
                <wp:cNvGraphicFramePr/>
                <a:graphic xmlns:a="http://schemas.openxmlformats.org/drawingml/2006/main">
                  <a:graphicData uri="http://schemas.microsoft.com/office/word/2010/wordprocessingShape">
                    <wps:wsp>
                      <wps:cNvSpPr txBox="1"/>
                      <wps:spPr>
                        <a:xfrm>
                          <a:off x="0" y="0"/>
                          <a:ext cx="1525905" cy="147320"/>
                        </a:xfrm>
                        <a:prstGeom prst="rect">
                          <a:avLst/>
                        </a:prstGeom>
                        <a:noFill/>
                        <a:ln w="6350">
                          <a:noFill/>
                        </a:ln>
                      </wps:spPr>
                      <wps:txbx>
                        <w:txbxContent>
                          <w:p w14:paraId="5635CBE6" w14:textId="77777777" w:rsidR="00AF5984" w:rsidRPr="00081CAD" w:rsidRDefault="00AF5984">
                            <w:pPr>
                              <w:rPr>
                                <w:sz w:val="18"/>
                                <w:szCs w:val="18"/>
                              </w:rPr>
                            </w:pPr>
                            <w:r w:rsidRPr="00081CAD">
                              <w:rPr>
                                <w:sz w:val="18"/>
                                <w:szCs w:val="18"/>
                              </w:rPr>
                              <w:t>États membres de la CEE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7047553" id="Zone de texte 9" o:spid="_x0000_s1027" type="#_x0000_t202" style="position:absolute;margin-left:121.5pt;margin-top:187.6pt;width:120.15pt;height:11.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" filled="f" stroked="f" strokeweight=".5pt">
                <v:textbox inset="0,0,0,0">
                  <w:txbxContent>
                    <w:p w14:paraId="5635CBE6" w14:textId="77777777" w:rsidR="00AF5984" w:rsidRPr="00081CAD" w:rsidRDefault="00AF5984">
                      <w:pPr>
                        <w:rPr>
                          <w:sz w:val="18"/>
                          <w:szCs w:val="18"/>
                        </w:rPr>
                      </w:pPr>
                      <w:r w:rsidRPr="00081CAD">
                        <w:rPr>
                          <w:sz w:val="18"/>
                          <w:szCs w:val="18"/>
                        </w:rPr>
                        <w:t>États membres de la CEE</w:t>
                      </w:r>
                    </w:p>
                  </w:txbxContent>
                </v:textbox>
              </v:shape>
            </w:pict>
          </mc:Fallback>
        </mc:AlternateContent>
      </w:r>
      <w:r>
        <w:rPr>
          <w:noProof/>
          <w:spacing w:val="5"/>
          <w:sz w:val="10"/>
        </w:rPr>
        <w:drawing>
          <wp:inline distT="0" distB="0" distL="0" distR="0" wp14:anchorId="48F18849" wp14:editId="75063906">
            <wp:extent cx="6120130" cy="265239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7.png"/>
                    <pic:cNvPicPr/>
                  </pic:nvPicPr>
                  <pic:blipFill>
                    <a:blip r:embed="rId10">
                      <a:extLst>
                        <a:ext uri="{28A0092B-C50C-407E-A947-70E740481C1C}">
                          <a14:useLocalDpi xmlns:a14="http://schemas.microsoft.com/office/drawing/2010/main" val="0"/>
                        </a:ext>
                      </a:extLst>
                    </a:blip>
                    <a:stretch>
                      <a:fillRect/>
                    </a:stretch>
                  </pic:blipFill>
                  <pic:spPr>
                    <a:xfrm>
                      <a:off x="0" y="0"/>
                      <a:ext cx="6120130" cy="2652395"/>
                    </a:xfrm>
                    <a:prstGeom prst="rect">
                      <a:avLst/>
                    </a:prstGeom>
                  </pic:spPr>
                </pic:pic>
              </a:graphicData>
            </a:graphic>
          </wp:inline>
        </w:drawing>
      </w:r>
    </w:p>
    <w:p w14:paraId="524F469B" w14:textId="77777777" w:rsidR="004D6315" w:rsidRPr="002274DC" w:rsidRDefault="004D6315" w:rsidP="00081CAD">
      <w:pPr>
        <w:pStyle w:val="HChG"/>
      </w:pPr>
      <w:r w:rsidRPr="002274DC">
        <w:tab/>
        <w:t>IV.</w:t>
      </w:r>
      <w:r w:rsidRPr="002274DC">
        <w:tab/>
        <w:t>Facteurs extérieurs</w:t>
      </w:r>
    </w:p>
    <w:p w14:paraId="46549A46" w14:textId="77777777" w:rsidR="004D6315" w:rsidRPr="002274DC" w:rsidRDefault="004D6315" w:rsidP="0065280D">
      <w:pPr>
        <w:pStyle w:val="SingleTxtG"/>
      </w:pPr>
      <w:r w:rsidRPr="002274DC">
        <w:t>18.</w:t>
      </w:r>
      <w:r w:rsidRPr="002274DC">
        <w:tab/>
        <w:t>Le sous-programme devrait permettre d</w:t>
      </w:r>
      <w:r w:rsidR="00455787">
        <w:t>’</w:t>
      </w:r>
      <w:r w:rsidRPr="002274DC">
        <w:t>atteindre l</w:t>
      </w:r>
      <w:r w:rsidR="00455787">
        <w:t>’</w:t>
      </w:r>
      <w:r w:rsidRPr="002274DC">
        <w:t>objectif visé si les conditions suivantes sont réunies : a) les parties intéressées parviennent à un consensus sur l</w:t>
      </w:r>
      <w:r w:rsidR="00455787">
        <w:t>’</w:t>
      </w:r>
      <w:r w:rsidRPr="002274DC">
        <w:t>actualisation des instruments juridiques existants et l</w:t>
      </w:r>
      <w:r w:rsidR="00455787">
        <w:t>’</w:t>
      </w:r>
      <w:r w:rsidRPr="002274DC">
        <w:t>élaboration de nouveaux instruments ; b) le contexte est favorable à l</w:t>
      </w:r>
      <w:r w:rsidR="00455787">
        <w:t>’</w:t>
      </w:r>
      <w:r w:rsidRPr="002274DC">
        <w:t>adhésion aux conventions des Nations Unies relatives aux transports, ainsi qu</w:t>
      </w:r>
      <w:r w:rsidR="00455787">
        <w:t>’</w:t>
      </w:r>
      <w:r w:rsidRPr="002274DC">
        <w:t>à leur mise en œuvre et à leur application effective à l</w:t>
      </w:r>
      <w:r w:rsidR="00455787">
        <w:t>’</w:t>
      </w:r>
      <w:r w:rsidRPr="002274DC">
        <w:t>échelle nationale ; c) un climat politique stable sur le plan international favorise le développement des infrastructures et réseaux de transport et la facilitation du passage des frontières ; d) il existe une volonté politique de promouvoir la mobilité viable.</w:t>
      </w:r>
    </w:p>
    <w:p w14:paraId="36AF53D6" w14:textId="77777777" w:rsidR="004D6315" w:rsidRPr="002274DC" w:rsidRDefault="004D6315" w:rsidP="00081CAD">
      <w:pPr>
        <w:pStyle w:val="HChG"/>
        <w:rPr>
          <w:highlight w:val="yellow"/>
        </w:rPr>
      </w:pPr>
      <w:r w:rsidRPr="002274DC">
        <w:tab/>
        <w:t>V.</w:t>
      </w:r>
      <w:r w:rsidRPr="002274DC">
        <w:tab/>
        <w:t>Éléments à livrer en 2021</w:t>
      </w:r>
    </w:p>
    <w:p w14:paraId="7F2FFB80" w14:textId="77777777" w:rsidR="004D6315" w:rsidRDefault="004D6315" w:rsidP="0065280D">
      <w:pPr>
        <w:pStyle w:val="SingleTxtG"/>
      </w:pPr>
      <w:r w:rsidRPr="002274DC">
        <w:t>19.</w:t>
      </w:r>
      <w:r w:rsidRPr="002274DC">
        <w:tab/>
        <w:t>Le tableau ci-après énumère, par catégorie et sous-catégorie, tous les éléments à livrer qui contribueront à la réalisation de l</w:t>
      </w:r>
      <w:r w:rsidR="00455787">
        <w:t>’</w:t>
      </w:r>
      <w:r w:rsidRPr="002274DC">
        <w:t>objectif énoncé plus haut.</w:t>
      </w:r>
    </w:p>
    <w:tbl>
      <w:tblPr>
        <w:tblW w:w="9213" w:type="dxa"/>
        <w:tblInd w:w="426" w:type="dxa"/>
        <w:tblLayout w:type="fixed"/>
        <w:tblCellMar>
          <w:left w:w="0" w:type="dxa"/>
          <w:right w:w="0" w:type="dxa"/>
        </w:tblCellMar>
        <w:tblLook w:val="04A0" w:firstRow="1" w:lastRow="0" w:firstColumn="1" w:lastColumn="0" w:noHBand="0" w:noVBand="1"/>
      </w:tblPr>
      <w:tblGrid>
        <w:gridCol w:w="8079"/>
        <w:gridCol w:w="1134"/>
      </w:tblGrid>
      <w:tr w:rsidR="001C62ED" w:rsidRPr="002274DC" w14:paraId="35A641E0" w14:textId="77777777" w:rsidTr="00D13FA3">
        <w:trPr>
          <w:tblHeader/>
        </w:trPr>
        <w:tc>
          <w:tcPr>
            <w:tcW w:w="8079" w:type="dxa"/>
            <w:tcBorders>
              <w:top w:val="single" w:sz="4" w:space="0" w:color="auto"/>
              <w:bottom w:val="single" w:sz="12" w:space="0" w:color="auto"/>
            </w:tcBorders>
            <w:shd w:val="clear" w:color="auto" w:fill="auto"/>
            <w:vAlign w:val="bottom"/>
          </w:tcPr>
          <w:p w14:paraId="6ED057A1" w14:textId="77777777" w:rsidR="001C62ED" w:rsidRPr="002274DC" w:rsidRDefault="001C62ED" w:rsidP="00AF5984">
            <w:pPr>
              <w:keepNext/>
              <w:keepLines/>
              <w:suppressAutoHyphens w:val="0"/>
              <w:spacing w:before="80" w:after="80" w:line="160" w:lineRule="exact"/>
              <w:ind w:right="40"/>
              <w:rPr>
                <w:rFonts w:eastAsia="Calibri"/>
                <w:i/>
                <w:sz w:val="14"/>
                <w:szCs w:val="22"/>
                <w:lang w:eastAsia="zh-CN"/>
              </w:rPr>
            </w:pPr>
            <w:r w:rsidRPr="002274DC">
              <w:rPr>
                <w:rFonts w:eastAsia="Calibri"/>
                <w:i/>
                <w:sz w:val="14"/>
                <w:szCs w:val="22"/>
                <w:lang w:eastAsia="zh-CN"/>
              </w:rPr>
              <w:t>Catégorie et sous-catégorie</w:t>
            </w:r>
          </w:p>
        </w:tc>
        <w:tc>
          <w:tcPr>
            <w:tcW w:w="1134" w:type="dxa"/>
            <w:tcBorders>
              <w:top w:val="single" w:sz="4" w:space="0" w:color="auto"/>
              <w:bottom w:val="single" w:sz="12" w:space="0" w:color="auto"/>
            </w:tcBorders>
            <w:vAlign w:val="bottom"/>
          </w:tcPr>
          <w:p w14:paraId="49BEBEB0" w14:textId="77777777" w:rsidR="001C62ED" w:rsidRPr="002274DC" w:rsidRDefault="001C62ED" w:rsidP="00AF5984">
            <w:pPr>
              <w:keepNext/>
              <w:keepLines/>
              <w:suppressAutoHyphens w:val="0"/>
              <w:spacing w:before="80" w:after="80" w:line="160" w:lineRule="exact"/>
              <w:ind w:left="144" w:right="43"/>
              <w:jc w:val="right"/>
              <w:rPr>
                <w:rFonts w:eastAsia="Calibri"/>
                <w:i/>
                <w:iCs/>
                <w:sz w:val="14"/>
                <w:szCs w:val="14"/>
                <w:lang w:eastAsia="zh-CN"/>
              </w:rPr>
            </w:pPr>
            <w:r>
              <w:rPr>
                <w:rFonts w:eastAsia="Calibri"/>
                <w:i/>
                <w:iCs/>
                <w:sz w:val="14"/>
                <w:szCs w:val="14"/>
                <w:lang w:eastAsia="zh-CN"/>
              </w:rPr>
              <w:t>Éléments p</w:t>
            </w:r>
            <w:r w:rsidRPr="002274DC">
              <w:rPr>
                <w:rFonts w:eastAsia="Calibri"/>
                <w:i/>
                <w:iCs/>
                <w:sz w:val="14"/>
                <w:szCs w:val="14"/>
                <w:lang w:eastAsia="zh-CN"/>
              </w:rPr>
              <w:t xml:space="preserve">révus </w:t>
            </w:r>
            <w:r w:rsidRPr="002274DC">
              <w:rPr>
                <w:rFonts w:eastAsia="Calibri"/>
                <w:i/>
                <w:iCs/>
                <w:sz w:val="14"/>
                <w:szCs w:val="14"/>
                <w:lang w:eastAsia="zh-CN"/>
              </w:rPr>
              <w:br/>
              <w:t>en 2021</w:t>
            </w:r>
          </w:p>
        </w:tc>
      </w:tr>
      <w:tr w:rsidR="001C62ED" w:rsidRPr="002274DC" w14:paraId="059DB82B" w14:textId="77777777" w:rsidTr="00D13FA3">
        <w:trPr>
          <w:trHeight w:hRule="exact" w:val="115"/>
          <w:tblHeader/>
        </w:trPr>
        <w:tc>
          <w:tcPr>
            <w:tcW w:w="8079" w:type="dxa"/>
            <w:tcBorders>
              <w:top w:val="single" w:sz="12" w:space="0" w:color="auto"/>
            </w:tcBorders>
            <w:shd w:val="clear" w:color="auto" w:fill="auto"/>
            <w:vAlign w:val="bottom"/>
          </w:tcPr>
          <w:p w14:paraId="463A0358" w14:textId="77777777" w:rsidR="001C62ED" w:rsidRPr="002274DC" w:rsidRDefault="001C62ED" w:rsidP="00AF5984">
            <w:pPr>
              <w:keepNext/>
              <w:keepLines/>
              <w:suppressAutoHyphens w:val="0"/>
              <w:spacing w:before="40" w:after="40" w:line="210" w:lineRule="exact"/>
              <w:ind w:right="40"/>
              <w:rPr>
                <w:rFonts w:eastAsia="Calibri"/>
                <w:sz w:val="17"/>
                <w:szCs w:val="22"/>
                <w:lang w:eastAsia="zh-CN"/>
              </w:rPr>
            </w:pPr>
          </w:p>
        </w:tc>
        <w:tc>
          <w:tcPr>
            <w:tcW w:w="1134" w:type="dxa"/>
            <w:tcBorders>
              <w:top w:val="single" w:sz="12" w:space="0" w:color="auto"/>
            </w:tcBorders>
            <w:vAlign w:val="bottom"/>
          </w:tcPr>
          <w:p w14:paraId="3A9F200F" w14:textId="77777777" w:rsidR="001C62ED" w:rsidRPr="002274DC" w:rsidRDefault="001C62ED" w:rsidP="00AF5984">
            <w:pPr>
              <w:keepNext/>
              <w:keepLines/>
              <w:suppressAutoHyphens w:val="0"/>
              <w:spacing w:before="40" w:after="40" w:line="210" w:lineRule="exact"/>
              <w:ind w:left="144" w:right="43"/>
              <w:rPr>
                <w:rFonts w:eastAsia="Calibri"/>
                <w:sz w:val="17"/>
                <w:szCs w:val="22"/>
                <w:lang w:eastAsia="zh-CN"/>
              </w:rPr>
            </w:pPr>
          </w:p>
        </w:tc>
      </w:tr>
      <w:tr w:rsidR="001C62ED" w:rsidRPr="002274DC" w14:paraId="2988F701" w14:textId="77777777" w:rsidTr="00D13FA3">
        <w:tc>
          <w:tcPr>
            <w:tcW w:w="8079" w:type="dxa"/>
            <w:shd w:val="clear" w:color="auto" w:fill="auto"/>
            <w:vAlign w:val="bottom"/>
          </w:tcPr>
          <w:p w14:paraId="0EAEFF7F" w14:textId="77777777" w:rsidR="001C62ED" w:rsidRPr="002274DC" w:rsidRDefault="001C62ED" w:rsidP="00AF5984">
            <w:pPr>
              <w:keepNext/>
              <w:keepLines/>
              <w:tabs>
                <w:tab w:val="left" w:pos="288"/>
                <w:tab w:val="left" w:pos="576"/>
                <w:tab w:val="left" w:pos="864"/>
                <w:tab w:val="left" w:pos="1152"/>
              </w:tabs>
              <w:suppressAutoHyphens w:val="0"/>
              <w:spacing w:before="40" w:after="40" w:line="210" w:lineRule="exact"/>
              <w:ind w:right="43"/>
              <w:rPr>
                <w:rFonts w:eastAsia="Calibri"/>
                <w:b/>
                <w:strike/>
                <w:sz w:val="17"/>
                <w:szCs w:val="17"/>
                <w:lang w:eastAsia="zh-CN"/>
              </w:rPr>
            </w:pPr>
            <w:r w:rsidRPr="002274DC">
              <w:rPr>
                <w:rFonts w:eastAsia="Calibri"/>
                <w:b/>
                <w:sz w:val="17"/>
                <w:szCs w:val="17"/>
                <w:lang w:eastAsia="zh-CN"/>
              </w:rPr>
              <w:t>A.</w:t>
            </w:r>
            <w:r w:rsidRPr="002274DC">
              <w:rPr>
                <w:rFonts w:eastAsia="Calibri"/>
                <w:b/>
                <w:sz w:val="17"/>
                <w:szCs w:val="17"/>
                <w:lang w:eastAsia="zh-CN"/>
              </w:rPr>
              <w:tab/>
            </w:r>
            <w:r w:rsidRPr="002274DC">
              <w:rPr>
                <w:rFonts w:eastAsia="Calibri"/>
                <w:b/>
                <w:bCs/>
                <w:sz w:val="17"/>
                <w:szCs w:val="17"/>
                <w:lang w:eastAsia="zh-CN"/>
              </w:rPr>
              <w:t>Facilitation des travaux d</w:t>
            </w:r>
            <w:r w:rsidR="00455787">
              <w:rPr>
                <w:rFonts w:eastAsia="Calibri"/>
                <w:b/>
                <w:bCs/>
                <w:sz w:val="17"/>
                <w:szCs w:val="17"/>
                <w:lang w:eastAsia="zh-CN"/>
              </w:rPr>
              <w:t>’</w:t>
            </w:r>
            <w:r w:rsidRPr="002274DC">
              <w:rPr>
                <w:rFonts w:eastAsia="Calibri"/>
                <w:b/>
                <w:bCs/>
                <w:sz w:val="17"/>
                <w:szCs w:val="17"/>
                <w:lang w:eastAsia="zh-CN"/>
              </w:rPr>
              <w:t>organes intergouvernementaux et d</w:t>
            </w:r>
            <w:r w:rsidR="00455787">
              <w:rPr>
                <w:rFonts w:eastAsia="Calibri"/>
                <w:b/>
                <w:bCs/>
                <w:sz w:val="17"/>
                <w:szCs w:val="17"/>
                <w:lang w:eastAsia="zh-CN"/>
              </w:rPr>
              <w:t>’</w:t>
            </w:r>
            <w:r w:rsidRPr="002274DC">
              <w:rPr>
                <w:rFonts w:eastAsia="Calibri"/>
                <w:b/>
                <w:bCs/>
                <w:sz w:val="17"/>
                <w:szCs w:val="17"/>
                <w:lang w:eastAsia="zh-CN"/>
              </w:rPr>
              <w:t>organes d</w:t>
            </w:r>
            <w:r w:rsidR="00455787">
              <w:rPr>
                <w:rFonts w:eastAsia="Calibri"/>
                <w:b/>
                <w:bCs/>
                <w:sz w:val="17"/>
                <w:szCs w:val="17"/>
                <w:lang w:eastAsia="zh-CN"/>
              </w:rPr>
              <w:t>’</w:t>
            </w:r>
            <w:r w:rsidRPr="002274DC">
              <w:rPr>
                <w:rFonts w:eastAsia="Calibri"/>
                <w:b/>
                <w:bCs/>
                <w:sz w:val="17"/>
                <w:szCs w:val="17"/>
                <w:lang w:eastAsia="zh-CN"/>
              </w:rPr>
              <w:t>experts</w:t>
            </w:r>
          </w:p>
        </w:tc>
        <w:tc>
          <w:tcPr>
            <w:tcW w:w="1134" w:type="dxa"/>
            <w:vAlign w:val="bottom"/>
          </w:tcPr>
          <w:p w14:paraId="6A8C759D" w14:textId="77777777" w:rsidR="001C62ED" w:rsidRPr="002274DC" w:rsidRDefault="001C62ED" w:rsidP="00AF5984">
            <w:pPr>
              <w:keepNext/>
              <w:keepLines/>
              <w:tabs>
                <w:tab w:val="left" w:pos="288"/>
                <w:tab w:val="left" w:pos="576"/>
                <w:tab w:val="left" w:pos="864"/>
                <w:tab w:val="left" w:pos="1152"/>
              </w:tabs>
              <w:suppressAutoHyphens w:val="0"/>
              <w:spacing w:before="40" w:after="40" w:line="210" w:lineRule="exact"/>
              <w:ind w:right="43"/>
              <w:jc w:val="right"/>
              <w:rPr>
                <w:rFonts w:eastAsia="Calibri"/>
                <w:b/>
                <w:sz w:val="17"/>
                <w:szCs w:val="22"/>
                <w:lang w:eastAsia="zh-CN"/>
              </w:rPr>
            </w:pPr>
          </w:p>
        </w:tc>
      </w:tr>
      <w:tr w:rsidR="001C62ED" w:rsidRPr="002274DC" w14:paraId="6400FE27" w14:textId="77777777" w:rsidTr="00D13FA3">
        <w:tc>
          <w:tcPr>
            <w:tcW w:w="8079" w:type="dxa"/>
            <w:shd w:val="clear" w:color="auto" w:fill="auto"/>
            <w:vAlign w:val="bottom"/>
          </w:tcPr>
          <w:p w14:paraId="0678BB95" w14:textId="77777777" w:rsidR="001C62ED" w:rsidRPr="002274DC" w:rsidRDefault="001C62ED" w:rsidP="00AF5984">
            <w:pPr>
              <w:keepNext/>
              <w:keepLines/>
              <w:tabs>
                <w:tab w:val="left" w:pos="288"/>
                <w:tab w:val="left" w:pos="576"/>
                <w:tab w:val="left" w:pos="864"/>
                <w:tab w:val="left" w:pos="1152"/>
              </w:tabs>
              <w:suppressAutoHyphens w:val="0"/>
              <w:spacing w:before="40" w:after="40" w:line="210" w:lineRule="exact"/>
              <w:ind w:right="43"/>
              <w:rPr>
                <w:rFonts w:eastAsia="Calibri"/>
                <w:b/>
                <w:i/>
                <w:strike/>
                <w:sz w:val="17"/>
                <w:szCs w:val="17"/>
                <w:lang w:eastAsia="zh-CN"/>
              </w:rPr>
            </w:pPr>
            <w:r w:rsidRPr="002274DC">
              <w:rPr>
                <w:rFonts w:eastAsia="Calibri"/>
                <w:b/>
                <w:sz w:val="17"/>
                <w:szCs w:val="17"/>
                <w:lang w:eastAsia="zh-CN"/>
              </w:rPr>
              <w:tab/>
            </w:r>
            <w:r w:rsidRPr="002274DC">
              <w:rPr>
                <w:rFonts w:eastAsia="Calibri"/>
                <w:b/>
                <w:bCs/>
                <w:sz w:val="17"/>
                <w:szCs w:val="17"/>
                <w:lang w:eastAsia="zh-CN"/>
              </w:rPr>
              <w:t>Documentation destinée aux organes délibérants</w:t>
            </w:r>
            <w:r w:rsidRPr="002274DC">
              <w:rPr>
                <w:rFonts w:eastAsia="Calibri"/>
                <w:sz w:val="17"/>
                <w:szCs w:val="17"/>
                <w:lang w:eastAsia="zh-CN"/>
              </w:rPr>
              <w:t xml:space="preserve"> (nombre de documents)</w:t>
            </w:r>
          </w:p>
        </w:tc>
        <w:tc>
          <w:tcPr>
            <w:tcW w:w="1134" w:type="dxa"/>
            <w:vAlign w:val="bottom"/>
          </w:tcPr>
          <w:p w14:paraId="60C0EAEA" w14:textId="77777777" w:rsidR="001C62ED" w:rsidRPr="002274DC" w:rsidRDefault="001C62ED" w:rsidP="00AF5984">
            <w:pPr>
              <w:keepNext/>
              <w:keepLines/>
              <w:tabs>
                <w:tab w:val="left" w:pos="288"/>
                <w:tab w:val="left" w:pos="576"/>
                <w:tab w:val="left" w:pos="864"/>
                <w:tab w:val="left" w:pos="1152"/>
              </w:tabs>
              <w:suppressAutoHyphens w:val="0"/>
              <w:spacing w:before="40" w:after="40" w:line="210" w:lineRule="exact"/>
              <w:ind w:right="43"/>
              <w:jc w:val="right"/>
              <w:rPr>
                <w:rFonts w:eastAsia="Calibri"/>
                <w:b/>
                <w:bCs/>
                <w:sz w:val="17"/>
                <w:szCs w:val="22"/>
                <w:lang w:eastAsia="zh-CN"/>
              </w:rPr>
            </w:pPr>
            <w:r w:rsidRPr="002274DC">
              <w:rPr>
                <w:rFonts w:eastAsia="Calibri"/>
                <w:b/>
                <w:bCs/>
                <w:sz w:val="17"/>
                <w:szCs w:val="17"/>
                <w:lang w:eastAsia="zh-CN"/>
              </w:rPr>
              <w:t>1 264</w:t>
            </w:r>
          </w:p>
        </w:tc>
      </w:tr>
      <w:tr w:rsidR="001C62ED" w:rsidRPr="002274DC" w14:paraId="5FF2C2AD" w14:textId="77777777" w:rsidTr="00D13FA3">
        <w:tc>
          <w:tcPr>
            <w:tcW w:w="8079" w:type="dxa"/>
            <w:shd w:val="clear" w:color="auto" w:fill="auto"/>
            <w:vAlign w:val="bottom"/>
          </w:tcPr>
          <w:p w14:paraId="152314A2" w14:textId="77777777" w:rsidR="001C62ED" w:rsidRPr="002274DC" w:rsidRDefault="001C62ED" w:rsidP="00AF5984">
            <w:pPr>
              <w:tabs>
                <w:tab w:val="left" w:pos="284"/>
                <w:tab w:val="left" w:pos="567"/>
                <w:tab w:val="left" w:pos="1152"/>
              </w:tabs>
              <w:suppressAutoHyphens w:val="0"/>
              <w:spacing w:before="40" w:after="40" w:line="210" w:lineRule="exact"/>
              <w:ind w:left="284" w:right="43"/>
              <w:rPr>
                <w:rFonts w:eastAsia="Calibri"/>
                <w:sz w:val="17"/>
                <w:szCs w:val="17"/>
                <w:lang w:eastAsia="zh-CN"/>
              </w:rPr>
            </w:pPr>
            <w:r w:rsidRPr="002274DC">
              <w:rPr>
                <w:rFonts w:eastAsia="Calibri"/>
                <w:sz w:val="17"/>
                <w:szCs w:val="17"/>
                <w:lang w:eastAsia="zh-CN"/>
              </w:rPr>
              <w:t>1.</w:t>
            </w:r>
            <w:r w:rsidRPr="002274DC">
              <w:rPr>
                <w:rFonts w:eastAsia="Calibri"/>
                <w:sz w:val="17"/>
                <w:szCs w:val="17"/>
                <w:lang w:eastAsia="zh-CN"/>
              </w:rPr>
              <w:tab/>
              <w:t>Documentation destinée au Comité des transports intérieurs</w:t>
            </w:r>
          </w:p>
        </w:tc>
        <w:tc>
          <w:tcPr>
            <w:tcW w:w="1134" w:type="dxa"/>
          </w:tcPr>
          <w:p w14:paraId="7DDB44FE"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1 071</w:t>
            </w:r>
          </w:p>
        </w:tc>
      </w:tr>
      <w:tr w:rsidR="001C62ED" w:rsidRPr="002274DC" w14:paraId="27174729" w14:textId="77777777" w:rsidTr="00D13FA3">
        <w:tc>
          <w:tcPr>
            <w:tcW w:w="8079" w:type="dxa"/>
            <w:shd w:val="clear" w:color="auto" w:fill="auto"/>
            <w:vAlign w:val="bottom"/>
          </w:tcPr>
          <w:p w14:paraId="7F23512B" w14:textId="77777777" w:rsidR="001C62ED" w:rsidRPr="002274DC" w:rsidRDefault="001C62ED" w:rsidP="00AF5984">
            <w:pPr>
              <w:tabs>
                <w:tab w:val="left" w:pos="284"/>
                <w:tab w:val="left" w:pos="567"/>
                <w:tab w:val="left" w:pos="870"/>
              </w:tabs>
              <w:suppressAutoHyphens w:val="0"/>
              <w:spacing w:before="40" w:after="40" w:line="210" w:lineRule="exact"/>
              <w:ind w:left="284" w:right="43"/>
              <w:rPr>
                <w:rFonts w:eastAsia="Calibri"/>
                <w:sz w:val="17"/>
                <w:szCs w:val="17"/>
                <w:lang w:eastAsia="zh-CN"/>
              </w:rPr>
            </w:pPr>
            <w:r w:rsidRPr="002274DC">
              <w:rPr>
                <w:rFonts w:eastAsia="Calibri"/>
                <w:sz w:val="17"/>
                <w:szCs w:val="22"/>
                <w:lang w:eastAsia="zh-CN"/>
              </w:rPr>
              <w:tab/>
              <w:t>a.</w:t>
            </w:r>
            <w:r w:rsidRPr="002274DC">
              <w:rPr>
                <w:rFonts w:eastAsia="Calibri"/>
                <w:sz w:val="17"/>
                <w:szCs w:val="22"/>
                <w:lang w:eastAsia="zh-CN"/>
              </w:rPr>
              <w:tab/>
              <w:t>Documentation destinée au Comité des transports intérieurs</w:t>
            </w:r>
          </w:p>
        </w:tc>
        <w:tc>
          <w:tcPr>
            <w:tcW w:w="1134" w:type="dxa"/>
          </w:tcPr>
          <w:p w14:paraId="08EDD529"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31</w:t>
            </w:r>
          </w:p>
        </w:tc>
      </w:tr>
      <w:tr w:rsidR="001C62ED" w:rsidRPr="002274DC" w14:paraId="5A9A37C3" w14:textId="77777777" w:rsidTr="00D13FA3">
        <w:tc>
          <w:tcPr>
            <w:tcW w:w="8079" w:type="dxa"/>
            <w:shd w:val="clear" w:color="auto" w:fill="auto"/>
            <w:vAlign w:val="bottom"/>
          </w:tcPr>
          <w:p w14:paraId="4311AB63" w14:textId="77777777" w:rsidR="001C62ED" w:rsidRPr="002274DC" w:rsidRDefault="001C62ED" w:rsidP="00AF5984">
            <w:pPr>
              <w:tabs>
                <w:tab w:val="left" w:pos="284"/>
                <w:tab w:val="left" w:pos="567"/>
                <w:tab w:val="left" w:pos="870"/>
              </w:tabs>
              <w:suppressAutoHyphens w:val="0"/>
              <w:spacing w:before="40" w:after="40" w:line="210" w:lineRule="exact"/>
              <w:ind w:left="284" w:right="43"/>
              <w:rPr>
                <w:rFonts w:eastAsia="Calibri"/>
                <w:sz w:val="17"/>
                <w:szCs w:val="22"/>
                <w:lang w:eastAsia="zh-CN"/>
              </w:rPr>
            </w:pPr>
            <w:r w:rsidRPr="002274DC">
              <w:rPr>
                <w:rFonts w:eastAsia="Calibri"/>
                <w:sz w:val="17"/>
                <w:szCs w:val="22"/>
                <w:lang w:eastAsia="zh-CN"/>
              </w:rPr>
              <w:tab/>
              <w:t>b.</w:t>
            </w:r>
            <w:r w:rsidRPr="002274DC">
              <w:rPr>
                <w:rFonts w:eastAsia="Calibri"/>
                <w:sz w:val="17"/>
                <w:szCs w:val="22"/>
                <w:lang w:eastAsia="zh-CN"/>
              </w:rPr>
              <w:tab/>
              <w:t>Documentation destinée au Forum mondial de l</w:t>
            </w:r>
            <w:r w:rsidR="00455787">
              <w:rPr>
                <w:rFonts w:eastAsia="Calibri"/>
                <w:sz w:val="17"/>
                <w:szCs w:val="22"/>
                <w:lang w:eastAsia="zh-CN"/>
              </w:rPr>
              <w:t>’</w:t>
            </w:r>
            <w:r w:rsidRPr="002274DC">
              <w:rPr>
                <w:rFonts w:eastAsia="Calibri"/>
                <w:sz w:val="17"/>
                <w:szCs w:val="22"/>
                <w:lang w:eastAsia="zh-CN"/>
              </w:rPr>
              <w:t>harmonisation des Règlements concernant les véhicules</w:t>
            </w:r>
          </w:p>
        </w:tc>
        <w:tc>
          <w:tcPr>
            <w:tcW w:w="1134" w:type="dxa"/>
          </w:tcPr>
          <w:p w14:paraId="17E8D759"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580</w:t>
            </w:r>
          </w:p>
        </w:tc>
      </w:tr>
      <w:tr w:rsidR="001C62ED" w:rsidRPr="002274DC" w14:paraId="54F9EEF1" w14:textId="77777777" w:rsidTr="00D13FA3">
        <w:tc>
          <w:tcPr>
            <w:tcW w:w="8079" w:type="dxa"/>
            <w:shd w:val="clear" w:color="auto" w:fill="auto"/>
            <w:vAlign w:val="bottom"/>
          </w:tcPr>
          <w:p w14:paraId="695A2A26" w14:textId="77777777" w:rsidR="001C62ED" w:rsidRPr="002274DC" w:rsidRDefault="001C62ED" w:rsidP="00AF5984">
            <w:pPr>
              <w:tabs>
                <w:tab w:val="left" w:pos="284"/>
                <w:tab w:val="left" w:pos="567"/>
                <w:tab w:val="left" w:pos="870"/>
              </w:tabs>
              <w:suppressAutoHyphens w:val="0"/>
              <w:spacing w:before="40" w:after="40" w:line="210" w:lineRule="exact"/>
              <w:ind w:left="284" w:right="-142"/>
              <w:rPr>
                <w:rFonts w:eastAsia="Calibri"/>
                <w:sz w:val="17"/>
                <w:szCs w:val="22"/>
                <w:lang w:eastAsia="zh-CN"/>
              </w:rPr>
            </w:pPr>
            <w:r w:rsidRPr="002274DC">
              <w:rPr>
                <w:rFonts w:eastAsia="Calibri"/>
                <w:sz w:val="17"/>
                <w:szCs w:val="22"/>
                <w:lang w:eastAsia="zh-CN"/>
              </w:rPr>
              <w:tab/>
              <w:t>c.</w:t>
            </w:r>
            <w:r w:rsidRPr="002274DC">
              <w:rPr>
                <w:rFonts w:eastAsia="Calibri"/>
                <w:sz w:val="17"/>
                <w:szCs w:val="22"/>
                <w:lang w:eastAsia="zh-CN"/>
              </w:rPr>
              <w:tab/>
              <w:t>Documentation destinée au Groupe de travail du transport des denrées périssables</w:t>
            </w:r>
          </w:p>
        </w:tc>
        <w:tc>
          <w:tcPr>
            <w:tcW w:w="1134" w:type="dxa"/>
          </w:tcPr>
          <w:p w14:paraId="430FECBD"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33</w:t>
            </w:r>
          </w:p>
        </w:tc>
      </w:tr>
      <w:tr w:rsidR="001C62ED" w:rsidRPr="002274DC" w14:paraId="79D5B789" w14:textId="77777777" w:rsidTr="00D13FA3">
        <w:tc>
          <w:tcPr>
            <w:tcW w:w="8079" w:type="dxa"/>
            <w:shd w:val="clear" w:color="auto" w:fill="auto"/>
            <w:vAlign w:val="bottom"/>
          </w:tcPr>
          <w:p w14:paraId="13507D0E" w14:textId="77777777" w:rsidR="001C62ED" w:rsidRPr="002274DC" w:rsidRDefault="001C62ED" w:rsidP="00AF5984">
            <w:pPr>
              <w:tabs>
                <w:tab w:val="left" w:pos="284"/>
                <w:tab w:val="left" w:pos="567"/>
                <w:tab w:val="left" w:pos="870"/>
              </w:tabs>
              <w:suppressAutoHyphens w:val="0"/>
              <w:spacing w:before="40" w:after="40" w:line="210" w:lineRule="exact"/>
              <w:ind w:left="284" w:right="43"/>
              <w:rPr>
                <w:rFonts w:eastAsia="Calibri"/>
                <w:sz w:val="17"/>
                <w:szCs w:val="22"/>
                <w:lang w:eastAsia="zh-CN"/>
              </w:rPr>
            </w:pPr>
            <w:r w:rsidRPr="002274DC">
              <w:rPr>
                <w:rFonts w:eastAsia="Calibri"/>
                <w:sz w:val="17"/>
                <w:szCs w:val="22"/>
                <w:lang w:eastAsia="zh-CN"/>
              </w:rPr>
              <w:tab/>
              <w:t>d.</w:t>
            </w:r>
            <w:r w:rsidRPr="002274DC">
              <w:rPr>
                <w:rFonts w:eastAsia="Calibri"/>
                <w:sz w:val="17"/>
                <w:szCs w:val="22"/>
                <w:lang w:eastAsia="zh-CN"/>
              </w:rPr>
              <w:tab/>
              <w:t>Documentation destinée au Groupe de travail des transports de marchandises dangereuses</w:t>
            </w:r>
          </w:p>
        </w:tc>
        <w:tc>
          <w:tcPr>
            <w:tcW w:w="1134" w:type="dxa"/>
          </w:tcPr>
          <w:p w14:paraId="11DA2BF9"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214</w:t>
            </w:r>
          </w:p>
        </w:tc>
      </w:tr>
      <w:tr w:rsidR="001C62ED" w:rsidRPr="002274DC" w14:paraId="289E29E7" w14:textId="77777777" w:rsidTr="00D13FA3">
        <w:tc>
          <w:tcPr>
            <w:tcW w:w="8079" w:type="dxa"/>
            <w:shd w:val="clear" w:color="auto" w:fill="auto"/>
            <w:vAlign w:val="bottom"/>
          </w:tcPr>
          <w:p w14:paraId="16EEF8EF" w14:textId="77777777" w:rsidR="001C62ED" w:rsidRPr="002274DC" w:rsidRDefault="001C62ED" w:rsidP="00D13FA3">
            <w:pPr>
              <w:tabs>
                <w:tab w:val="left" w:pos="870"/>
              </w:tabs>
              <w:suppressAutoHyphens w:val="0"/>
              <w:kinsoku/>
              <w:overflowPunct/>
              <w:autoSpaceDE/>
              <w:autoSpaceDN/>
              <w:adjustRightInd/>
              <w:snapToGrid/>
              <w:spacing w:before="40" w:after="40" w:line="210" w:lineRule="exact"/>
              <w:ind w:left="851" w:right="43" w:hanging="284"/>
              <w:rPr>
                <w:rFonts w:eastAsia="Calibri"/>
                <w:sz w:val="17"/>
                <w:szCs w:val="22"/>
                <w:lang w:eastAsia="zh-CN"/>
              </w:rPr>
            </w:pPr>
            <w:r w:rsidRPr="002274DC">
              <w:rPr>
                <w:rFonts w:eastAsia="Calibri"/>
                <w:sz w:val="17"/>
                <w:szCs w:val="22"/>
                <w:lang w:eastAsia="zh-CN"/>
              </w:rPr>
              <w:t>e.</w:t>
            </w:r>
            <w:r w:rsidRPr="002274DC">
              <w:rPr>
                <w:rFonts w:eastAsia="Calibri"/>
                <w:sz w:val="17"/>
                <w:szCs w:val="22"/>
                <w:lang w:eastAsia="zh-CN"/>
              </w:rPr>
              <w:tab/>
            </w:r>
            <w:r w:rsidRPr="00D13FA3">
              <w:rPr>
                <w:rFonts w:eastAsia="Calibri"/>
                <w:sz w:val="17"/>
                <w:szCs w:val="22"/>
                <w:lang w:eastAsia="zh-CN"/>
              </w:rPr>
              <w:t>Documentation</w:t>
            </w:r>
            <w:r w:rsidRPr="002274DC">
              <w:rPr>
                <w:rFonts w:eastAsia="Calibri"/>
                <w:sz w:val="17"/>
                <w:szCs w:val="22"/>
                <w:lang w:eastAsia="zh-CN"/>
              </w:rPr>
              <w:t xml:space="preserve"> destinée au Groupe de travail chargé d</w:t>
            </w:r>
            <w:r w:rsidR="00455787">
              <w:rPr>
                <w:rFonts w:eastAsia="Calibri"/>
                <w:sz w:val="17"/>
                <w:szCs w:val="22"/>
                <w:lang w:eastAsia="zh-CN"/>
              </w:rPr>
              <w:t>’</w:t>
            </w:r>
            <w:r w:rsidRPr="002274DC">
              <w:rPr>
                <w:rFonts w:eastAsia="Calibri"/>
                <w:sz w:val="17"/>
                <w:szCs w:val="22"/>
                <w:lang w:eastAsia="zh-CN"/>
              </w:rPr>
              <w:t xml:space="preserve">examiner les tendances </w:t>
            </w:r>
            <w:r w:rsidR="00D13FA3">
              <w:rPr>
                <w:rFonts w:eastAsia="Calibri"/>
                <w:sz w:val="17"/>
                <w:szCs w:val="22"/>
                <w:lang w:eastAsia="zh-CN"/>
              </w:rPr>
              <w:br/>
            </w:r>
            <w:r w:rsidRPr="002274DC">
              <w:rPr>
                <w:rFonts w:eastAsia="Calibri"/>
                <w:sz w:val="17"/>
                <w:szCs w:val="22"/>
                <w:lang w:eastAsia="zh-CN"/>
              </w:rPr>
              <w:t>et l</w:t>
            </w:r>
            <w:r w:rsidR="00455787">
              <w:rPr>
                <w:rFonts w:eastAsia="Calibri"/>
                <w:sz w:val="17"/>
                <w:szCs w:val="22"/>
                <w:lang w:eastAsia="zh-CN"/>
              </w:rPr>
              <w:t>’</w:t>
            </w:r>
            <w:r w:rsidRPr="002274DC">
              <w:rPr>
                <w:rFonts w:eastAsia="Calibri"/>
                <w:sz w:val="17"/>
                <w:szCs w:val="22"/>
                <w:lang w:eastAsia="zh-CN"/>
              </w:rPr>
              <w:t>économie des transports</w:t>
            </w:r>
          </w:p>
        </w:tc>
        <w:tc>
          <w:tcPr>
            <w:tcW w:w="1134" w:type="dxa"/>
          </w:tcPr>
          <w:p w14:paraId="68D0AD88"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20</w:t>
            </w:r>
          </w:p>
        </w:tc>
      </w:tr>
      <w:tr w:rsidR="001C62ED" w:rsidRPr="002274DC" w14:paraId="7E28636D" w14:textId="77777777" w:rsidTr="00D13FA3">
        <w:tc>
          <w:tcPr>
            <w:tcW w:w="8079" w:type="dxa"/>
            <w:shd w:val="clear" w:color="auto" w:fill="auto"/>
            <w:vAlign w:val="bottom"/>
          </w:tcPr>
          <w:p w14:paraId="56BA412F" w14:textId="77777777" w:rsidR="001C62ED" w:rsidRPr="002274DC" w:rsidRDefault="001C62ED" w:rsidP="00AF5984">
            <w:pPr>
              <w:tabs>
                <w:tab w:val="left" w:pos="284"/>
                <w:tab w:val="left" w:pos="567"/>
                <w:tab w:val="left" w:pos="870"/>
              </w:tabs>
              <w:suppressAutoHyphens w:val="0"/>
              <w:spacing w:before="40" w:after="40" w:line="210" w:lineRule="exact"/>
              <w:ind w:left="284" w:right="43"/>
              <w:rPr>
                <w:rFonts w:eastAsia="Calibri"/>
                <w:sz w:val="17"/>
                <w:szCs w:val="22"/>
                <w:lang w:eastAsia="zh-CN"/>
              </w:rPr>
            </w:pPr>
            <w:r w:rsidRPr="002274DC">
              <w:rPr>
                <w:rFonts w:eastAsia="Calibri"/>
                <w:sz w:val="17"/>
                <w:szCs w:val="22"/>
                <w:lang w:eastAsia="zh-CN"/>
              </w:rPr>
              <w:tab/>
              <w:t>f.</w:t>
            </w:r>
            <w:r w:rsidRPr="002274DC">
              <w:rPr>
                <w:rFonts w:eastAsia="Calibri"/>
                <w:sz w:val="17"/>
                <w:szCs w:val="22"/>
                <w:lang w:eastAsia="zh-CN"/>
              </w:rPr>
              <w:tab/>
              <w:t>Documentation destinée au Groupe de travail des statistiques des transports</w:t>
            </w:r>
          </w:p>
        </w:tc>
        <w:tc>
          <w:tcPr>
            <w:tcW w:w="1134" w:type="dxa"/>
          </w:tcPr>
          <w:p w14:paraId="42637FBE"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14</w:t>
            </w:r>
          </w:p>
        </w:tc>
      </w:tr>
      <w:tr w:rsidR="001C62ED" w:rsidRPr="002274DC" w14:paraId="3EDE1F1D" w14:textId="77777777" w:rsidTr="00D13FA3">
        <w:tc>
          <w:tcPr>
            <w:tcW w:w="8079" w:type="dxa"/>
            <w:shd w:val="clear" w:color="auto" w:fill="auto"/>
            <w:vAlign w:val="bottom"/>
          </w:tcPr>
          <w:p w14:paraId="6E7B50C5" w14:textId="77777777" w:rsidR="001C62ED" w:rsidRPr="002274DC" w:rsidRDefault="001C62ED" w:rsidP="00AF5984">
            <w:pPr>
              <w:tabs>
                <w:tab w:val="left" w:pos="284"/>
                <w:tab w:val="left" w:pos="567"/>
                <w:tab w:val="left" w:pos="870"/>
              </w:tabs>
              <w:suppressAutoHyphens w:val="0"/>
              <w:spacing w:before="40" w:after="40" w:line="210" w:lineRule="exact"/>
              <w:ind w:left="284" w:right="43"/>
              <w:rPr>
                <w:rFonts w:eastAsia="Calibri"/>
                <w:sz w:val="17"/>
                <w:szCs w:val="22"/>
                <w:lang w:eastAsia="zh-CN"/>
              </w:rPr>
            </w:pPr>
            <w:r w:rsidRPr="002274DC">
              <w:rPr>
                <w:rFonts w:eastAsia="Calibri"/>
                <w:sz w:val="17"/>
                <w:szCs w:val="22"/>
                <w:lang w:eastAsia="zh-CN"/>
              </w:rPr>
              <w:tab/>
              <w:t>g.</w:t>
            </w:r>
            <w:r w:rsidRPr="002274DC">
              <w:rPr>
                <w:rFonts w:eastAsia="Calibri"/>
                <w:sz w:val="17"/>
                <w:szCs w:val="22"/>
                <w:lang w:eastAsia="zh-CN"/>
              </w:rPr>
              <w:tab/>
              <w:t>Documentation destinée au Groupe de travail des transports routiers</w:t>
            </w:r>
          </w:p>
        </w:tc>
        <w:tc>
          <w:tcPr>
            <w:tcW w:w="1134" w:type="dxa"/>
          </w:tcPr>
          <w:p w14:paraId="0BD67F4B"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10</w:t>
            </w:r>
          </w:p>
        </w:tc>
      </w:tr>
      <w:tr w:rsidR="001C62ED" w:rsidRPr="002274DC" w14:paraId="72B6C508" w14:textId="77777777" w:rsidTr="00D13FA3">
        <w:tc>
          <w:tcPr>
            <w:tcW w:w="8079" w:type="dxa"/>
            <w:shd w:val="clear" w:color="auto" w:fill="auto"/>
            <w:vAlign w:val="bottom"/>
          </w:tcPr>
          <w:p w14:paraId="6A5C5E38" w14:textId="77777777" w:rsidR="001C62ED" w:rsidRPr="002274DC" w:rsidRDefault="001C62ED" w:rsidP="00AF5984">
            <w:pPr>
              <w:tabs>
                <w:tab w:val="left" w:pos="284"/>
                <w:tab w:val="left" w:pos="567"/>
                <w:tab w:val="left" w:pos="870"/>
              </w:tabs>
              <w:suppressAutoHyphens w:val="0"/>
              <w:spacing w:before="40" w:after="40" w:line="210" w:lineRule="exact"/>
              <w:ind w:left="284" w:right="43"/>
              <w:rPr>
                <w:rFonts w:eastAsia="Calibri"/>
                <w:sz w:val="17"/>
                <w:szCs w:val="22"/>
                <w:lang w:eastAsia="zh-CN"/>
              </w:rPr>
            </w:pPr>
            <w:r w:rsidRPr="002274DC">
              <w:rPr>
                <w:rFonts w:eastAsia="Calibri"/>
                <w:sz w:val="17"/>
                <w:szCs w:val="22"/>
                <w:lang w:eastAsia="zh-CN"/>
              </w:rPr>
              <w:tab/>
              <w:t>h.</w:t>
            </w:r>
            <w:r w:rsidRPr="002274DC">
              <w:rPr>
                <w:rFonts w:eastAsia="Calibri"/>
                <w:sz w:val="17"/>
                <w:szCs w:val="22"/>
                <w:lang w:eastAsia="zh-CN"/>
              </w:rPr>
              <w:tab/>
              <w:t>Documentation destinée au Forum mondial de la sécurité routière</w:t>
            </w:r>
          </w:p>
        </w:tc>
        <w:tc>
          <w:tcPr>
            <w:tcW w:w="1134" w:type="dxa"/>
          </w:tcPr>
          <w:p w14:paraId="74977D81"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16</w:t>
            </w:r>
          </w:p>
        </w:tc>
      </w:tr>
      <w:tr w:rsidR="001C62ED" w:rsidRPr="002274DC" w14:paraId="7EFB3CA8" w14:textId="77777777" w:rsidTr="00D13FA3">
        <w:tc>
          <w:tcPr>
            <w:tcW w:w="8079" w:type="dxa"/>
            <w:shd w:val="clear" w:color="auto" w:fill="auto"/>
            <w:vAlign w:val="bottom"/>
          </w:tcPr>
          <w:p w14:paraId="68B1B7D1" w14:textId="77777777" w:rsidR="001C62ED" w:rsidRPr="002274DC" w:rsidRDefault="001C62ED" w:rsidP="00AF5984">
            <w:pPr>
              <w:tabs>
                <w:tab w:val="left" w:pos="284"/>
                <w:tab w:val="left" w:pos="567"/>
                <w:tab w:val="left" w:pos="870"/>
              </w:tabs>
              <w:suppressAutoHyphens w:val="0"/>
              <w:spacing w:before="40" w:after="40" w:line="210" w:lineRule="exact"/>
              <w:ind w:left="284" w:right="43"/>
              <w:rPr>
                <w:rFonts w:eastAsia="Calibri"/>
                <w:sz w:val="17"/>
                <w:szCs w:val="22"/>
                <w:lang w:eastAsia="zh-CN"/>
              </w:rPr>
            </w:pPr>
            <w:r w:rsidRPr="002274DC">
              <w:rPr>
                <w:rFonts w:eastAsia="Calibri"/>
                <w:sz w:val="17"/>
                <w:szCs w:val="22"/>
                <w:lang w:eastAsia="zh-CN"/>
              </w:rPr>
              <w:tab/>
              <w:t>i.</w:t>
            </w:r>
            <w:r w:rsidRPr="002274DC">
              <w:rPr>
                <w:rFonts w:eastAsia="Calibri"/>
                <w:sz w:val="17"/>
                <w:szCs w:val="22"/>
                <w:lang w:eastAsia="zh-CN"/>
              </w:rPr>
              <w:tab/>
              <w:t>Documentation destinée au Groupe de travail des transports par chemin de fer</w:t>
            </w:r>
          </w:p>
        </w:tc>
        <w:tc>
          <w:tcPr>
            <w:tcW w:w="1134" w:type="dxa"/>
          </w:tcPr>
          <w:p w14:paraId="04E5CD22"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26</w:t>
            </w:r>
          </w:p>
        </w:tc>
      </w:tr>
      <w:tr w:rsidR="001C62ED" w:rsidRPr="002274DC" w14:paraId="621BED82" w14:textId="77777777" w:rsidTr="00D13FA3">
        <w:tc>
          <w:tcPr>
            <w:tcW w:w="8079" w:type="dxa"/>
            <w:shd w:val="clear" w:color="auto" w:fill="auto"/>
            <w:vAlign w:val="bottom"/>
          </w:tcPr>
          <w:p w14:paraId="0752F8CA" w14:textId="77777777" w:rsidR="001C62ED" w:rsidRPr="002274DC" w:rsidRDefault="001C62ED" w:rsidP="00AF5984">
            <w:pPr>
              <w:tabs>
                <w:tab w:val="left" w:pos="284"/>
                <w:tab w:val="left" w:pos="567"/>
                <w:tab w:val="left" w:pos="870"/>
              </w:tabs>
              <w:suppressAutoHyphens w:val="0"/>
              <w:spacing w:before="40" w:after="40" w:line="210" w:lineRule="exact"/>
              <w:ind w:left="284" w:right="43"/>
              <w:rPr>
                <w:rFonts w:eastAsia="Calibri"/>
                <w:sz w:val="17"/>
                <w:szCs w:val="22"/>
                <w:lang w:eastAsia="zh-CN"/>
              </w:rPr>
            </w:pPr>
            <w:r w:rsidRPr="002274DC">
              <w:rPr>
                <w:rFonts w:eastAsia="Calibri"/>
                <w:sz w:val="17"/>
                <w:szCs w:val="22"/>
                <w:lang w:eastAsia="zh-CN"/>
              </w:rPr>
              <w:tab/>
              <w:t>j.</w:t>
            </w:r>
            <w:r w:rsidRPr="002274DC">
              <w:rPr>
                <w:rFonts w:eastAsia="Calibri"/>
                <w:sz w:val="17"/>
                <w:szCs w:val="22"/>
                <w:lang w:eastAsia="zh-CN"/>
              </w:rPr>
              <w:tab/>
              <w:t>Documentation destinée au Groupe de travail du transport intermodal et de la logistique</w:t>
            </w:r>
          </w:p>
        </w:tc>
        <w:tc>
          <w:tcPr>
            <w:tcW w:w="1134" w:type="dxa"/>
          </w:tcPr>
          <w:p w14:paraId="151F0553"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15</w:t>
            </w:r>
          </w:p>
        </w:tc>
      </w:tr>
      <w:tr w:rsidR="001C62ED" w:rsidRPr="002274DC" w14:paraId="0B38077C" w14:textId="77777777" w:rsidTr="00D13FA3">
        <w:tc>
          <w:tcPr>
            <w:tcW w:w="8079" w:type="dxa"/>
            <w:shd w:val="clear" w:color="auto" w:fill="auto"/>
            <w:vAlign w:val="bottom"/>
          </w:tcPr>
          <w:p w14:paraId="64738272" w14:textId="77777777" w:rsidR="001C62ED" w:rsidRPr="002274DC" w:rsidRDefault="001C62ED" w:rsidP="00AF5984">
            <w:pPr>
              <w:tabs>
                <w:tab w:val="left" w:pos="284"/>
                <w:tab w:val="left" w:pos="567"/>
                <w:tab w:val="left" w:pos="870"/>
              </w:tabs>
              <w:suppressAutoHyphens w:val="0"/>
              <w:spacing w:before="40" w:after="40" w:line="210" w:lineRule="exact"/>
              <w:ind w:left="284" w:right="43"/>
              <w:rPr>
                <w:rFonts w:eastAsia="Calibri"/>
                <w:sz w:val="17"/>
                <w:szCs w:val="22"/>
                <w:lang w:eastAsia="zh-CN"/>
              </w:rPr>
            </w:pPr>
            <w:r w:rsidRPr="002274DC">
              <w:rPr>
                <w:rFonts w:eastAsia="Calibri"/>
                <w:sz w:val="17"/>
                <w:szCs w:val="22"/>
                <w:lang w:eastAsia="zh-CN"/>
              </w:rPr>
              <w:lastRenderedPageBreak/>
              <w:tab/>
              <w:t>k.</w:t>
            </w:r>
            <w:r w:rsidRPr="002274DC">
              <w:rPr>
                <w:rFonts w:eastAsia="Calibri"/>
                <w:sz w:val="17"/>
                <w:szCs w:val="22"/>
                <w:lang w:eastAsia="zh-CN"/>
              </w:rPr>
              <w:tab/>
              <w:t>Documentation destinée au Groupe de travail des transports par voie navigable</w:t>
            </w:r>
          </w:p>
        </w:tc>
        <w:tc>
          <w:tcPr>
            <w:tcW w:w="1134" w:type="dxa"/>
          </w:tcPr>
          <w:p w14:paraId="3E6030AC"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41</w:t>
            </w:r>
          </w:p>
        </w:tc>
      </w:tr>
      <w:tr w:rsidR="001C62ED" w:rsidRPr="002274DC" w14:paraId="2E426D5F" w14:textId="77777777" w:rsidTr="00D13FA3">
        <w:tc>
          <w:tcPr>
            <w:tcW w:w="8079" w:type="dxa"/>
            <w:shd w:val="clear" w:color="auto" w:fill="auto"/>
            <w:vAlign w:val="bottom"/>
          </w:tcPr>
          <w:p w14:paraId="7F83E115" w14:textId="77777777" w:rsidR="001C62ED" w:rsidRPr="002274DC" w:rsidRDefault="001C62ED" w:rsidP="00AF5984">
            <w:pPr>
              <w:tabs>
                <w:tab w:val="left" w:pos="284"/>
                <w:tab w:val="left" w:pos="567"/>
                <w:tab w:val="left" w:pos="870"/>
              </w:tabs>
              <w:suppressAutoHyphens w:val="0"/>
              <w:spacing w:before="40" w:after="40" w:line="210" w:lineRule="exact"/>
              <w:ind w:left="284" w:right="43"/>
              <w:rPr>
                <w:rFonts w:eastAsia="Calibri"/>
                <w:sz w:val="17"/>
                <w:szCs w:val="22"/>
                <w:lang w:eastAsia="zh-CN"/>
              </w:rPr>
            </w:pPr>
            <w:r w:rsidRPr="002274DC">
              <w:rPr>
                <w:rFonts w:eastAsia="Calibri"/>
                <w:sz w:val="17"/>
                <w:szCs w:val="22"/>
                <w:lang w:eastAsia="zh-CN"/>
              </w:rPr>
              <w:tab/>
              <w:t>l.</w:t>
            </w:r>
            <w:r w:rsidRPr="002274DC">
              <w:rPr>
                <w:rFonts w:eastAsia="Calibri"/>
                <w:sz w:val="17"/>
                <w:szCs w:val="22"/>
                <w:lang w:eastAsia="zh-CN"/>
              </w:rPr>
              <w:tab/>
              <w:t>Documentation destinée au Groupe de travail des problèmes douaniers intéressant les transports</w:t>
            </w:r>
          </w:p>
        </w:tc>
        <w:tc>
          <w:tcPr>
            <w:tcW w:w="1134" w:type="dxa"/>
          </w:tcPr>
          <w:p w14:paraId="015ED5F3"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71</w:t>
            </w:r>
          </w:p>
        </w:tc>
      </w:tr>
      <w:tr w:rsidR="001C62ED" w:rsidRPr="002274DC" w14:paraId="3A240A84" w14:textId="77777777" w:rsidTr="00D13FA3">
        <w:tc>
          <w:tcPr>
            <w:tcW w:w="8079" w:type="dxa"/>
            <w:shd w:val="clear" w:color="auto" w:fill="auto"/>
            <w:vAlign w:val="bottom"/>
          </w:tcPr>
          <w:p w14:paraId="456AA1CA" w14:textId="77777777" w:rsidR="001C62ED" w:rsidRPr="002274DC" w:rsidRDefault="001C62ED" w:rsidP="00AF5984">
            <w:pPr>
              <w:tabs>
                <w:tab w:val="left" w:pos="567"/>
                <w:tab w:val="left" w:pos="707"/>
                <w:tab w:val="left" w:pos="1152"/>
              </w:tabs>
              <w:suppressAutoHyphens w:val="0"/>
              <w:spacing w:before="40" w:after="40" w:line="210" w:lineRule="exact"/>
              <w:ind w:left="284" w:right="43"/>
              <w:rPr>
                <w:rFonts w:eastAsia="Calibri"/>
                <w:sz w:val="17"/>
                <w:szCs w:val="22"/>
                <w:lang w:eastAsia="zh-CN"/>
              </w:rPr>
            </w:pPr>
            <w:r w:rsidRPr="002274DC">
              <w:rPr>
                <w:rFonts w:eastAsia="Calibri"/>
                <w:sz w:val="17"/>
                <w:szCs w:val="22"/>
                <w:lang w:eastAsia="zh-CN"/>
              </w:rPr>
              <w:t>2.</w:t>
            </w:r>
            <w:r w:rsidRPr="002274DC">
              <w:rPr>
                <w:rFonts w:eastAsia="Calibri"/>
                <w:sz w:val="17"/>
                <w:szCs w:val="22"/>
                <w:lang w:eastAsia="zh-CN"/>
              </w:rPr>
              <w:tab/>
              <w:t>Documentation destinée au Conseil économique et social</w:t>
            </w:r>
          </w:p>
        </w:tc>
        <w:tc>
          <w:tcPr>
            <w:tcW w:w="1134" w:type="dxa"/>
          </w:tcPr>
          <w:p w14:paraId="26CDA447"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190</w:t>
            </w:r>
          </w:p>
        </w:tc>
      </w:tr>
      <w:tr w:rsidR="001C62ED" w:rsidRPr="002274DC" w14:paraId="0DDC6081" w14:textId="77777777" w:rsidTr="00D13FA3">
        <w:tc>
          <w:tcPr>
            <w:tcW w:w="8079" w:type="dxa"/>
            <w:shd w:val="clear" w:color="auto" w:fill="auto"/>
            <w:vAlign w:val="bottom"/>
          </w:tcPr>
          <w:p w14:paraId="13B431D0" w14:textId="77777777" w:rsidR="001C62ED" w:rsidRPr="002274DC" w:rsidRDefault="001C62ED" w:rsidP="001C62ED">
            <w:pPr>
              <w:numPr>
                <w:ilvl w:val="1"/>
                <w:numId w:val="27"/>
              </w:numPr>
              <w:tabs>
                <w:tab w:val="left" w:pos="851"/>
              </w:tabs>
              <w:suppressAutoHyphens w:val="0"/>
              <w:kinsoku/>
              <w:overflowPunct/>
              <w:autoSpaceDE/>
              <w:autoSpaceDN/>
              <w:adjustRightInd/>
              <w:snapToGrid/>
              <w:spacing w:before="40" w:after="40" w:line="210" w:lineRule="exact"/>
              <w:ind w:left="851" w:right="43" w:hanging="284"/>
              <w:rPr>
                <w:rFonts w:eastAsia="Calibri"/>
                <w:sz w:val="17"/>
                <w:szCs w:val="22"/>
                <w:lang w:eastAsia="zh-CN"/>
              </w:rPr>
            </w:pPr>
            <w:r w:rsidRPr="002274DC">
              <w:rPr>
                <w:rFonts w:eastAsia="Calibri"/>
                <w:sz w:val="17"/>
                <w:szCs w:val="22"/>
                <w:lang w:eastAsia="zh-CN"/>
              </w:rPr>
              <w:t>Documentation destinée au Comité d</w:t>
            </w:r>
            <w:r w:rsidR="00455787">
              <w:rPr>
                <w:rFonts w:eastAsia="Calibri"/>
                <w:sz w:val="17"/>
                <w:szCs w:val="22"/>
                <w:lang w:eastAsia="zh-CN"/>
              </w:rPr>
              <w:t>’</w:t>
            </w:r>
            <w:r w:rsidRPr="002274DC">
              <w:rPr>
                <w:rFonts w:eastAsia="Calibri"/>
                <w:sz w:val="17"/>
                <w:szCs w:val="22"/>
                <w:lang w:eastAsia="zh-CN"/>
              </w:rPr>
              <w:t>experts du transport des marchandises dangereuses et du système général harmonisé de classement et d</w:t>
            </w:r>
            <w:r w:rsidR="00455787">
              <w:rPr>
                <w:rFonts w:eastAsia="Calibri"/>
                <w:sz w:val="17"/>
                <w:szCs w:val="22"/>
                <w:lang w:eastAsia="zh-CN"/>
              </w:rPr>
              <w:t>’</w:t>
            </w:r>
            <w:r w:rsidRPr="002274DC">
              <w:rPr>
                <w:rFonts w:eastAsia="Calibri"/>
                <w:sz w:val="17"/>
                <w:szCs w:val="22"/>
                <w:lang w:eastAsia="zh-CN"/>
              </w:rPr>
              <w:t>étiquetage des produits chimiques du Conseil économique et social</w:t>
            </w:r>
          </w:p>
        </w:tc>
        <w:tc>
          <w:tcPr>
            <w:tcW w:w="1134" w:type="dxa"/>
            <w:vAlign w:val="bottom"/>
          </w:tcPr>
          <w:p w14:paraId="02E7B376"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1</w:t>
            </w:r>
          </w:p>
        </w:tc>
      </w:tr>
      <w:tr w:rsidR="001C62ED" w:rsidRPr="002274DC" w14:paraId="3F958AB1" w14:textId="77777777" w:rsidTr="00D13FA3">
        <w:tc>
          <w:tcPr>
            <w:tcW w:w="8079" w:type="dxa"/>
            <w:shd w:val="clear" w:color="auto" w:fill="auto"/>
            <w:vAlign w:val="bottom"/>
          </w:tcPr>
          <w:p w14:paraId="5A6EF5E7" w14:textId="77777777" w:rsidR="001C62ED" w:rsidRPr="002274DC" w:rsidRDefault="001C62ED" w:rsidP="00AF5984">
            <w:pPr>
              <w:tabs>
                <w:tab w:val="left" w:pos="570"/>
                <w:tab w:val="left" w:pos="873"/>
              </w:tabs>
              <w:suppressAutoHyphens w:val="0"/>
              <w:spacing w:before="40" w:after="40" w:line="210" w:lineRule="exact"/>
              <w:ind w:right="43"/>
              <w:rPr>
                <w:rFonts w:eastAsia="Calibri"/>
                <w:sz w:val="17"/>
                <w:szCs w:val="22"/>
                <w:lang w:eastAsia="zh-CN"/>
              </w:rPr>
            </w:pPr>
            <w:r w:rsidRPr="002274DC">
              <w:rPr>
                <w:rFonts w:eastAsia="Calibri"/>
                <w:sz w:val="17"/>
                <w:szCs w:val="22"/>
                <w:lang w:eastAsia="zh-CN"/>
              </w:rPr>
              <w:tab/>
              <w:t>b.</w:t>
            </w:r>
            <w:r w:rsidRPr="002274DC">
              <w:rPr>
                <w:rFonts w:eastAsia="Calibri"/>
                <w:sz w:val="17"/>
                <w:szCs w:val="22"/>
                <w:lang w:eastAsia="zh-CN"/>
              </w:rPr>
              <w:tab/>
              <w:t>Documentation destinée au Sous-Comité d</w:t>
            </w:r>
            <w:r w:rsidR="00455787">
              <w:rPr>
                <w:rFonts w:eastAsia="Calibri"/>
                <w:sz w:val="17"/>
                <w:szCs w:val="22"/>
                <w:lang w:eastAsia="zh-CN"/>
              </w:rPr>
              <w:t>’</w:t>
            </w:r>
            <w:r w:rsidRPr="002274DC">
              <w:rPr>
                <w:rFonts w:eastAsia="Calibri"/>
                <w:sz w:val="17"/>
                <w:szCs w:val="22"/>
                <w:lang w:eastAsia="zh-CN"/>
              </w:rPr>
              <w:t>experts du transport des marchandises dangereuses</w:t>
            </w:r>
          </w:p>
        </w:tc>
        <w:tc>
          <w:tcPr>
            <w:tcW w:w="1134" w:type="dxa"/>
            <w:vAlign w:val="bottom"/>
          </w:tcPr>
          <w:p w14:paraId="6DDC82DF"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157</w:t>
            </w:r>
          </w:p>
        </w:tc>
      </w:tr>
      <w:tr w:rsidR="001C62ED" w:rsidRPr="002274DC" w14:paraId="1C40EFCA" w14:textId="77777777" w:rsidTr="00D13FA3">
        <w:tc>
          <w:tcPr>
            <w:tcW w:w="8079" w:type="dxa"/>
            <w:shd w:val="clear" w:color="auto" w:fill="auto"/>
            <w:vAlign w:val="bottom"/>
          </w:tcPr>
          <w:p w14:paraId="66F66E82" w14:textId="77777777" w:rsidR="001C62ED" w:rsidRPr="002274DC" w:rsidRDefault="001C62ED" w:rsidP="00AF5984">
            <w:pPr>
              <w:tabs>
                <w:tab w:val="left" w:pos="851"/>
              </w:tabs>
              <w:suppressAutoHyphens w:val="0"/>
              <w:spacing w:before="40" w:after="40" w:line="210" w:lineRule="exact"/>
              <w:ind w:left="851" w:right="43" w:hanging="284"/>
              <w:rPr>
                <w:rFonts w:eastAsia="Calibri"/>
                <w:sz w:val="17"/>
                <w:szCs w:val="22"/>
                <w:lang w:eastAsia="zh-CN"/>
              </w:rPr>
            </w:pPr>
            <w:r w:rsidRPr="002274DC">
              <w:rPr>
                <w:rFonts w:eastAsia="Calibri"/>
                <w:sz w:val="17"/>
                <w:szCs w:val="22"/>
                <w:lang w:eastAsia="zh-CN"/>
              </w:rPr>
              <w:t>c.</w:t>
            </w:r>
            <w:r w:rsidRPr="002274DC">
              <w:rPr>
                <w:rFonts w:eastAsia="Calibri"/>
                <w:sz w:val="17"/>
                <w:szCs w:val="22"/>
                <w:lang w:eastAsia="zh-CN"/>
              </w:rPr>
              <w:tab/>
              <w:t>Documentation destinée au Sous-comité d</w:t>
            </w:r>
            <w:r w:rsidR="00455787">
              <w:rPr>
                <w:rFonts w:eastAsia="Calibri"/>
                <w:sz w:val="17"/>
                <w:szCs w:val="22"/>
                <w:lang w:eastAsia="zh-CN"/>
              </w:rPr>
              <w:t>’</w:t>
            </w:r>
            <w:r w:rsidRPr="002274DC">
              <w:rPr>
                <w:rFonts w:eastAsia="Calibri"/>
                <w:sz w:val="17"/>
                <w:szCs w:val="22"/>
                <w:lang w:eastAsia="zh-CN"/>
              </w:rPr>
              <w:t>experts du Système général harmonisé de classification et d</w:t>
            </w:r>
            <w:r w:rsidR="00455787">
              <w:rPr>
                <w:rFonts w:eastAsia="Calibri"/>
                <w:sz w:val="17"/>
                <w:szCs w:val="22"/>
                <w:lang w:eastAsia="zh-CN"/>
              </w:rPr>
              <w:t>’</w:t>
            </w:r>
            <w:r w:rsidRPr="002274DC">
              <w:rPr>
                <w:rFonts w:eastAsia="Calibri"/>
                <w:sz w:val="17"/>
                <w:szCs w:val="22"/>
                <w:lang w:eastAsia="zh-CN"/>
              </w:rPr>
              <w:t>étiquetage des produits chimiques</w:t>
            </w:r>
          </w:p>
        </w:tc>
        <w:tc>
          <w:tcPr>
            <w:tcW w:w="1134" w:type="dxa"/>
            <w:vAlign w:val="bottom"/>
          </w:tcPr>
          <w:p w14:paraId="16FA52A3"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32</w:t>
            </w:r>
          </w:p>
        </w:tc>
      </w:tr>
      <w:tr w:rsidR="001C62ED" w:rsidRPr="002274DC" w14:paraId="36F466D9" w14:textId="77777777" w:rsidTr="00D13FA3">
        <w:tc>
          <w:tcPr>
            <w:tcW w:w="8079" w:type="dxa"/>
            <w:shd w:val="clear" w:color="auto" w:fill="auto"/>
            <w:vAlign w:val="bottom"/>
          </w:tcPr>
          <w:p w14:paraId="023BD12F" w14:textId="77777777" w:rsidR="001C62ED" w:rsidRPr="002274DC" w:rsidRDefault="001C62ED" w:rsidP="00AF5984">
            <w:pPr>
              <w:tabs>
                <w:tab w:val="left" w:pos="270"/>
              </w:tabs>
              <w:suppressAutoHyphens w:val="0"/>
              <w:spacing w:before="40" w:after="40" w:line="210" w:lineRule="exact"/>
              <w:ind w:left="585" w:right="43" w:hanging="950"/>
              <w:rPr>
                <w:rFonts w:eastAsia="Calibri"/>
                <w:sz w:val="17"/>
                <w:szCs w:val="22"/>
                <w:lang w:eastAsia="zh-CN"/>
              </w:rPr>
            </w:pPr>
            <w:r w:rsidRPr="002274DC">
              <w:rPr>
                <w:rFonts w:eastAsia="Calibri"/>
                <w:sz w:val="17"/>
                <w:szCs w:val="22"/>
                <w:lang w:eastAsia="zh-CN"/>
              </w:rPr>
              <w:tab/>
              <w:t>3.</w:t>
            </w:r>
            <w:r w:rsidRPr="002274DC">
              <w:rPr>
                <w:rFonts w:eastAsia="Calibri"/>
                <w:sz w:val="17"/>
                <w:szCs w:val="22"/>
                <w:lang w:eastAsia="zh-CN"/>
              </w:rPr>
              <w:tab/>
              <w:t>Documentation destinée à la Réunion de haut niveau sur les transports, la santé et l</w:t>
            </w:r>
            <w:r w:rsidR="00455787">
              <w:rPr>
                <w:rFonts w:eastAsia="Calibri"/>
                <w:sz w:val="17"/>
                <w:szCs w:val="22"/>
                <w:lang w:eastAsia="zh-CN"/>
              </w:rPr>
              <w:t>’</w:t>
            </w:r>
            <w:r w:rsidRPr="002274DC">
              <w:rPr>
                <w:rFonts w:eastAsia="Calibri"/>
                <w:sz w:val="17"/>
                <w:szCs w:val="22"/>
                <w:lang w:eastAsia="zh-CN"/>
              </w:rPr>
              <w:t>environnement</w:t>
            </w:r>
          </w:p>
        </w:tc>
        <w:tc>
          <w:tcPr>
            <w:tcW w:w="1134" w:type="dxa"/>
            <w:vAlign w:val="bottom"/>
          </w:tcPr>
          <w:p w14:paraId="4BD49F69"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3</w:t>
            </w:r>
          </w:p>
        </w:tc>
      </w:tr>
      <w:tr w:rsidR="001C62ED" w:rsidRPr="002274DC" w14:paraId="16C2CA78" w14:textId="77777777" w:rsidTr="00D13FA3">
        <w:tc>
          <w:tcPr>
            <w:tcW w:w="8079" w:type="dxa"/>
            <w:shd w:val="clear" w:color="auto" w:fill="auto"/>
            <w:vAlign w:val="bottom"/>
          </w:tcPr>
          <w:p w14:paraId="591A6C4C" w14:textId="77777777" w:rsidR="001C62ED" w:rsidRPr="002274DC" w:rsidRDefault="001C62ED" w:rsidP="00AF5984">
            <w:pPr>
              <w:tabs>
                <w:tab w:val="left" w:pos="297"/>
              </w:tabs>
              <w:suppressAutoHyphens w:val="0"/>
              <w:spacing w:before="40" w:after="40" w:line="210" w:lineRule="exact"/>
              <w:ind w:right="43"/>
              <w:rPr>
                <w:rFonts w:eastAsia="Calibri"/>
                <w:sz w:val="17"/>
                <w:szCs w:val="22"/>
                <w:lang w:eastAsia="zh-CN"/>
              </w:rPr>
            </w:pPr>
            <w:r w:rsidRPr="002274DC">
              <w:rPr>
                <w:rFonts w:eastAsia="Calibri"/>
                <w:b/>
                <w:sz w:val="17"/>
                <w:szCs w:val="22"/>
                <w:lang w:eastAsia="zh-CN"/>
              </w:rPr>
              <w:tab/>
            </w:r>
            <w:r w:rsidRPr="002274DC">
              <w:rPr>
                <w:rFonts w:eastAsia="Calibri"/>
                <w:b/>
                <w:bCs/>
                <w:sz w:val="17"/>
                <w:szCs w:val="22"/>
                <w:lang w:eastAsia="zh-CN"/>
              </w:rPr>
              <w:t>Services fonctionnels pour les réunions</w:t>
            </w:r>
            <w:r w:rsidRPr="002274DC">
              <w:rPr>
                <w:rFonts w:eastAsia="Calibri"/>
                <w:sz w:val="17"/>
                <w:szCs w:val="22"/>
                <w:lang w:eastAsia="zh-CN"/>
              </w:rPr>
              <w:t xml:space="preserve"> (nombre de réunions de trois heures)</w:t>
            </w:r>
          </w:p>
        </w:tc>
        <w:tc>
          <w:tcPr>
            <w:tcW w:w="1134" w:type="dxa"/>
            <w:vAlign w:val="bottom"/>
          </w:tcPr>
          <w:p w14:paraId="65B974CD"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b/>
                <w:bCs/>
                <w:sz w:val="17"/>
                <w:szCs w:val="17"/>
                <w:lang w:eastAsia="zh-CN"/>
              </w:rPr>
              <w:t>364</w:t>
            </w:r>
          </w:p>
        </w:tc>
      </w:tr>
      <w:tr w:rsidR="001C62ED" w:rsidRPr="002274DC" w14:paraId="618991B5" w14:textId="77777777" w:rsidTr="00D13FA3">
        <w:tc>
          <w:tcPr>
            <w:tcW w:w="8079" w:type="dxa"/>
            <w:shd w:val="clear" w:color="auto" w:fill="auto"/>
            <w:vAlign w:val="bottom"/>
          </w:tcPr>
          <w:p w14:paraId="49DE29F2" w14:textId="77777777" w:rsidR="001C62ED" w:rsidRPr="002274DC" w:rsidRDefault="001C62ED" w:rsidP="00AF5984">
            <w:pPr>
              <w:tabs>
                <w:tab w:val="left" w:pos="270"/>
                <w:tab w:val="left" w:pos="603"/>
              </w:tabs>
              <w:suppressAutoHyphens w:val="0"/>
              <w:spacing w:before="40" w:after="40" w:line="210" w:lineRule="exact"/>
              <w:ind w:right="43"/>
              <w:rPr>
                <w:rFonts w:eastAsia="Calibri"/>
                <w:b/>
                <w:sz w:val="17"/>
                <w:szCs w:val="22"/>
                <w:lang w:eastAsia="zh-CN"/>
              </w:rPr>
            </w:pPr>
            <w:r w:rsidRPr="002274DC">
              <w:rPr>
                <w:rFonts w:eastAsia="Calibri"/>
                <w:sz w:val="17"/>
                <w:szCs w:val="22"/>
                <w:lang w:eastAsia="zh-CN"/>
              </w:rPr>
              <w:tab/>
              <w:t>4.</w:t>
            </w:r>
            <w:r w:rsidRPr="002274DC">
              <w:rPr>
                <w:rFonts w:eastAsia="Calibri"/>
                <w:sz w:val="17"/>
                <w:szCs w:val="22"/>
                <w:lang w:eastAsia="zh-CN"/>
              </w:rPr>
              <w:tab/>
              <w:t>Séances du Comité des transports intérieurs</w:t>
            </w:r>
          </w:p>
        </w:tc>
        <w:tc>
          <w:tcPr>
            <w:tcW w:w="1134" w:type="dxa"/>
            <w:vAlign w:val="bottom"/>
          </w:tcPr>
          <w:p w14:paraId="6AFC0646" w14:textId="77777777" w:rsidR="001C62ED" w:rsidRPr="002274DC" w:rsidRDefault="001C62ED" w:rsidP="00AF5984">
            <w:pPr>
              <w:suppressAutoHyphens w:val="0"/>
              <w:spacing w:before="40" w:after="40" w:line="210" w:lineRule="exact"/>
              <w:ind w:right="43"/>
              <w:jc w:val="right"/>
              <w:rPr>
                <w:rFonts w:eastAsia="Calibri"/>
                <w:b/>
                <w:bCs/>
                <w:sz w:val="17"/>
                <w:szCs w:val="17"/>
                <w:lang w:eastAsia="zh-CN"/>
              </w:rPr>
            </w:pPr>
            <w:r w:rsidRPr="002274DC">
              <w:rPr>
                <w:rFonts w:eastAsia="Calibri"/>
                <w:sz w:val="17"/>
                <w:szCs w:val="17"/>
                <w:lang w:eastAsia="zh-CN"/>
              </w:rPr>
              <w:t>327</w:t>
            </w:r>
          </w:p>
        </w:tc>
      </w:tr>
      <w:tr w:rsidR="001C62ED" w:rsidRPr="002274DC" w14:paraId="539C297F" w14:textId="77777777" w:rsidTr="00D13FA3">
        <w:tc>
          <w:tcPr>
            <w:tcW w:w="8079" w:type="dxa"/>
            <w:shd w:val="clear" w:color="auto" w:fill="auto"/>
            <w:vAlign w:val="bottom"/>
          </w:tcPr>
          <w:p w14:paraId="75A7A458" w14:textId="77777777" w:rsidR="001C62ED" w:rsidRPr="002274DC" w:rsidRDefault="001C62ED" w:rsidP="00AF5984">
            <w:pPr>
              <w:tabs>
                <w:tab w:val="left" w:pos="612"/>
                <w:tab w:val="left" w:pos="900"/>
              </w:tabs>
              <w:suppressAutoHyphens w:val="0"/>
              <w:spacing w:before="40" w:after="40" w:line="210" w:lineRule="exact"/>
              <w:ind w:right="43"/>
              <w:rPr>
                <w:rFonts w:eastAsia="Calibri"/>
                <w:sz w:val="17"/>
                <w:szCs w:val="22"/>
                <w:lang w:eastAsia="zh-CN"/>
              </w:rPr>
            </w:pPr>
            <w:r w:rsidRPr="002274DC">
              <w:rPr>
                <w:rFonts w:eastAsia="Calibri"/>
                <w:sz w:val="17"/>
                <w:szCs w:val="22"/>
                <w:lang w:eastAsia="zh-CN"/>
              </w:rPr>
              <w:tab/>
              <w:t>a.</w:t>
            </w:r>
            <w:r w:rsidRPr="002274DC">
              <w:rPr>
                <w:rFonts w:eastAsia="Calibri"/>
                <w:sz w:val="17"/>
                <w:szCs w:val="22"/>
                <w:lang w:eastAsia="zh-CN"/>
              </w:rPr>
              <w:tab/>
              <w:t>Séances du Comité des transports intérieurs</w:t>
            </w:r>
          </w:p>
        </w:tc>
        <w:tc>
          <w:tcPr>
            <w:tcW w:w="1134" w:type="dxa"/>
            <w:vAlign w:val="bottom"/>
          </w:tcPr>
          <w:p w14:paraId="3B58AAC5"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16</w:t>
            </w:r>
          </w:p>
        </w:tc>
      </w:tr>
      <w:tr w:rsidR="001C62ED" w:rsidRPr="002274DC" w14:paraId="3F3CF888" w14:textId="77777777" w:rsidTr="00D13FA3">
        <w:tc>
          <w:tcPr>
            <w:tcW w:w="8079" w:type="dxa"/>
            <w:shd w:val="clear" w:color="auto" w:fill="auto"/>
            <w:vAlign w:val="bottom"/>
          </w:tcPr>
          <w:p w14:paraId="28F0D67D" w14:textId="77777777" w:rsidR="001C62ED" w:rsidRPr="002274DC" w:rsidRDefault="001C62ED" w:rsidP="00AF5984">
            <w:pPr>
              <w:tabs>
                <w:tab w:val="left" w:pos="612"/>
                <w:tab w:val="left" w:pos="900"/>
              </w:tabs>
              <w:suppressAutoHyphens w:val="0"/>
              <w:spacing w:before="40" w:after="40" w:line="210" w:lineRule="exact"/>
              <w:ind w:right="43"/>
              <w:rPr>
                <w:rFonts w:eastAsia="Calibri"/>
                <w:sz w:val="17"/>
                <w:szCs w:val="22"/>
                <w:lang w:eastAsia="zh-CN"/>
              </w:rPr>
            </w:pPr>
            <w:r w:rsidRPr="002274DC">
              <w:rPr>
                <w:rFonts w:eastAsia="Calibri"/>
                <w:sz w:val="17"/>
                <w:szCs w:val="22"/>
                <w:lang w:eastAsia="zh-CN"/>
              </w:rPr>
              <w:tab/>
              <w:t>b.</w:t>
            </w:r>
            <w:r w:rsidRPr="002274DC">
              <w:rPr>
                <w:rFonts w:eastAsia="Calibri"/>
                <w:sz w:val="17"/>
                <w:szCs w:val="22"/>
                <w:lang w:eastAsia="zh-CN"/>
              </w:rPr>
              <w:tab/>
              <w:t>Séances du Forum mondial de l</w:t>
            </w:r>
            <w:r w:rsidR="00455787">
              <w:rPr>
                <w:rFonts w:eastAsia="Calibri"/>
                <w:sz w:val="17"/>
                <w:szCs w:val="22"/>
                <w:lang w:eastAsia="zh-CN"/>
              </w:rPr>
              <w:t>’</w:t>
            </w:r>
            <w:r w:rsidRPr="002274DC">
              <w:rPr>
                <w:rFonts w:eastAsia="Calibri"/>
                <w:sz w:val="17"/>
                <w:szCs w:val="22"/>
                <w:lang w:eastAsia="zh-CN"/>
              </w:rPr>
              <w:t>harmonisation des Règlements concernant les véhicules</w:t>
            </w:r>
          </w:p>
        </w:tc>
        <w:tc>
          <w:tcPr>
            <w:tcW w:w="1134" w:type="dxa"/>
            <w:vAlign w:val="bottom"/>
          </w:tcPr>
          <w:p w14:paraId="3A613BB9"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111</w:t>
            </w:r>
          </w:p>
        </w:tc>
      </w:tr>
      <w:tr w:rsidR="001C62ED" w:rsidRPr="002274DC" w14:paraId="58FFDC15" w14:textId="77777777" w:rsidTr="00D13FA3">
        <w:tc>
          <w:tcPr>
            <w:tcW w:w="8079" w:type="dxa"/>
            <w:shd w:val="clear" w:color="auto" w:fill="auto"/>
            <w:vAlign w:val="bottom"/>
          </w:tcPr>
          <w:p w14:paraId="21174875" w14:textId="77777777" w:rsidR="001C62ED" w:rsidRPr="002274DC" w:rsidRDefault="001C62ED" w:rsidP="00AF5984">
            <w:pPr>
              <w:tabs>
                <w:tab w:val="left" w:pos="612"/>
                <w:tab w:val="left" w:pos="900"/>
              </w:tabs>
              <w:suppressAutoHyphens w:val="0"/>
              <w:spacing w:before="40" w:after="40" w:line="210" w:lineRule="exact"/>
              <w:ind w:right="43"/>
              <w:rPr>
                <w:rFonts w:eastAsia="Calibri"/>
                <w:sz w:val="17"/>
                <w:szCs w:val="22"/>
                <w:lang w:eastAsia="zh-CN"/>
              </w:rPr>
            </w:pPr>
            <w:r w:rsidRPr="002274DC">
              <w:rPr>
                <w:rFonts w:eastAsia="Calibri"/>
                <w:sz w:val="17"/>
                <w:szCs w:val="22"/>
                <w:lang w:eastAsia="zh-CN"/>
              </w:rPr>
              <w:tab/>
              <w:t>c.</w:t>
            </w:r>
            <w:r w:rsidRPr="002274DC">
              <w:rPr>
                <w:rFonts w:eastAsia="Calibri"/>
                <w:sz w:val="17"/>
                <w:szCs w:val="22"/>
                <w:lang w:eastAsia="zh-CN"/>
              </w:rPr>
              <w:tab/>
              <w:t>Séances du Groupe de travail du transport des denrées périssables</w:t>
            </w:r>
          </w:p>
        </w:tc>
        <w:tc>
          <w:tcPr>
            <w:tcW w:w="1134" w:type="dxa"/>
            <w:vAlign w:val="bottom"/>
          </w:tcPr>
          <w:p w14:paraId="15437C2F"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8</w:t>
            </w:r>
          </w:p>
        </w:tc>
      </w:tr>
      <w:tr w:rsidR="001C62ED" w:rsidRPr="002274DC" w14:paraId="7B62A7CC" w14:textId="77777777" w:rsidTr="00D13FA3">
        <w:tc>
          <w:tcPr>
            <w:tcW w:w="8079" w:type="dxa"/>
            <w:shd w:val="clear" w:color="auto" w:fill="auto"/>
            <w:vAlign w:val="bottom"/>
          </w:tcPr>
          <w:p w14:paraId="6AAAF6A1" w14:textId="77777777" w:rsidR="001C62ED" w:rsidRPr="002274DC" w:rsidRDefault="001C62ED" w:rsidP="00AF5984">
            <w:pPr>
              <w:tabs>
                <w:tab w:val="left" w:pos="612"/>
                <w:tab w:val="left" w:pos="900"/>
              </w:tabs>
              <w:suppressAutoHyphens w:val="0"/>
              <w:spacing w:before="40" w:after="40" w:line="210" w:lineRule="exact"/>
              <w:ind w:right="43"/>
              <w:rPr>
                <w:rFonts w:eastAsia="Calibri"/>
                <w:sz w:val="17"/>
                <w:szCs w:val="22"/>
                <w:lang w:eastAsia="zh-CN"/>
              </w:rPr>
            </w:pPr>
            <w:r w:rsidRPr="002274DC">
              <w:rPr>
                <w:rFonts w:eastAsia="Calibri"/>
                <w:sz w:val="17"/>
                <w:szCs w:val="22"/>
                <w:lang w:eastAsia="zh-CN"/>
              </w:rPr>
              <w:tab/>
              <w:t>d.</w:t>
            </w:r>
            <w:r w:rsidRPr="002274DC">
              <w:rPr>
                <w:rFonts w:eastAsia="Calibri"/>
                <w:sz w:val="17"/>
                <w:szCs w:val="22"/>
                <w:lang w:eastAsia="zh-CN"/>
              </w:rPr>
              <w:tab/>
              <w:t>Séances du Groupe de travail des transports de marchandises dangereuses</w:t>
            </w:r>
          </w:p>
        </w:tc>
        <w:tc>
          <w:tcPr>
            <w:tcW w:w="1134" w:type="dxa"/>
            <w:vAlign w:val="bottom"/>
          </w:tcPr>
          <w:p w14:paraId="3BC478FF"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68</w:t>
            </w:r>
          </w:p>
        </w:tc>
      </w:tr>
      <w:tr w:rsidR="001C62ED" w:rsidRPr="002274DC" w14:paraId="499BE407" w14:textId="77777777" w:rsidTr="00D13FA3">
        <w:tc>
          <w:tcPr>
            <w:tcW w:w="8079" w:type="dxa"/>
            <w:shd w:val="clear" w:color="auto" w:fill="auto"/>
            <w:vAlign w:val="bottom"/>
          </w:tcPr>
          <w:p w14:paraId="12CC4329" w14:textId="77777777" w:rsidR="001C62ED" w:rsidRPr="002274DC" w:rsidRDefault="001C62ED" w:rsidP="00AF5984">
            <w:pPr>
              <w:tabs>
                <w:tab w:val="left" w:pos="612"/>
                <w:tab w:val="left" w:pos="900"/>
              </w:tabs>
              <w:suppressAutoHyphens w:val="0"/>
              <w:spacing w:before="40" w:after="40" w:line="210" w:lineRule="exact"/>
              <w:ind w:right="43"/>
              <w:rPr>
                <w:rFonts w:eastAsia="Calibri"/>
                <w:sz w:val="17"/>
                <w:szCs w:val="22"/>
                <w:lang w:eastAsia="zh-CN"/>
              </w:rPr>
            </w:pPr>
            <w:r w:rsidRPr="002274DC">
              <w:rPr>
                <w:rFonts w:eastAsia="Calibri"/>
                <w:sz w:val="17"/>
                <w:szCs w:val="22"/>
                <w:lang w:eastAsia="zh-CN"/>
              </w:rPr>
              <w:tab/>
              <w:t>e.</w:t>
            </w:r>
            <w:r w:rsidRPr="002274DC">
              <w:rPr>
                <w:rFonts w:eastAsia="Calibri"/>
                <w:sz w:val="17"/>
                <w:szCs w:val="22"/>
                <w:lang w:eastAsia="zh-CN"/>
              </w:rPr>
              <w:tab/>
              <w:t>Séances du Groupe de travail chargé d</w:t>
            </w:r>
            <w:r w:rsidR="00455787">
              <w:rPr>
                <w:rFonts w:eastAsia="Calibri"/>
                <w:sz w:val="17"/>
                <w:szCs w:val="22"/>
                <w:lang w:eastAsia="zh-CN"/>
              </w:rPr>
              <w:t>’</w:t>
            </w:r>
            <w:r w:rsidRPr="002274DC">
              <w:rPr>
                <w:rFonts w:eastAsia="Calibri"/>
                <w:sz w:val="17"/>
                <w:szCs w:val="22"/>
                <w:lang w:eastAsia="zh-CN"/>
              </w:rPr>
              <w:t>examiner les tendances et l</w:t>
            </w:r>
            <w:r w:rsidR="00455787">
              <w:rPr>
                <w:rFonts w:eastAsia="Calibri"/>
                <w:sz w:val="17"/>
                <w:szCs w:val="22"/>
                <w:lang w:eastAsia="zh-CN"/>
              </w:rPr>
              <w:t>’</w:t>
            </w:r>
            <w:r w:rsidRPr="002274DC">
              <w:rPr>
                <w:rFonts w:eastAsia="Calibri"/>
                <w:sz w:val="17"/>
                <w:szCs w:val="22"/>
                <w:lang w:eastAsia="zh-CN"/>
              </w:rPr>
              <w:t>économie des transports</w:t>
            </w:r>
          </w:p>
        </w:tc>
        <w:tc>
          <w:tcPr>
            <w:tcW w:w="1134" w:type="dxa"/>
            <w:vAlign w:val="bottom"/>
          </w:tcPr>
          <w:p w14:paraId="41392DB9"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22</w:t>
            </w:r>
          </w:p>
        </w:tc>
      </w:tr>
      <w:tr w:rsidR="001C62ED" w:rsidRPr="002274DC" w14:paraId="53A0B24A" w14:textId="77777777" w:rsidTr="00D13FA3">
        <w:tc>
          <w:tcPr>
            <w:tcW w:w="8079" w:type="dxa"/>
            <w:shd w:val="clear" w:color="auto" w:fill="auto"/>
            <w:vAlign w:val="bottom"/>
          </w:tcPr>
          <w:p w14:paraId="7C87C7DE" w14:textId="77777777" w:rsidR="001C62ED" w:rsidRPr="002274DC" w:rsidRDefault="001C62ED" w:rsidP="00AF5984">
            <w:pPr>
              <w:tabs>
                <w:tab w:val="left" w:pos="612"/>
                <w:tab w:val="left" w:pos="900"/>
              </w:tabs>
              <w:suppressAutoHyphens w:val="0"/>
              <w:spacing w:before="40" w:after="40" w:line="210" w:lineRule="exact"/>
              <w:ind w:right="43"/>
              <w:rPr>
                <w:rFonts w:eastAsia="Calibri"/>
                <w:sz w:val="17"/>
                <w:szCs w:val="22"/>
                <w:lang w:eastAsia="zh-CN"/>
              </w:rPr>
            </w:pPr>
            <w:r w:rsidRPr="002274DC">
              <w:rPr>
                <w:rFonts w:eastAsia="Calibri"/>
                <w:sz w:val="17"/>
                <w:szCs w:val="22"/>
                <w:lang w:eastAsia="zh-CN"/>
              </w:rPr>
              <w:tab/>
              <w:t>f.</w:t>
            </w:r>
            <w:r w:rsidRPr="002274DC">
              <w:rPr>
                <w:rFonts w:eastAsia="Calibri"/>
                <w:sz w:val="17"/>
                <w:szCs w:val="22"/>
                <w:lang w:eastAsia="zh-CN"/>
              </w:rPr>
              <w:tab/>
              <w:t>Séances du Groupe de travail des statistiques des transports</w:t>
            </w:r>
          </w:p>
        </w:tc>
        <w:tc>
          <w:tcPr>
            <w:tcW w:w="1134" w:type="dxa"/>
            <w:vAlign w:val="bottom"/>
          </w:tcPr>
          <w:p w14:paraId="000B7C00"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6</w:t>
            </w:r>
          </w:p>
        </w:tc>
      </w:tr>
      <w:tr w:rsidR="001C62ED" w:rsidRPr="002274DC" w14:paraId="550A4DC2" w14:textId="77777777" w:rsidTr="00D13FA3">
        <w:tc>
          <w:tcPr>
            <w:tcW w:w="8079" w:type="dxa"/>
            <w:shd w:val="clear" w:color="auto" w:fill="auto"/>
            <w:vAlign w:val="bottom"/>
          </w:tcPr>
          <w:p w14:paraId="56E493C1" w14:textId="77777777" w:rsidR="001C62ED" w:rsidRPr="002274DC" w:rsidRDefault="001C62ED" w:rsidP="00AF5984">
            <w:pPr>
              <w:tabs>
                <w:tab w:val="left" w:pos="612"/>
                <w:tab w:val="left" w:pos="900"/>
              </w:tabs>
              <w:suppressAutoHyphens w:val="0"/>
              <w:spacing w:before="40" w:after="40" w:line="210" w:lineRule="exact"/>
              <w:ind w:right="43"/>
              <w:rPr>
                <w:rFonts w:eastAsia="Calibri"/>
                <w:sz w:val="17"/>
                <w:szCs w:val="22"/>
                <w:lang w:eastAsia="zh-CN"/>
              </w:rPr>
            </w:pPr>
            <w:r w:rsidRPr="002274DC">
              <w:rPr>
                <w:rFonts w:eastAsia="Calibri"/>
                <w:sz w:val="17"/>
                <w:szCs w:val="22"/>
                <w:lang w:eastAsia="zh-CN"/>
              </w:rPr>
              <w:tab/>
              <w:t>g.</w:t>
            </w:r>
            <w:r w:rsidRPr="002274DC">
              <w:rPr>
                <w:rFonts w:eastAsia="Calibri"/>
                <w:sz w:val="17"/>
                <w:szCs w:val="22"/>
                <w:lang w:eastAsia="zh-CN"/>
              </w:rPr>
              <w:tab/>
              <w:t>Séances du Groupe de travail des transports routiers</w:t>
            </w:r>
          </w:p>
        </w:tc>
        <w:tc>
          <w:tcPr>
            <w:tcW w:w="1134" w:type="dxa"/>
            <w:vAlign w:val="bottom"/>
          </w:tcPr>
          <w:p w14:paraId="1A05368C"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6</w:t>
            </w:r>
          </w:p>
        </w:tc>
      </w:tr>
      <w:tr w:rsidR="001C62ED" w:rsidRPr="002274DC" w14:paraId="3C8FDD22" w14:textId="77777777" w:rsidTr="00D13FA3">
        <w:tc>
          <w:tcPr>
            <w:tcW w:w="8079" w:type="dxa"/>
            <w:shd w:val="clear" w:color="auto" w:fill="auto"/>
            <w:vAlign w:val="bottom"/>
          </w:tcPr>
          <w:p w14:paraId="0755EE76" w14:textId="77777777" w:rsidR="001C62ED" w:rsidRPr="002274DC" w:rsidRDefault="001C62ED" w:rsidP="00AF5984">
            <w:pPr>
              <w:tabs>
                <w:tab w:val="left" w:pos="612"/>
                <w:tab w:val="left" w:pos="900"/>
              </w:tabs>
              <w:suppressAutoHyphens w:val="0"/>
              <w:spacing w:before="40" w:after="40" w:line="210" w:lineRule="exact"/>
              <w:ind w:right="43"/>
              <w:rPr>
                <w:rFonts w:eastAsia="Calibri"/>
                <w:sz w:val="17"/>
                <w:szCs w:val="22"/>
                <w:lang w:eastAsia="zh-CN"/>
              </w:rPr>
            </w:pPr>
            <w:r w:rsidRPr="002274DC">
              <w:rPr>
                <w:rFonts w:eastAsia="Calibri"/>
                <w:sz w:val="17"/>
                <w:szCs w:val="22"/>
                <w:lang w:eastAsia="zh-CN"/>
              </w:rPr>
              <w:tab/>
              <w:t>h.</w:t>
            </w:r>
            <w:r w:rsidRPr="002274DC">
              <w:rPr>
                <w:rFonts w:eastAsia="Calibri"/>
                <w:sz w:val="17"/>
                <w:szCs w:val="22"/>
                <w:lang w:eastAsia="zh-CN"/>
              </w:rPr>
              <w:tab/>
              <w:t>Réunions du Forum mondial de la sécurité routière</w:t>
            </w:r>
          </w:p>
        </w:tc>
        <w:tc>
          <w:tcPr>
            <w:tcW w:w="1134" w:type="dxa"/>
            <w:vAlign w:val="bottom"/>
          </w:tcPr>
          <w:p w14:paraId="06A9D653"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14</w:t>
            </w:r>
          </w:p>
        </w:tc>
      </w:tr>
      <w:tr w:rsidR="001C62ED" w:rsidRPr="002274DC" w14:paraId="2B129FA8" w14:textId="77777777" w:rsidTr="00D13FA3">
        <w:tc>
          <w:tcPr>
            <w:tcW w:w="8079" w:type="dxa"/>
            <w:shd w:val="clear" w:color="auto" w:fill="auto"/>
            <w:vAlign w:val="bottom"/>
          </w:tcPr>
          <w:p w14:paraId="762336EB" w14:textId="77777777" w:rsidR="001C62ED" w:rsidRPr="002274DC" w:rsidRDefault="001C62ED" w:rsidP="00AF5984">
            <w:pPr>
              <w:tabs>
                <w:tab w:val="left" w:pos="612"/>
                <w:tab w:val="left" w:pos="900"/>
              </w:tabs>
              <w:suppressAutoHyphens w:val="0"/>
              <w:spacing w:before="40" w:after="40" w:line="210" w:lineRule="exact"/>
              <w:ind w:right="43"/>
              <w:rPr>
                <w:rFonts w:eastAsia="Calibri"/>
                <w:sz w:val="17"/>
                <w:szCs w:val="22"/>
                <w:lang w:eastAsia="zh-CN"/>
              </w:rPr>
            </w:pPr>
            <w:r w:rsidRPr="002274DC">
              <w:rPr>
                <w:rFonts w:eastAsia="Calibri"/>
                <w:sz w:val="17"/>
                <w:szCs w:val="22"/>
                <w:lang w:eastAsia="zh-CN"/>
              </w:rPr>
              <w:tab/>
              <w:t>i.</w:t>
            </w:r>
            <w:r w:rsidRPr="002274DC">
              <w:rPr>
                <w:rFonts w:eastAsia="Calibri"/>
                <w:sz w:val="17"/>
                <w:szCs w:val="22"/>
                <w:lang w:eastAsia="zh-CN"/>
              </w:rPr>
              <w:tab/>
              <w:t>Séances du Groupe de travail des transports par chemin de fer</w:t>
            </w:r>
          </w:p>
        </w:tc>
        <w:tc>
          <w:tcPr>
            <w:tcW w:w="1134" w:type="dxa"/>
            <w:vAlign w:val="bottom"/>
          </w:tcPr>
          <w:p w14:paraId="3FFEBFD8"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6</w:t>
            </w:r>
          </w:p>
        </w:tc>
      </w:tr>
      <w:tr w:rsidR="001C62ED" w:rsidRPr="002274DC" w14:paraId="2C4727E8" w14:textId="77777777" w:rsidTr="00D13FA3">
        <w:tc>
          <w:tcPr>
            <w:tcW w:w="8079" w:type="dxa"/>
            <w:shd w:val="clear" w:color="auto" w:fill="auto"/>
            <w:vAlign w:val="bottom"/>
          </w:tcPr>
          <w:p w14:paraId="0483AFE0" w14:textId="77777777" w:rsidR="001C62ED" w:rsidRPr="002274DC" w:rsidRDefault="001C62ED" w:rsidP="00AF5984">
            <w:pPr>
              <w:tabs>
                <w:tab w:val="left" w:pos="612"/>
                <w:tab w:val="left" w:pos="900"/>
              </w:tabs>
              <w:suppressAutoHyphens w:val="0"/>
              <w:spacing w:before="40" w:after="40" w:line="210" w:lineRule="exact"/>
              <w:ind w:right="43"/>
              <w:rPr>
                <w:rFonts w:eastAsia="Calibri"/>
                <w:sz w:val="17"/>
                <w:szCs w:val="22"/>
                <w:lang w:eastAsia="zh-CN"/>
              </w:rPr>
            </w:pPr>
            <w:r w:rsidRPr="002274DC">
              <w:rPr>
                <w:rFonts w:eastAsia="Calibri"/>
                <w:sz w:val="17"/>
                <w:szCs w:val="22"/>
                <w:lang w:eastAsia="zh-CN"/>
              </w:rPr>
              <w:tab/>
              <w:t>j.</w:t>
            </w:r>
            <w:r w:rsidRPr="002274DC">
              <w:rPr>
                <w:rFonts w:eastAsia="Calibri"/>
                <w:sz w:val="17"/>
                <w:szCs w:val="22"/>
                <w:lang w:eastAsia="zh-CN"/>
              </w:rPr>
              <w:tab/>
              <w:t>Séances du Groupe de travail du transport intermodal et de la logistique</w:t>
            </w:r>
          </w:p>
        </w:tc>
        <w:tc>
          <w:tcPr>
            <w:tcW w:w="1134" w:type="dxa"/>
            <w:vAlign w:val="bottom"/>
          </w:tcPr>
          <w:p w14:paraId="4AFECE8F"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6</w:t>
            </w:r>
          </w:p>
        </w:tc>
      </w:tr>
      <w:tr w:rsidR="001C62ED" w:rsidRPr="002274DC" w14:paraId="0592EBEC" w14:textId="77777777" w:rsidTr="00D13FA3">
        <w:tc>
          <w:tcPr>
            <w:tcW w:w="8079" w:type="dxa"/>
            <w:shd w:val="clear" w:color="auto" w:fill="auto"/>
            <w:vAlign w:val="bottom"/>
          </w:tcPr>
          <w:p w14:paraId="40D2AE99" w14:textId="77777777" w:rsidR="001C62ED" w:rsidRPr="002274DC" w:rsidRDefault="001C62ED" w:rsidP="00AF5984">
            <w:pPr>
              <w:tabs>
                <w:tab w:val="left" w:pos="612"/>
                <w:tab w:val="left" w:pos="900"/>
              </w:tabs>
              <w:suppressAutoHyphens w:val="0"/>
              <w:spacing w:before="40" w:after="40" w:line="210" w:lineRule="exact"/>
              <w:ind w:right="43"/>
              <w:rPr>
                <w:rFonts w:eastAsia="Calibri"/>
                <w:sz w:val="17"/>
                <w:szCs w:val="22"/>
                <w:lang w:eastAsia="zh-CN"/>
              </w:rPr>
            </w:pPr>
            <w:r w:rsidRPr="002274DC">
              <w:rPr>
                <w:rFonts w:eastAsia="Calibri"/>
                <w:sz w:val="17"/>
                <w:szCs w:val="22"/>
                <w:lang w:eastAsia="zh-CN"/>
              </w:rPr>
              <w:tab/>
              <w:t>k.</w:t>
            </w:r>
            <w:r w:rsidRPr="002274DC">
              <w:rPr>
                <w:rFonts w:eastAsia="Calibri"/>
                <w:sz w:val="17"/>
                <w:szCs w:val="22"/>
                <w:lang w:eastAsia="zh-CN"/>
              </w:rPr>
              <w:tab/>
              <w:t>Séances du Groupe de travail des transports par voie navigable</w:t>
            </w:r>
          </w:p>
        </w:tc>
        <w:tc>
          <w:tcPr>
            <w:tcW w:w="1134" w:type="dxa"/>
            <w:vAlign w:val="bottom"/>
          </w:tcPr>
          <w:p w14:paraId="6D80E9B6"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18</w:t>
            </w:r>
          </w:p>
        </w:tc>
      </w:tr>
      <w:tr w:rsidR="001C62ED" w:rsidRPr="002274DC" w14:paraId="0F22CFDE" w14:textId="77777777" w:rsidTr="00D13FA3">
        <w:tc>
          <w:tcPr>
            <w:tcW w:w="8079" w:type="dxa"/>
            <w:shd w:val="clear" w:color="auto" w:fill="auto"/>
            <w:vAlign w:val="bottom"/>
          </w:tcPr>
          <w:p w14:paraId="70717980" w14:textId="77777777" w:rsidR="001C62ED" w:rsidRPr="002274DC" w:rsidRDefault="001C62ED" w:rsidP="00AF5984">
            <w:pPr>
              <w:tabs>
                <w:tab w:val="left" w:pos="612"/>
                <w:tab w:val="left" w:pos="900"/>
              </w:tabs>
              <w:suppressAutoHyphens w:val="0"/>
              <w:spacing w:before="40" w:after="40" w:line="210" w:lineRule="exact"/>
              <w:ind w:right="43"/>
              <w:rPr>
                <w:rFonts w:eastAsia="Calibri"/>
                <w:sz w:val="17"/>
                <w:szCs w:val="22"/>
                <w:lang w:eastAsia="zh-CN"/>
              </w:rPr>
            </w:pPr>
            <w:r w:rsidRPr="002274DC">
              <w:rPr>
                <w:rFonts w:eastAsia="Calibri"/>
                <w:sz w:val="17"/>
                <w:szCs w:val="22"/>
                <w:lang w:eastAsia="zh-CN"/>
              </w:rPr>
              <w:tab/>
              <w:t>l.</w:t>
            </w:r>
            <w:r w:rsidRPr="002274DC">
              <w:rPr>
                <w:rFonts w:eastAsia="Calibri"/>
                <w:sz w:val="17"/>
                <w:szCs w:val="22"/>
                <w:lang w:eastAsia="zh-CN"/>
              </w:rPr>
              <w:tab/>
              <w:t>Séances du Groupe de travail des problèmes douaniers intéressant les transports</w:t>
            </w:r>
          </w:p>
        </w:tc>
        <w:tc>
          <w:tcPr>
            <w:tcW w:w="1134" w:type="dxa"/>
            <w:vAlign w:val="bottom"/>
          </w:tcPr>
          <w:p w14:paraId="4C4F0941"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46</w:t>
            </w:r>
          </w:p>
        </w:tc>
      </w:tr>
      <w:tr w:rsidR="001C62ED" w:rsidRPr="002274DC" w14:paraId="579D87CD" w14:textId="77777777" w:rsidTr="00D13FA3">
        <w:tc>
          <w:tcPr>
            <w:tcW w:w="8079" w:type="dxa"/>
            <w:shd w:val="clear" w:color="auto" w:fill="auto"/>
            <w:vAlign w:val="bottom"/>
          </w:tcPr>
          <w:p w14:paraId="458D358A" w14:textId="77777777" w:rsidR="001C62ED" w:rsidRPr="002274DC" w:rsidRDefault="001C62ED" w:rsidP="00AF5984">
            <w:pPr>
              <w:tabs>
                <w:tab w:val="left" w:pos="285"/>
                <w:tab w:val="left" w:pos="567"/>
              </w:tabs>
              <w:suppressAutoHyphens w:val="0"/>
              <w:spacing w:before="40" w:after="40" w:line="210" w:lineRule="exact"/>
              <w:ind w:right="43"/>
              <w:rPr>
                <w:rFonts w:eastAsia="Calibri"/>
                <w:sz w:val="17"/>
                <w:szCs w:val="22"/>
                <w:lang w:eastAsia="zh-CN"/>
              </w:rPr>
            </w:pPr>
            <w:r w:rsidRPr="002274DC">
              <w:rPr>
                <w:rFonts w:eastAsia="Calibri"/>
                <w:sz w:val="17"/>
                <w:szCs w:val="22"/>
                <w:lang w:eastAsia="zh-CN"/>
              </w:rPr>
              <w:tab/>
              <w:t>5.</w:t>
            </w:r>
            <w:r w:rsidRPr="002274DC">
              <w:rPr>
                <w:rFonts w:eastAsia="Calibri"/>
                <w:sz w:val="17"/>
                <w:szCs w:val="22"/>
                <w:lang w:eastAsia="zh-CN"/>
              </w:rPr>
              <w:tab/>
              <w:t>Séances du Conseil économique et social</w:t>
            </w:r>
          </w:p>
        </w:tc>
        <w:tc>
          <w:tcPr>
            <w:tcW w:w="1134" w:type="dxa"/>
            <w:vAlign w:val="bottom"/>
          </w:tcPr>
          <w:p w14:paraId="554BCA52"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35</w:t>
            </w:r>
          </w:p>
        </w:tc>
      </w:tr>
      <w:tr w:rsidR="001C62ED" w:rsidRPr="002274DC" w14:paraId="2BFEB5A0" w14:textId="77777777" w:rsidTr="00D13FA3">
        <w:tc>
          <w:tcPr>
            <w:tcW w:w="8079" w:type="dxa"/>
            <w:shd w:val="clear" w:color="auto" w:fill="auto"/>
            <w:vAlign w:val="bottom"/>
          </w:tcPr>
          <w:p w14:paraId="516F9F69" w14:textId="77777777" w:rsidR="001C62ED" w:rsidRPr="002274DC" w:rsidRDefault="00D13FA3" w:rsidP="00D13FA3">
            <w:pPr>
              <w:tabs>
                <w:tab w:val="left" w:pos="851"/>
              </w:tabs>
              <w:suppressAutoHyphens w:val="0"/>
              <w:spacing w:before="40" w:after="40" w:line="210" w:lineRule="exact"/>
              <w:ind w:left="851" w:right="43" w:hanging="284"/>
              <w:rPr>
                <w:rFonts w:eastAsia="Calibri"/>
                <w:sz w:val="17"/>
                <w:szCs w:val="22"/>
                <w:lang w:eastAsia="zh-CN"/>
              </w:rPr>
            </w:pPr>
            <w:r>
              <w:rPr>
                <w:rFonts w:eastAsia="Calibri"/>
                <w:sz w:val="17"/>
                <w:szCs w:val="22"/>
                <w:lang w:eastAsia="zh-CN"/>
              </w:rPr>
              <w:t>a.</w:t>
            </w:r>
            <w:r>
              <w:rPr>
                <w:rFonts w:eastAsia="Calibri"/>
                <w:sz w:val="17"/>
                <w:szCs w:val="22"/>
                <w:lang w:eastAsia="zh-CN"/>
              </w:rPr>
              <w:tab/>
            </w:r>
            <w:r w:rsidR="001C62ED" w:rsidRPr="002274DC">
              <w:rPr>
                <w:rFonts w:eastAsia="Calibri"/>
                <w:sz w:val="17"/>
                <w:szCs w:val="22"/>
                <w:lang w:eastAsia="zh-CN"/>
              </w:rPr>
              <w:t>Séances du Comité d</w:t>
            </w:r>
            <w:r w:rsidR="00455787">
              <w:rPr>
                <w:rFonts w:eastAsia="Calibri"/>
                <w:sz w:val="17"/>
                <w:szCs w:val="22"/>
                <w:lang w:eastAsia="zh-CN"/>
              </w:rPr>
              <w:t>’</w:t>
            </w:r>
            <w:r w:rsidR="001C62ED" w:rsidRPr="002274DC">
              <w:rPr>
                <w:rFonts w:eastAsia="Calibri"/>
                <w:sz w:val="17"/>
                <w:szCs w:val="22"/>
                <w:lang w:eastAsia="zh-CN"/>
              </w:rPr>
              <w:t xml:space="preserve">experts du transport des marchandises dangereuses et du </w:t>
            </w:r>
            <w:r w:rsidR="001C62ED">
              <w:rPr>
                <w:rFonts w:eastAsia="Calibri"/>
                <w:sz w:val="17"/>
                <w:szCs w:val="22"/>
                <w:lang w:eastAsia="zh-CN"/>
              </w:rPr>
              <w:t>S</w:t>
            </w:r>
            <w:r w:rsidR="001C62ED" w:rsidRPr="002274DC">
              <w:rPr>
                <w:rFonts w:eastAsia="Calibri"/>
                <w:sz w:val="17"/>
                <w:szCs w:val="22"/>
                <w:lang w:eastAsia="zh-CN"/>
              </w:rPr>
              <w:t xml:space="preserve">ystème général harmonisé de </w:t>
            </w:r>
            <w:r w:rsidR="001C62ED">
              <w:rPr>
                <w:rFonts w:eastAsia="Calibri"/>
                <w:sz w:val="17"/>
                <w:szCs w:val="22"/>
                <w:lang w:eastAsia="zh-CN"/>
              </w:rPr>
              <w:t>classification</w:t>
            </w:r>
            <w:r w:rsidR="001C62ED" w:rsidRPr="002274DC">
              <w:rPr>
                <w:rFonts w:eastAsia="Calibri"/>
                <w:sz w:val="17"/>
                <w:szCs w:val="22"/>
                <w:lang w:eastAsia="zh-CN"/>
              </w:rPr>
              <w:t xml:space="preserve"> et d</w:t>
            </w:r>
            <w:r w:rsidR="00455787">
              <w:rPr>
                <w:rFonts w:eastAsia="Calibri"/>
                <w:sz w:val="17"/>
                <w:szCs w:val="22"/>
                <w:lang w:eastAsia="zh-CN"/>
              </w:rPr>
              <w:t>’</w:t>
            </w:r>
            <w:r w:rsidR="001C62ED" w:rsidRPr="002274DC">
              <w:rPr>
                <w:rFonts w:eastAsia="Calibri"/>
                <w:sz w:val="17"/>
                <w:szCs w:val="22"/>
                <w:lang w:eastAsia="zh-CN"/>
              </w:rPr>
              <w:t>étiquetage des produits chimiques</w:t>
            </w:r>
          </w:p>
        </w:tc>
        <w:tc>
          <w:tcPr>
            <w:tcW w:w="1134" w:type="dxa"/>
            <w:vAlign w:val="bottom"/>
          </w:tcPr>
          <w:p w14:paraId="4243541D"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0</w:t>
            </w:r>
          </w:p>
        </w:tc>
      </w:tr>
      <w:tr w:rsidR="001C62ED" w:rsidRPr="002274DC" w14:paraId="60C6A972" w14:textId="77777777" w:rsidTr="00D13FA3">
        <w:tc>
          <w:tcPr>
            <w:tcW w:w="8079" w:type="dxa"/>
            <w:shd w:val="clear" w:color="auto" w:fill="auto"/>
            <w:vAlign w:val="bottom"/>
          </w:tcPr>
          <w:p w14:paraId="658A93D7" w14:textId="77777777" w:rsidR="001C62ED" w:rsidRPr="002274DC" w:rsidRDefault="001C62ED" w:rsidP="00AF5984">
            <w:pPr>
              <w:tabs>
                <w:tab w:val="left" w:pos="851"/>
              </w:tabs>
              <w:suppressAutoHyphens w:val="0"/>
              <w:spacing w:before="40" w:after="40" w:line="210" w:lineRule="exact"/>
              <w:ind w:left="558" w:right="43"/>
              <w:rPr>
                <w:rFonts w:eastAsia="Calibri"/>
                <w:sz w:val="17"/>
                <w:szCs w:val="22"/>
                <w:lang w:eastAsia="zh-CN"/>
              </w:rPr>
            </w:pPr>
            <w:r w:rsidRPr="002274DC">
              <w:rPr>
                <w:rFonts w:eastAsia="Calibri"/>
                <w:sz w:val="17"/>
                <w:szCs w:val="22"/>
                <w:lang w:eastAsia="zh-CN"/>
              </w:rPr>
              <w:t>b.</w:t>
            </w:r>
            <w:r w:rsidRPr="002274DC">
              <w:rPr>
                <w:rFonts w:eastAsia="Calibri"/>
                <w:sz w:val="17"/>
                <w:szCs w:val="22"/>
                <w:lang w:eastAsia="zh-CN"/>
              </w:rPr>
              <w:tab/>
              <w:t>Séances du Sous-Comité d</w:t>
            </w:r>
            <w:r w:rsidR="00455787">
              <w:rPr>
                <w:rFonts w:eastAsia="Calibri"/>
                <w:sz w:val="17"/>
                <w:szCs w:val="22"/>
                <w:lang w:eastAsia="zh-CN"/>
              </w:rPr>
              <w:t>’</w:t>
            </w:r>
            <w:r w:rsidRPr="002274DC">
              <w:rPr>
                <w:rFonts w:eastAsia="Calibri"/>
                <w:sz w:val="17"/>
                <w:szCs w:val="22"/>
                <w:lang w:eastAsia="zh-CN"/>
              </w:rPr>
              <w:t>experts du transport des marchandises dangereuses</w:t>
            </w:r>
          </w:p>
        </w:tc>
        <w:tc>
          <w:tcPr>
            <w:tcW w:w="1134" w:type="dxa"/>
            <w:vAlign w:val="bottom"/>
          </w:tcPr>
          <w:p w14:paraId="10567B58"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25</w:t>
            </w:r>
          </w:p>
        </w:tc>
      </w:tr>
      <w:tr w:rsidR="001C62ED" w:rsidRPr="002274DC" w14:paraId="5CF15613" w14:textId="77777777" w:rsidTr="00D13FA3">
        <w:tc>
          <w:tcPr>
            <w:tcW w:w="8079" w:type="dxa"/>
            <w:shd w:val="clear" w:color="auto" w:fill="auto"/>
            <w:vAlign w:val="bottom"/>
          </w:tcPr>
          <w:p w14:paraId="405F6962" w14:textId="77777777" w:rsidR="001C62ED" w:rsidRPr="002274DC" w:rsidRDefault="001C62ED" w:rsidP="00AF5984">
            <w:pPr>
              <w:tabs>
                <w:tab w:val="left" w:pos="851"/>
              </w:tabs>
              <w:suppressAutoHyphens w:val="0"/>
              <w:spacing w:before="40" w:after="40" w:line="210" w:lineRule="exact"/>
              <w:ind w:left="851" w:right="43" w:hanging="284"/>
              <w:rPr>
                <w:rFonts w:eastAsia="Calibri"/>
                <w:sz w:val="17"/>
                <w:szCs w:val="22"/>
                <w:lang w:eastAsia="zh-CN"/>
              </w:rPr>
            </w:pPr>
            <w:r w:rsidRPr="002274DC">
              <w:rPr>
                <w:rFonts w:eastAsia="Calibri"/>
                <w:sz w:val="17"/>
                <w:szCs w:val="22"/>
                <w:lang w:eastAsia="zh-CN"/>
              </w:rPr>
              <w:t>c.</w:t>
            </w:r>
            <w:r w:rsidRPr="002274DC">
              <w:rPr>
                <w:rFonts w:eastAsia="Calibri"/>
                <w:sz w:val="17"/>
                <w:szCs w:val="22"/>
                <w:lang w:eastAsia="zh-CN"/>
              </w:rPr>
              <w:tab/>
              <w:t>Séances du Sous-</w:t>
            </w:r>
            <w:r>
              <w:rPr>
                <w:rFonts w:eastAsia="Calibri"/>
                <w:sz w:val="17"/>
                <w:szCs w:val="22"/>
                <w:lang w:eastAsia="zh-CN"/>
              </w:rPr>
              <w:t>C</w:t>
            </w:r>
            <w:r w:rsidRPr="002274DC">
              <w:rPr>
                <w:rFonts w:eastAsia="Calibri"/>
                <w:sz w:val="17"/>
                <w:szCs w:val="22"/>
                <w:lang w:eastAsia="zh-CN"/>
              </w:rPr>
              <w:t>omité d</w:t>
            </w:r>
            <w:r w:rsidR="00455787">
              <w:rPr>
                <w:rFonts w:eastAsia="Calibri"/>
                <w:sz w:val="17"/>
                <w:szCs w:val="22"/>
                <w:lang w:eastAsia="zh-CN"/>
              </w:rPr>
              <w:t>’</w:t>
            </w:r>
            <w:r w:rsidRPr="002274DC">
              <w:rPr>
                <w:rFonts w:eastAsia="Calibri"/>
                <w:sz w:val="17"/>
                <w:szCs w:val="22"/>
                <w:lang w:eastAsia="zh-CN"/>
              </w:rPr>
              <w:t>experts du Système général harmonisé de classification et d</w:t>
            </w:r>
            <w:r w:rsidR="00455787">
              <w:rPr>
                <w:rFonts w:eastAsia="Calibri"/>
                <w:sz w:val="17"/>
                <w:szCs w:val="22"/>
                <w:lang w:eastAsia="zh-CN"/>
              </w:rPr>
              <w:t>’</w:t>
            </w:r>
            <w:r w:rsidRPr="002274DC">
              <w:rPr>
                <w:rFonts w:eastAsia="Calibri"/>
                <w:sz w:val="17"/>
                <w:szCs w:val="22"/>
                <w:lang w:eastAsia="zh-CN"/>
              </w:rPr>
              <w:t>étiquetage des produits chimiques</w:t>
            </w:r>
          </w:p>
        </w:tc>
        <w:tc>
          <w:tcPr>
            <w:tcW w:w="1134" w:type="dxa"/>
            <w:vAlign w:val="bottom"/>
          </w:tcPr>
          <w:p w14:paraId="275AAED1"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10</w:t>
            </w:r>
          </w:p>
        </w:tc>
      </w:tr>
      <w:tr w:rsidR="001C62ED" w:rsidRPr="002274DC" w14:paraId="7D5064CB" w14:textId="77777777" w:rsidTr="00D13FA3">
        <w:tc>
          <w:tcPr>
            <w:tcW w:w="8079" w:type="dxa"/>
            <w:shd w:val="clear" w:color="auto" w:fill="auto"/>
            <w:vAlign w:val="bottom"/>
          </w:tcPr>
          <w:p w14:paraId="3180020D" w14:textId="77777777" w:rsidR="001C62ED" w:rsidRPr="002274DC" w:rsidRDefault="001C62ED" w:rsidP="00AF5984">
            <w:pPr>
              <w:tabs>
                <w:tab w:val="left" w:pos="297"/>
                <w:tab w:val="left" w:pos="567"/>
              </w:tabs>
              <w:suppressAutoHyphens w:val="0"/>
              <w:spacing w:before="40" w:after="40" w:line="210" w:lineRule="exact"/>
              <w:ind w:right="43"/>
              <w:rPr>
                <w:rFonts w:eastAsia="Calibri"/>
                <w:sz w:val="17"/>
                <w:szCs w:val="22"/>
                <w:lang w:eastAsia="zh-CN"/>
              </w:rPr>
            </w:pPr>
            <w:r w:rsidRPr="002274DC">
              <w:rPr>
                <w:rFonts w:eastAsia="Calibri"/>
                <w:sz w:val="17"/>
                <w:szCs w:val="22"/>
                <w:lang w:eastAsia="zh-CN"/>
              </w:rPr>
              <w:tab/>
              <w:t>6.</w:t>
            </w:r>
            <w:r w:rsidRPr="002274DC">
              <w:rPr>
                <w:rFonts w:eastAsia="Calibri"/>
                <w:sz w:val="17"/>
                <w:szCs w:val="22"/>
                <w:lang w:eastAsia="zh-CN"/>
              </w:rPr>
              <w:tab/>
              <w:t>Séances de la Réunion de haut niveau sur les transports, la santé et l</w:t>
            </w:r>
            <w:r w:rsidR="00455787">
              <w:rPr>
                <w:rFonts w:eastAsia="Calibri"/>
                <w:sz w:val="17"/>
                <w:szCs w:val="22"/>
                <w:lang w:eastAsia="zh-CN"/>
              </w:rPr>
              <w:t>’</w:t>
            </w:r>
            <w:r w:rsidRPr="002274DC">
              <w:rPr>
                <w:rFonts w:eastAsia="Calibri"/>
                <w:sz w:val="17"/>
                <w:szCs w:val="22"/>
                <w:lang w:eastAsia="zh-CN"/>
              </w:rPr>
              <w:t>environnement</w:t>
            </w:r>
          </w:p>
        </w:tc>
        <w:tc>
          <w:tcPr>
            <w:tcW w:w="1134" w:type="dxa"/>
            <w:vAlign w:val="bottom"/>
          </w:tcPr>
          <w:p w14:paraId="16DB7CD3"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2</w:t>
            </w:r>
          </w:p>
        </w:tc>
      </w:tr>
      <w:tr w:rsidR="001C62ED" w:rsidRPr="002274DC" w14:paraId="59069C29" w14:textId="77777777" w:rsidTr="00D13FA3">
        <w:tc>
          <w:tcPr>
            <w:tcW w:w="8079" w:type="dxa"/>
            <w:shd w:val="clear" w:color="auto" w:fill="auto"/>
            <w:vAlign w:val="bottom"/>
          </w:tcPr>
          <w:p w14:paraId="1037BE27" w14:textId="77777777" w:rsidR="001C62ED" w:rsidRPr="002274DC" w:rsidRDefault="001C62ED" w:rsidP="00AF5984">
            <w:pPr>
              <w:tabs>
                <w:tab w:val="left" w:pos="297"/>
              </w:tabs>
              <w:suppressAutoHyphens w:val="0"/>
              <w:spacing w:before="40" w:after="40" w:line="210" w:lineRule="exact"/>
              <w:ind w:right="43"/>
              <w:rPr>
                <w:rFonts w:eastAsia="Calibri"/>
                <w:sz w:val="17"/>
                <w:szCs w:val="17"/>
                <w:lang w:eastAsia="zh-CN"/>
              </w:rPr>
            </w:pPr>
            <w:r w:rsidRPr="002274DC">
              <w:rPr>
                <w:rFonts w:eastAsia="Calibri"/>
                <w:b/>
                <w:sz w:val="17"/>
                <w:szCs w:val="17"/>
                <w:lang w:eastAsia="zh-CN"/>
              </w:rPr>
              <w:t>B.</w:t>
            </w:r>
            <w:r w:rsidRPr="002274DC">
              <w:rPr>
                <w:rFonts w:eastAsia="Calibri"/>
                <w:b/>
                <w:sz w:val="17"/>
                <w:szCs w:val="17"/>
                <w:lang w:eastAsia="zh-CN"/>
              </w:rPr>
              <w:tab/>
            </w:r>
            <w:r w:rsidRPr="002274DC">
              <w:rPr>
                <w:rFonts w:eastAsia="Calibri"/>
                <w:b/>
                <w:bCs/>
                <w:sz w:val="17"/>
                <w:szCs w:val="17"/>
                <w:lang w:eastAsia="zh-CN"/>
              </w:rPr>
              <w:t>Production et transfert de connaissances</w:t>
            </w:r>
          </w:p>
        </w:tc>
        <w:tc>
          <w:tcPr>
            <w:tcW w:w="1134" w:type="dxa"/>
            <w:vAlign w:val="bottom"/>
          </w:tcPr>
          <w:p w14:paraId="4586A221"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p>
        </w:tc>
      </w:tr>
      <w:tr w:rsidR="001C62ED" w:rsidRPr="002274DC" w14:paraId="3923AE96" w14:textId="77777777" w:rsidTr="00D13FA3">
        <w:tc>
          <w:tcPr>
            <w:tcW w:w="8079" w:type="dxa"/>
            <w:shd w:val="clear" w:color="auto" w:fill="auto"/>
            <w:vAlign w:val="bottom"/>
          </w:tcPr>
          <w:p w14:paraId="6DA1B85E" w14:textId="77777777" w:rsidR="001C62ED" w:rsidRPr="002274DC" w:rsidRDefault="001C62ED" w:rsidP="00AF5984">
            <w:pPr>
              <w:suppressAutoHyphens w:val="0"/>
              <w:spacing w:before="40" w:after="40" w:line="210" w:lineRule="exact"/>
              <w:ind w:left="270" w:right="43"/>
              <w:rPr>
                <w:rFonts w:eastAsia="Calibri"/>
                <w:b/>
                <w:sz w:val="18"/>
                <w:szCs w:val="18"/>
                <w:lang w:eastAsia="zh-CN"/>
              </w:rPr>
            </w:pPr>
            <w:r w:rsidRPr="002274DC">
              <w:rPr>
                <w:rFonts w:eastAsia="Calibri"/>
                <w:b/>
                <w:bCs/>
                <w:sz w:val="17"/>
                <w:szCs w:val="22"/>
                <w:lang w:eastAsia="zh-CN"/>
              </w:rPr>
              <w:t xml:space="preserve">Coopération technique et projets sur le terrain </w:t>
            </w:r>
            <w:r w:rsidRPr="002274DC">
              <w:rPr>
                <w:rFonts w:eastAsia="Calibri"/>
                <w:bCs/>
                <w:sz w:val="17"/>
                <w:szCs w:val="22"/>
                <w:lang w:eastAsia="zh-CN"/>
              </w:rPr>
              <w:t>(nombre de projets)</w:t>
            </w:r>
          </w:p>
        </w:tc>
        <w:tc>
          <w:tcPr>
            <w:tcW w:w="1134" w:type="dxa"/>
            <w:vAlign w:val="bottom"/>
          </w:tcPr>
          <w:p w14:paraId="702AE86E"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b/>
                <w:bCs/>
                <w:sz w:val="17"/>
                <w:szCs w:val="17"/>
                <w:lang w:eastAsia="zh-CN"/>
              </w:rPr>
              <w:t>2</w:t>
            </w:r>
          </w:p>
        </w:tc>
      </w:tr>
      <w:tr w:rsidR="001C62ED" w:rsidRPr="002274DC" w14:paraId="442B0FEA" w14:textId="77777777" w:rsidTr="00D13FA3">
        <w:tc>
          <w:tcPr>
            <w:tcW w:w="8079" w:type="dxa"/>
            <w:shd w:val="clear" w:color="auto" w:fill="auto"/>
            <w:vAlign w:val="bottom"/>
          </w:tcPr>
          <w:p w14:paraId="28ED7641" w14:textId="77777777" w:rsidR="001C62ED" w:rsidRPr="002274DC" w:rsidRDefault="001C62ED" w:rsidP="00AF5984">
            <w:pPr>
              <w:tabs>
                <w:tab w:val="left" w:pos="270"/>
                <w:tab w:val="left" w:pos="570"/>
              </w:tabs>
              <w:suppressAutoHyphens w:val="0"/>
              <w:spacing w:before="40" w:after="40" w:line="210" w:lineRule="exact"/>
              <w:ind w:right="43"/>
              <w:rPr>
                <w:rFonts w:eastAsia="Calibri"/>
                <w:b/>
                <w:sz w:val="17"/>
                <w:szCs w:val="22"/>
                <w:lang w:eastAsia="zh-CN"/>
              </w:rPr>
            </w:pPr>
            <w:r w:rsidRPr="002274DC">
              <w:rPr>
                <w:rFonts w:eastAsia="Calibri"/>
                <w:sz w:val="17"/>
                <w:szCs w:val="22"/>
                <w:lang w:eastAsia="zh-CN"/>
              </w:rPr>
              <w:tab/>
              <w:t>7.</w:t>
            </w:r>
            <w:r w:rsidRPr="002274DC">
              <w:rPr>
                <w:rFonts w:eastAsia="Calibri"/>
                <w:sz w:val="17"/>
                <w:szCs w:val="22"/>
                <w:lang w:eastAsia="zh-CN"/>
              </w:rPr>
              <w:tab/>
              <w:t>Projet d</w:t>
            </w:r>
            <w:r w:rsidR="00455787">
              <w:rPr>
                <w:rFonts w:eastAsia="Calibri"/>
                <w:sz w:val="17"/>
                <w:szCs w:val="22"/>
                <w:lang w:eastAsia="zh-CN"/>
              </w:rPr>
              <w:t>’</w:t>
            </w:r>
            <w:r w:rsidRPr="002274DC">
              <w:rPr>
                <w:rFonts w:eastAsia="Calibri"/>
                <w:sz w:val="17"/>
                <w:szCs w:val="22"/>
                <w:lang w:eastAsia="zh-CN"/>
              </w:rPr>
              <w:t>autoroute transeuropéenne Nord-Sud (TEM)</w:t>
            </w:r>
          </w:p>
        </w:tc>
        <w:tc>
          <w:tcPr>
            <w:tcW w:w="1134" w:type="dxa"/>
            <w:vAlign w:val="bottom"/>
          </w:tcPr>
          <w:p w14:paraId="38DE5336" w14:textId="77777777" w:rsidR="001C62ED" w:rsidRPr="002274DC" w:rsidRDefault="001C62ED" w:rsidP="00AF5984">
            <w:pPr>
              <w:suppressAutoHyphens w:val="0"/>
              <w:spacing w:before="40" w:after="40" w:line="210" w:lineRule="exact"/>
              <w:ind w:right="43"/>
              <w:jc w:val="right"/>
              <w:rPr>
                <w:rFonts w:eastAsia="Calibri"/>
                <w:b/>
                <w:bCs/>
                <w:sz w:val="17"/>
                <w:szCs w:val="17"/>
                <w:lang w:eastAsia="zh-CN"/>
              </w:rPr>
            </w:pPr>
            <w:r w:rsidRPr="002274DC">
              <w:rPr>
                <w:rFonts w:eastAsia="Calibri"/>
                <w:sz w:val="17"/>
                <w:szCs w:val="17"/>
                <w:lang w:eastAsia="zh-CN"/>
              </w:rPr>
              <w:t>1</w:t>
            </w:r>
          </w:p>
        </w:tc>
      </w:tr>
      <w:tr w:rsidR="001C62ED" w:rsidRPr="002274DC" w14:paraId="029366C6" w14:textId="77777777" w:rsidTr="00D13FA3">
        <w:tc>
          <w:tcPr>
            <w:tcW w:w="8079" w:type="dxa"/>
            <w:shd w:val="clear" w:color="auto" w:fill="auto"/>
            <w:vAlign w:val="bottom"/>
          </w:tcPr>
          <w:p w14:paraId="430E60EB" w14:textId="77777777" w:rsidR="001C62ED" w:rsidRPr="002274DC" w:rsidRDefault="001C62ED" w:rsidP="00AF5984">
            <w:pPr>
              <w:tabs>
                <w:tab w:val="left" w:pos="558"/>
              </w:tabs>
              <w:suppressAutoHyphens w:val="0"/>
              <w:spacing w:before="40" w:after="40" w:line="210" w:lineRule="exact"/>
              <w:ind w:left="270" w:right="43"/>
              <w:rPr>
                <w:rFonts w:eastAsia="Calibri"/>
                <w:sz w:val="17"/>
                <w:szCs w:val="22"/>
                <w:lang w:eastAsia="zh-CN"/>
              </w:rPr>
            </w:pPr>
            <w:r w:rsidRPr="002274DC">
              <w:rPr>
                <w:rFonts w:eastAsia="Calibri"/>
                <w:sz w:val="17"/>
                <w:szCs w:val="22"/>
                <w:lang w:eastAsia="zh-CN"/>
              </w:rPr>
              <w:t>8.</w:t>
            </w:r>
            <w:r w:rsidRPr="002274DC">
              <w:rPr>
                <w:rFonts w:eastAsia="Calibri"/>
                <w:sz w:val="17"/>
                <w:szCs w:val="22"/>
                <w:lang w:eastAsia="zh-CN"/>
              </w:rPr>
              <w:tab/>
              <w:t>Projet de chemin de fer transeuropéen (TER)</w:t>
            </w:r>
          </w:p>
        </w:tc>
        <w:tc>
          <w:tcPr>
            <w:tcW w:w="1134" w:type="dxa"/>
            <w:vAlign w:val="bottom"/>
          </w:tcPr>
          <w:p w14:paraId="19A8FA34"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1</w:t>
            </w:r>
          </w:p>
        </w:tc>
      </w:tr>
      <w:tr w:rsidR="001C62ED" w:rsidRPr="002274DC" w14:paraId="79730123" w14:textId="77777777" w:rsidTr="00D13FA3">
        <w:tc>
          <w:tcPr>
            <w:tcW w:w="8079" w:type="dxa"/>
            <w:shd w:val="clear" w:color="auto" w:fill="auto"/>
            <w:vAlign w:val="bottom"/>
          </w:tcPr>
          <w:p w14:paraId="6BDA7126" w14:textId="77777777" w:rsidR="001C62ED" w:rsidRPr="002274DC" w:rsidRDefault="001C62ED" w:rsidP="00D13FA3">
            <w:pPr>
              <w:suppressAutoHyphens w:val="0"/>
              <w:spacing w:before="40" w:after="40" w:line="210" w:lineRule="exact"/>
              <w:ind w:left="270" w:right="43"/>
              <w:rPr>
                <w:rFonts w:eastAsia="Calibri"/>
                <w:sz w:val="17"/>
                <w:szCs w:val="22"/>
                <w:lang w:eastAsia="zh-CN"/>
              </w:rPr>
            </w:pPr>
            <w:r w:rsidRPr="002274DC">
              <w:rPr>
                <w:rFonts w:eastAsia="Calibri"/>
                <w:b/>
                <w:bCs/>
                <w:sz w:val="17"/>
                <w:szCs w:val="22"/>
                <w:lang w:eastAsia="zh-CN"/>
              </w:rPr>
              <w:t xml:space="preserve">Colloques, ateliers et autres activités de formation </w:t>
            </w:r>
            <w:r w:rsidRPr="002274DC">
              <w:rPr>
                <w:rFonts w:eastAsia="Calibri"/>
                <w:sz w:val="17"/>
                <w:szCs w:val="22"/>
                <w:lang w:eastAsia="zh-CN"/>
              </w:rPr>
              <w:t>(nombre de jours)</w:t>
            </w:r>
          </w:p>
        </w:tc>
        <w:tc>
          <w:tcPr>
            <w:tcW w:w="1134" w:type="dxa"/>
            <w:vAlign w:val="bottom"/>
          </w:tcPr>
          <w:p w14:paraId="3633B9FD"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b/>
                <w:bCs/>
                <w:sz w:val="17"/>
                <w:szCs w:val="17"/>
                <w:lang w:eastAsia="zh-CN"/>
              </w:rPr>
              <w:t>13</w:t>
            </w:r>
          </w:p>
        </w:tc>
      </w:tr>
      <w:tr w:rsidR="001C62ED" w:rsidRPr="002274DC" w14:paraId="7F6AEDCC" w14:textId="77777777" w:rsidTr="00D13FA3">
        <w:tc>
          <w:tcPr>
            <w:tcW w:w="8079" w:type="dxa"/>
            <w:shd w:val="clear" w:color="auto" w:fill="auto"/>
            <w:vAlign w:val="bottom"/>
          </w:tcPr>
          <w:p w14:paraId="4BFFA0F0" w14:textId="77777777" w:rsidR="001C62ED" w:rsidRPr="002274DC" w:rsidRDefault="001C62ED" w:rsidP="00AF5984">
            <w:pPr>
              <w:tabs>
                <w:tab w:val="left" w:pos="567"/>
              </w:tabs>
              <w:suppressAutoHyphens w:val="0"/>
              <w:spacing w:before="40" w:after="40" w:line="210" w:lineRule="exact"/>
              <w:ind w:left="567" w:right="43" w:hanging="283"/>
              <w:rPr>
                <w:rFonts w:eastAsia="Calibri"/>
                <w:b/>
                <w:sz w:val="17"/>
                <w:szCs w:val="22"/>
                <w:lang w:eastAsia="zh-CN"/>
              </w:rPr>
            </w:pPr>
            <w:r w:rsidRPr="002274DC">
              <w:rPr>
                <w:rFonts w:eastAsia="Calibri"/>
                <w:sz w:val="17"/>
                <w:szCs w:val="22"/>
                <w:lang w:eastAsia="zh-CN"/>
              </w:rPr>
              <w:t>9.</w:t>
            </w:r>
            <w:r w:rsidRPr="002274DC">
              <w:rPr>
                <w:rFonts w:eastAsia="Calibri"/>
                <w:sz w:val="17"/>
                <w:szCs w:val="22"/>
                <w:lang w:eastAsia="zh-CN"/>
              </w:rPr>
              <w:tab/>
              <w:t>Ateliers organisés à l</w:t>
            </w:r>
            <w:r w:rsidR="00455787">
              <w:rPr>
                <w:rFonts w:eastAsia="Calibri"/>
                <w:sz w:val="17"/>
                <w:szCs w:val="22"/>
                <w:lang w:eastAsia="zh-CN"/>
              </w:rPr>
              <w:t>’</w:t>
            </w:r>
            <w:r w:rsidRPr="002274DC">
              <w:rPr>
                <w:rFonts w:eastAsia="Calibri"/>
                <w:sz w:val="17"/>
                <w:szCs w:val="22"/>
                <w:lang w:eastAsia="zh-CN"/>
              </w:rPr>
              <w:t>intention de responsables gouvernementaux et d</w:t>
            </w:r>
            <w:r w:rsidR="00455787">
              <w:rPr>
                <w:rFonts w:eastAsia="Calibri"/>
                <w:sz w:val="17"/>
                <w:szCs w:val="22"/>
                <w:lang w:eastAsia="zh-CN"/>
              </w:rPr>
              <w:t>’</w:t>
            </w:r>
            <w:r w:rsidRPr="002274DC">
              <w:rPr>
                <w:rFonts w:eastAsia="Calibri"/>
                <w:sz w:val="17"/>
                <w:szCs w:val="22"/>
                <w:lang w:eastAsia="zh-CN"/>
              </w:rPr>
              <w:t>autres parties prenantes dans la région de la CEE et dans les Parties contractantes aux instruments juridiques relevant du Comité des transports intérieurs, sur : les systèmes de transport intelligents ; les statistiques des transports et les tendances en la matière ; les questions de transport routier, ferroviaire, fluvial, intermodal et intersectoriel ; et les accords et règlements sur les véhicules</w:t>
            </w:r>
          </w:p>
        </w:tc>
        <w:tc>
          <w:tcPr>
            <w:tcW w:w="1134" w:type="dxa"/>
            <w:vAlign w:val="bottom"/>
          </w:tcPr>
          <w:p w14:paraId="28CDEF88" w14:textId="77777777" w:rsidR="001C62ED" w:rsidRPr="002274DC" w:rsidRDefault="001C62ED" w:rsidP="00AF5984">
            <w:pPr>
              <w:suppressAutoHyphens w:val="0"/>
              <w:spacing w:before="40" w:after="40" w:line="210" w:lineRule="exact"/>
              <w:ind w:right="43"/>
              <w:jc w:val="right"/>
              <w:rPr>
                <w:rFonts w:eastAsia="Calibri"/>
                <w:b/>
                <w:bCs/>
                <w:sz w:val="17"/>
                <w:szCs w:val="17"/>
                <w:lang w:eastAsia="zh-CN"/>
              </w:rPr>
            </w:pPr>
            <w:r w:rsidRPr="002274DC">
              <w:rPr>
                <w:rFonts w:eastAsia="Calibri"/>
                <w:sz w:val="17"/>
                <w:szCs w:val="17"/>
                <w:lang w:eastAsia="zh-CN"/>
              </w:rPr>
              <w:t>9</w:t>
            </w:r>
          </w:p>
        </w:tc>
      </w:tr>
      <w:tr w:rsidR="001C62ED" w:rsidRPr="002274DC" w14:paraId="1441F2E8" w14:textId="77777777" w:rsidTr="00D13FA3">
        <w:tc>
          <w:tcPr>
            <w:tcW w:w="8079" w:type="dxa"/>
            <w:shd w:val="clear" w:color="auto" w:fill="auto"/>
            <w:vAlign w:val="bottom"/>
          </w:tcPr>
          <w:p w14:paraId="4431B08F" w14:textId="77777777" w:rsidR="001C62ED" w:rsidRPr="002274DC" w:rsidRDefault="001C62ED" w:rsidP="00AF5984">
            <w:pPr>
              <w:tabs>
                <w:tab w:val="left" w:pos="567"/>
              </w:tabs>
              <w:suppressAutoHyphens w:val="0"/>
              <w:spacing w:before="40" w:after="40" w:line="210" w:lineRule="exact"/>
              <w:ind w:left="567" w:right="43" w:hanging="283"/>
              <w:rPr>
                <w:rFonts w:eastAsia="Calibri"/>
                <w:sz w:val="17"/>
                <w:szCs w:val="22"/>
                <w:lang w:eastAsia="zh-CN"/>
              </w:rPr>
            </w:pPr>
            <w:r w:rsidRPr="002274DC">
              <w:rPr>
                <w:rFonts w:eastAsia="Calibri"/>
                <w:sz w:val="17"/>
                <w:szCs w:val="22"/>
                <w:lang w:eastAsia="zh-CN"/>
              </w:rPr>
              <w:t>10.</w:t>
            </w:r>
            <w:r w:rsidRPr="002274DC">
              <w:rPr>
                <w:rFonts w:eastAsia="Calibri"/>
                <w:sz w:val="17"/>
                <w:szCs w:val="22"/>
                <w:lang w:eastAsia="zh-CN"/>
              </w:rPr>
              <w:tab/>
              <w:t>Colloques à l</w:t>
            </w:r>
            <w:r w:rsidR="00455787">
              <w:rPr>
                <w:rFonts w:eastAsia="Calibri"/>
                <w:sz w:val="17"/>
                <w:szCs w:val="22"/>
                <w:lang w:eastAsia="zh-CN"/>
              </w:rPr>
              <w:t>’</w:t>
            </w:r>
            <w:r w:rsidRPr="002274DC">
              <w:rPr>
                <w:rFonts w:eastAsia="Calibri"/>
                <w:sz w:val="17"/>
                <w:szCs w:val="22"/>
                <w:lang w:eastAsia="zh-CN"/>
              </w:rPr>
              <w:t>intention des coordonnateurs nationaux, des experts, des fonctionnaires des douanes et du secteur des transports sur la Convention TIR et les projets d</w:t>
            </w:r>
            <w:r w:rsidR="00455787">
              <w:rPr>
                <w:rFonts w:eastAsia="Calibri"/>
                <w:sz w:val="17"/>
                <w:szCs w:val="22"/>
                <w:lang w:eastAsia="zh-CN"/>
              </w:rPr>
              <w:t>’</w:t>
            </w:r>
            <w:r w:rsidRPr="002274DC">
              <w:rPr>
                <w:rFonts w:eastAsia="Calibri"/>
                <w:sz w:val="17"/>
                <w:szCs w:val="22"/>
                <w:lang w:eastAsia="zh-CN"/>
              </w:rPr>
              <w:t>autoroute transeuropéenne Nord-Sud et de chemin de fer transeuropéen</w:t>
            </w:r>
          </w:p>
        </w:tc>
        <w:tc>
          <w:tcPr>
            <w:tcW w:w="1134" w:type="dxa"/>
            <w:vAlign w:val="bottom"/>
          </w:tcPr>
          <w:p w14:paraId="414F24C2"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4</w:t>
            </w:r>
          </w:p>
        </w:tc>
      </w:tr>
      <w:tr w:rsidR="001C62ED" w:rsidRPr="002274DC" w14:paraId="0C1D70E4" w14:textId="77777777" w:rsidTr="00D13FA3">
        <w:tc>
          <w:tcPr>
            <w:tcW w:w="8079" w:type="dxa"/>
            <w:shd w:val="clear" w:color="auto" w:fill="auto"/>
            <w:vAlign w:val="bottom"/>
          </w:tcPr>
          <w:p w14:paraId="41106C3F" w14:textId="77777777" w:rsidR="001C62ED" w:rsidRPr="002274DC" w:rsidRDefault="001C62ED" w:rsidP="00AF5984">
            <w:pPr>
              <w:tabs>
                <w:tab w:val="left" w:pos="333"/>
              </w:tabs>
              <w:suppressAutoHyphens w:val="0"/>
              <w:spacing w:before="40" w:after="40" w:line="210" w:lineRule="exact"/>
              <w:ind w:right="43"/>
              <w:rPr>
                <w:rFonts w:eastAsia="Calibri"/>
                <w:sz w:val="17"/>
                <w:szCs w:val="22"/>
                <w:lang w:eastAsia="zh-CN"/>
              </w:rPr>
            </w:pPr>
            <w:r w:rsidRPr="002274DC">
              <w:rPr>
                <w:rFonts w:eastAsia="Calibri"/>
                <w:b/>
                <w:sz w:val="17"/>
                <w:szCs w:val="22"/>
                <w:lang w:eastAsia="zh-CN"/>
              </w:rPr>
              <w:tab/>
              <w:t xml:space="preserve">Publications </w:t>
            </w:r>
            <w:r w:rsidRPr="002274DC">
              <w:rPr>
                <w:rFonts w:eastAsia="Calibri"/>
                <w:bCs/>
                <w:sz w:val="17"/>
                <w:szCs w:val="22"/>
                <w:lang w:eastAsia="zh-CN"/>
              </w:rPr>
              <w:t>(nombre de publications)</w:t>
            </w:r>
          </w:p>
        </w:tc>
        <w:tc>
          <w:tcPr>
            <w:tcW w:w="1134" w:type="dxa"/>
          </w:tcPr>
          <w:p w14:paraId="2E158F0B"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b/>
                <w:sz w:val="17"/>
                <w:szCs w:val="17"/>
                <w:lang w:eastAsia="zh-CN"/>
              </w:rPr>
              <w:t>12</w:t>
            </w:r>
          </w:p>
        </w:tc>
      </w:tr>
      <w:tr w:rsidR="001C62ED" w:rsidRPr="002274DC" w14:paraId="6D198481" w14:textId="77777777" w:rsidTr="00D13FA3">
        <w:tc>
          <w:tcPr>
            <w:tcW w:w="8079" w:type="dxa"/>
            <w:shd w:val="clear" w:color="auto" w:fill="auto"/>
            <w:vAlign w:val="bottom"/>
          </w:tcPr>
          <w:p w14:paraId="608090C6" w14:textId="77777777" w:rsidR="001C62ED" w:rsidRPr="002274DC" w:rsidRDefault="001C62ED" w:rsidP="00AF5984">
            <w:pPr>
              <w:tabs>
                <w:tab w:val="left" w:pos="333"/>
                <w:tab w:val="left" w:pos="630"/>
              </w:tabs>
              <w:suppressAutoHyphens w:val="0"/>
              <w:spacing w:before="40" w:after="40" w:line="210" w:lineRule="exact"/>
              <w:ind w:right="43"/>
              <w:rPr>
                <w:rFonts w:eastAsia="Calibri"/>
                <w:b/>
                <w:sz w:val="17"/>
                <w:szCs w:val="22"/>
                <w:lang w:eastAsia="zh-CN"/>
              </w:rPr>
            </w:pPr>
            <w:r w:rsidRPr="002274DC">
              <w:rPr>
                <w:rFonts w:eastAsia="Calibri"/>
                <w:sz w:val="17"/>
                <w:szCs w:val="22"/>
                <w:lang w:eastAsia="zh-CN"/>
              </w:rPr>
              <w:tab/>
              <w:t>11.</w:t>
            </w:r>
            <w:r w:rsidRPr="002274DC">
              <w:rPr>
                <w:rFonts w:eastAsia="Calibri"/>
                <w:sz w:val="17"/>
                <w:szCs w:val="22"/>
                <w:lang w:eastAsia="zh-CN"/>
              </w:rPr>
              <w:tab/>
              <w:t>Publications sur le transport des marchandises dangereuses et d</w:t>
            </w:r>
            <w:r w:rsidR="00455787">
              <w:rPr>
                <w:rFonts w:eastAsia="Calibri"/>
                <w:sz w:val="17"/>
                <w:szCs w:val="22"/>
                <w:lang w:eastAsia="zh-CN"/>
              </w:rPr>
              <w:t>’</w:t>
            </w:r>
            <w:r w:rsidRPr="002274DC">
              <w:rPr>
                <w:rFonts w:eastAsia="Calibri"/>
                <w:sz w:val="17"/>
                <w:szCs w:val="22"/>
                <w:lang w:eastAsia="zh-CN"/>
              </w:rPr>
              <w:t>autres cargaisons spéciales</w:t>
            </w:r>
          </w:p>
        </w:tc>
        <w:tc>
          <w:tcPr>
            <w:tcW w:w="1134" w:type="dxa"/>
          </w:tcPr>
          <w:p w14:paraId="3F3EF3BE" w14:textId="77777777" w:rsidR="001C62ED" w:rsidRPr="002274DC" w:rsidRDefault="001C62ED" w:rsidP="00AF5984">
            <w:pPr>
              <w:suppressAutoHyphens w:val="0"/>
              <w:spacing w:before="40" w:after="40" w:line="210" w:lineRule="exact"/>
              <w:ind w:right="43"/>
              <w:jc w:val="right"/>
              <w:rPr>
                <w:rFonts w:eastAsia="Calibri"/>
                <w:b/>
                <w:sz w:val="17"/>
                <w:szCs w:val="17"/>
                <w:lang w:eastAsia="zh-CN"/>
              </w:rPr>
            </w:pPr>
            <w:r w:rsidRPr="002274DC">
              <w:rPr>
                <w:rFonts w:eastAsia="Calibri"/>
                <w:sz w:val="17"/>
                <w:szCs w:val="17"/>
                <w:lang w:eastAsia="zh-CN"/>
              </w:rPr>
              <w:t>3</w:t>
            </w:r>
          </w:p>
        </w:tc>
      </w:tr>
      <w:tr w:rsidR="001C62ED" w:rsidRPr="002274DC" w14:paraId="79167AFF" w14:textId="77777777" w:rsidTr="00D13FA3">
        <w:tc>
          <w:tcPr>
            <w:tcW w:w="8079" w:type="dxa"/>
            <w:shd w:val="clear" w:color="auto" w:fill="auto"/>
            <w:vAlign w:val="bottom"/>
          </w:tcPr>
          <w:p w14:paraId="06FD49D2" w14:textId="77777777" w:rsidR="001C62ED" w:rsidRPr="002274DC" w:rsidRDefault="001C62ED" w:rsidP="00AF5984">
            <w:pPr>
              <w:tabs>
                <w:tab w:val="left" w:pos="333"/>
                <w:tab w:val="left" w:pos="630"/>
              </w:tabs>
              <w:suppressAutoHyphens w:val="0"/>
              <w:spacing w:before="40" w:after="40" w:line="210" w:lineRule="exact"/>
              <w:ind w:right="43"/>
              <w:rPr>
                <w:rFonts w:eastAsia="Calibri"/>
                <w:sz w:val="17"/>
                <w:szCs w:val="22"/>
                <w:lang w:eastAsia="zh-CN"/>
              </w:rPr>
            </w:pPr>
            <w:r w:rsidRPr="002274DC">
              <w:rPr>
                <w:rFonts w:eastAsia="Calibri"/>
                <w:sz w:val="17"/>
                <w:szCs w:val="22"/>
                <w:lang w:eastAsia="zh-CN"/>
              </w:rPr>
              <w:tab/>
              <w:t>12.</w:t>
            </w:r>
            <w:r w:rsidRPr="002274DC">
              <w:rPr>
                <w:rFonts w:eastAsia="Calibri"/>
                <w:sz w:val="17"/>
                <w:szCs w:val="22"/>
                <w:lang w:eastAsia="zh-CN"/>
              </w:rPr>
              <w:tab/>
              <w:t>Publications sur le transport des denrées périssables</w:t>
            </w:r>
          </w:p>
        </w:tc>
        <w:tc>
          <w:tcPr>
            <w:tcW w:w="1134" w:type="dxa"/>
          </w:tcPr>
          <w:p w14:paraId="3E05A1A1"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1</w:t>
            </w:r>
          </w:p>
        </w:tc>
      </w:tr>
      <w:tr w:rsidR="001C62ED" w:rsidRPr="002274DC" w14:paraId="2CB16A20" w14:textId="77777777" w:rsidTr="00D13FA3">
        <w:tc>
          <w:tcPr>
            <w:tcW w:w="8079" w:type="dxa"/>
            <w:shd w:val="clear" w:color="auto" w:fill="auto"/>
            <w:vAlign w:val="bottom"/>
          </w:tcPr>
          <w:p w14:paraId="6E797CD9" w14:textId="77777777" w:rsidR="001C62ED" w:rsidRPr="002274DC" w:rsidRDefault="001C62ED" w:rsidP="00AF5984">
            <w:pPr>
              <w:tabs>
                <w:tab w:val="left" w:pos="333"/>
                <w:tab w:val="left" w:pos="630"/>
              </w:tabs>
              <w:suppressAutoHyphens w:val="0"/>
              <w:spacing w:before="40" w:after="40" w:line="210" w:lineRule="exact"/>
              <w:ind w:right="43"/>
              <w:rPr>
                <w:rFonts w:eastAsia="Calibri"/>
                <w:sz w:val="17"/>
                <w:szCs w:val="22"/>
                <w:lang w:eastAsia="zh-CN"/>
              </w:rPr>
            </w:pPr>
            <w:r w:rsidRPr="002274DC">
              <w:rPr>
                <w:rFonts w:eastAsia="Calibri"/>
                <w:sz w:val="17"/>
                <w:szCs w:val="22"/>
                <w:lang w:eastAsia="zh-CN"/>
              </w:rPr>
              <w:tab/>
              <w:t>13.</w:t>
            </w:r>
            <w:r w:rsidRPr="002274DC">
              <w:rPr>
                <w:rFonts w:eastAsia="Calibri"/>
                <w:sz w:val="17"/>
                <w:szCs w:val="22"/>
                <w:lang w:eastAsia="zh-CN"/>
              </w:rPr>
              <w:tab/>
              <w:t>Publications sur la facilitation des transports</w:t>
            </w:r>
          </w:p>
        </w:tc>
        <w:tc>
          <w:tcPr>
            <w:tcW w:w="1134" w:type="dxa"/>
          </w:tcPr>
          <w:p w14:paraId="45B7868B"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1</w:t>
            </w:r>
          </w:p>
        </w:tc>
      </w:tr>
      <w:tr w:rsidR="001C62ED" w:rsidRPr="002274DC" w14:paraId="4782DE97" w14:textId="77777777" w:rsidTr="00D13FA3">
        <w:tc>
          <w:tcPr>
            <w:tcW w:w="8079" w:type="dxa"/>
            <w:shd w:val="clear" w:color="auto" w:fill="auto"/>
            <w:vAlign w:val="bottom"/>
          </w:tcPr>
          <w:p w14:paraId="2D41091F" w14:textId="77777777" w:rsidR="001C62ED" w:rsidRPr="002274DC" w:rsidRDefault="001C62ED" w:rsidP="00AF5984">
            <w:pPr>
              <w:tabs>
                <w:tab w:val="left" w:pos="333"/>
                <w:tab w:val="left" w:pos="630"/>
              </w:tabs>
              <w:suppressAutoHyphens w:val="0"/>
              <w:spacing w:before="40" w:after="40" w:line="210" w:lineRule="exact"/>
              <w:ind w:right="43"/>
              <w:rPr>
                <w:rFonts w:eastAsia="Calibri"/>
                <w:sz w:val="17"/>
                <w:szCs w:val="22"/>
                <w:lang w:eastAsia="zh-CN"/>
              </w:rPr>
            </w:pPr>
            <w:r w:rsidRPr="002274DC">
              <w:rPr>
                <w:rFonts w:eastAsia="Calibri"/>
                <w:sz w:val="17"/>
                <w:szCs w:val="22"/>
                <w:lang w:eastAsia="zh-CN"/>
              </w:rPr>
              <w:tab/>
              <w:t>14.</w:t>
            </w:r>
            <w:r w:rsidRPr="002274DC">
              <w:rPr>
                <w:rFonts w:eastAsia="Calibri"/>
                <w:sz w:val="17"/>
                <w:szCs w:val="22"/>
                <w:lang w:eastAsia="zh-CN"/>
              </w:rPr>
              <w:tab/>
              <w:t>Publications sur les transports verts et sûrs et les questions transversales</w:t>
            </w:r>
          </w:p>
        </w:tc>
        <w:tc>
          <w:tcPr>
            <w:tcW w:w="1134" w:type="dxa"/>
          </w:tcPr>
          <w:p w14:paraId="3307A648"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5</w:t>
            </w:r>
          </w:p>
        </w:tc>
      </w:tr>
      <w:tr w:rsidR="001C62ED" w:rsidRPr="002274DC" w14:paraId="1BC30912" w14:textId="77777777" w:rsidTr="00D13FA3">
        <w:tc>
          <w:tcPr>
            <w:tcW w:w="8079" w:type="dxa"/>
            <w:shd w:val="clear" w:color="auto" w:fill="auto"/>
            <w:vAlign w:val="bottom"/>
          </w:tcPr>
          <w:p w14:paraId="02A216CF" w14:textId="77777777" w:rsidR="001C62ED" w:rsidRPr="002274DC" w:rsidRDefault="001C62ED" w:rsidP="00AF5984">
            <w:pPr>
              <w:tabs>
                <w:tab w:val="left" w:pos="333"/>
                <w:tab w:val="left" w:pos="630"/>
              </w:tabs>
              <w:suppressAutoHyphens w:val="0"/>
              <w:spacing w:before="40" w:after="40" w:line="210" w:lineRule="exact"/>
              <w:ind w:right="43"/>
              <w:rPr>
                <w:rFonts w:eastAsia="Calibri"/>
                <w:sz w:val="17"/>
                <w:szCs w:val="22"/>
                <w:lang w:eastAsia="zh-CN"/>
              </w:rPr>
            </w:pPr>
            <w:r w:rsidRPr="002274DC">
              <w:rPr>
                <w:rFonts w:eastAsia="Calibri"/>
                <w:sz w:val="17"/>
                <w:szCs w:val="22"/>
                <w:lang w:eastAsia="zh-CN"/>
              </w:rPr>
              <w:tab/>
              <w:t>15.</w:t>
            </w:r>
            <w:r w:rsidRPr="002274DC">
              <w:rPr>
                <w:rFonts w:eastAsia="Calibri"/>
                <w:sz w:val="17"/>
                <w:szCs w:val="22"/>
                <w:lang w:eastAsia="zh-CN"/>
              </w:rPr>
              <w:tab/>
              <w:t>Publications sur les Règlements relatifs aux véhicules</w:t>
            </w:r>
          </w:p>
        </w:tc>
        <w:tc>
          <w:tcPr>
            <w:tcW w:w="1134" w:type="dxa"/>
          </w:tcPr>
          <w:p w14:paraId="1F51AF69"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1</w:t>
            </w:r>
          </w:p>
        </w:tc>
      </w:tr>
      <w:tr w:rsidR="001C62ED" w:rsidRPr="002274DC" w14:paraId="32296E94" w14:textId="77777777" w:rsidTr="00D13FA3">
        <w:tc>
          <w:tcPr>
            <w:tcW w:w="8079" w:type="dxa"/>
            <w:shd w:val="clear" w:color="auto" w:fill="auto"/>
            <w:vAlign w:val="bottom"/>
          </w:tcPr>
          <w:p w14:paraId="243FAB51" w14:textId="77777777" w:rsidR="001C62ED" w:rsidRPr="002274DC" w:rsidRDefault="001C62ED" w:rsidP="00AF5984">
            <w:pPr>
              <w:tabs>
                <w:tab w:val="left" w:pos="333"/>
                <w:tab w:val="left" w:pos="630"/>
              </w:tabs>
              <w:suppressAutoHyphens w:val="0"/>
              <w:spacing w:before="40" w:after="40" w:line="210" w:lineRule="exact"/>
              <w:ind w:right="43"/>
              <w:rPr>
                <w:rFonts w:eastAsia="Calibri"/>
                <w:sz w:val="17"/>
                <w:szCs w:val="22"/>
                <w:lang w:eastAsia="zh-CN"/>
              </w:rPr>
            </w:pPr>
            <w:r w:rsidRPr="002274DC">
              <w:rPr>
                <w:rFonts w:eastAsia="Calibri"/>
                <w:sz w:val="17"/>
                <w:szCs w:val="22"/>
                <w:lang w:eastAsia="zh-CN"/>
              </w:rPr>
              <w:lastRenderedPageBreak/>
              <w:tab/>
              <w:t>16.</w:t>
            </w:r>
            <w:r w:rsidRPr="002274DC">
              <w:rPr>
                <w:rFonts w:eastAsia="Calibri"/>
                <w:sz w:val="17"/>
                <w:szCs w:val="22"/>
                <w:lang w:eastAsia="zh-CN"/>
              </w:rPr>
              <w:tab/>
              <w:t>Publications sur les statistiques</w:t>
            </w:r>
          </w:p>
        </w:tc>
        <w:tc>
          <w:tcPr>
            <w:tcW w:w="1134" w:type="dxa"/>
          </w:tcPr>
          <w:p w14:paraId="399C099C"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1</w:t>
            </w:r>
          </w:p>
        </w:tc>
      </w:tr>
      <w:tr w:rsidR="001C62ED" w:rsidRPr="002274DC" w14:paraId="10354369" w14:textId="77777777" w:rsidTr="00D13FA3">
        <w:tc>
          <w:tcPr>
            <w:tcW w:w="8079" w:type="dxa"/>
            <w:shd w:val="clear" w:color="auto" w:fill="auto"/>
            <w:vAlign w:val="bottom"/>
          </w:tcPr>
          <w:p w14:paraId="7A83F37C" w14:textId="77777777" w:rsidR="001C62ED" w:rsidRPr="002274DC" w:rsidRDefault="001C62ED" w:rsidP="00AF5984">
            <w:pPr>
              <w:tabs>
                <w:tab w:val="left" w:pos="342"/>
              </w:tabs>
              <w:suppressAutoHyphens w:val="0"/>
              <w:spacing w:before="40" w:after="40" w:line="210" w:lineRule="exact"/>
              <w:ind w:right="43"/>
              <w:rPr>
                <w:rFonts w:eastAsia="Calibri"/>
                <w:sz w:val="17"/>
                <w:szCs w:val="22"/>
                <w:lang w:eastAsia="zh-CN"/>
              </w:rPr>
            </w:pPr>
            <w:r w:rsidRPr="002274DC">
              <w:rPr>
                <w:rFonts w:eastAsia="Calibri"/>
                <w:b/>
                <w:sz w:val="17"/>
                <w:szCs w:val="22"/>
                <w:lang w:eastAsia="zh-CN"/>
              </w:rPr>
              <w:tab/>
            </w:r>
            <w:r w:rsidRPr="002274DC">
              <w:rPr>
                <w:rFonts w:eastAsia="Calibri"/>
                <w:b/>
                <w:bCs/>
                <w:sz w:val="17"/>
                <w:szCs w:val="22"/>
                <w:lang w:eastAsia="zh-CN"/>
              </w:rPr>
              <w:t xml:space="preserve">Documents techniques </w:t>
            </w:r>
            <w:r w:rsidRPr="002274DC">
              <w:rPr>
                <w:rFonts w:eastAsia="Calibri"/>
                <w:bCs/>
                <w:sz w:val="17"/>
                <w:szCs w:val="22"/>
                <w:lang w:eastAsia="zh-CN"/>
              </w:rPr>
              <w:t>(nombre de documents)</w:t>
            </w:r>
          </w:p>
        </w:tc>
        <w:tc>
          <w:tcPr>
            <w:tcW w:w="1134" w:type="dxa"/>
          </w:tcPr>
          <w:p w14:paraId="3320E671"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b/>
                <w:sz w:val="17"/>
                <w:szCs w:val="17"/>
                <w:lang w:eastAsia="zh-CN"/>
              </w:rPr>
              <w:t>2</w:t>
            </w:r>
          </w:p>
        </w:tc>
      </w:tr>
      <w:tr w:rsidR="001C62ED" w:rsidRPr="002274DC" w14:paraId="47849955" w14:textId="77777777" w:rsidTr="00D13FA3">
        <w:tc>
          <w:tcPr>
            <w:tcW w:w="8079" w:type="dxa"/>
            <w:shd w:val="clear" w:color="auto" w:fill="auto"/>
            <w:vAlign w:val="bottom"/>
          </w:tcPr>
          <w:p w14:paraId="6667DC1F" w14:textId="77777777" w:rsidR="001C62ED" w:rsidRPr="002274DC" w:rsidRDefault="001C62ED" w:rsidP="00AF5984">
            <w:pPr>
              <w:tabs>
                <w:tab w:val="left" w:pos="342"/>
                <w:tab w:val="left" w:pos="660"/>
              </w:tabs>
              <w:suppressAutoHyphens w:val="0"/>
              <w:spacing w:before="40" w:after="40" w:line="210" w:lineRule="exact"/>
              <w:ind w:right="43"/>
              <w:rPr>
                <w:rFonts w:eastAsia="Calibri"/>
                <w:b/>
                <w:sz w:val="17"/>
                <w:szCs w:val="22"/>
                <w:lang w:eastAsia="zh-CN"/>
              </w:rPr>
            </w:pPr>
            <w:r w:rsidRPr="002274DC">
              <w:rPr>
                <w:rFonts w:eastAsia="Calibri"/>
                <w:sz w:val="17"/>
                <w:szCs w:val="22"/>
                <w:lang w:eastAsia="zh-CN"/>
              </w:rPr>
              <w:tab/>
              <w:t>17.</w:t>
            </w:r>
            <w:r w:rsidRPr="002274DC">
              <w:rPr>
                <w:rFonts w:eastAsia="Calibri"/>
                <w:sz w:val="17"/>
                <w:szCs w:val="22"/>
                <w:lang w:eastAsia="zh-CN"/>
              </w:rPr>
              <w:tab/>
              <w:t>Fiche d</w:t>
            </w:r>
            <w:r w:rsidR="00455787">
              <w:rPr>
                <w:rFonts w:eastAsia="Calibri"/>
                <w:sz w:val="17"/>
                <w:szCs w:val="22"/>
                <w:lang w:eastAsia="zh-CN"/>
              </w:rPr>
              <w:t>’</w:t>
            </w:r>
            <w:r w:rsidRPr="002274DC">
              <w:rPr>
                <w:rFonts w:eastAsia="Calibri"/>
                <w:sz w:val="17"/>
                <w:szCs w:val="22"/>
                <w:lang w:eastAsia="zh-CN"/>
              </w:rPr>
              <w:t>information : ce qu</w:t>
            </w:r>
            <w:r w:rsidR="00455787">
              <w:rPr>
                <w:rFonts w:eastAsia="Calibri"/>
                <w:sz w:val="17"/>
                <w:szCs w:val="22"/>
                <w:lang w:eastAsia="zh-CN"/>
              </w:rPr>
              <w:t>’</w:t>
            </w:r>
            <w:r w:rsidRPr="002274DC">
              <w:rPr>
                <w:rFonts w:eastAsia="Calibri"/>
                <w:sz w:val="17"/>
                <w:szCs w:val="22"/>
                <w:lang w:eastAsia="zh-CN"/>
              </w:rPr>
              <w:t>il faut savoir sur les pneumatiques</w:t>
            </w:r>
          </w:p>
        </w:tc>
        <w:tc>
          <w:tcPr>
            <w:tcW w:w="1134" w:type="dxa"/>
          </w:tcPr>
          <w:p w14:paraId="39748E51" w14:textId="77777777" w:rsidR="001C62ED" w:rsidRPr="002274DC" w:rsidRDefault="001C62ED" w:rsidP="00AF5984">
            <w:pPr>
              <w:suppressAutoHyphens w:val="0"/>
              <w:spacing w:before="40" w:after="40" w:line="210" w:lineRule="exact"/>
              <w:ind w:right="43"/>
              <w:jc w:val="right"/>
              <w:rPr>
                <w:rFonts w:eastAsia="Calibri"/>
                <w:b/>
                <w:sz w:val="17"/>
                <w:szCs w:val="17"/>
                <w:lang w:eastAsia="zh-CN"/>
              </w:rPr>
            </w:pPr>
            <w:r w:rsidRPr="002274DC">
              <w:rPr>
                <w:rFonts w:eastAsia="Calibri"/>
                <w:sz w:val="17"/>
                <w:szCs w:val="17"/>
                <w:lang w:eastAsia="zh-CN"/>
              </w:rPr>
              <w:t>–</w:t>
            </w:r>
          </w:p>
        </w:tc>
      </w:tr>
      <w:tr w:rsidR="001C62ED" w:rsidRPr="002274DC" w14:paraId="6B029C5A" w14:textId="77777777" w:rsidTr="00D13FA3">
        <w:tc>
          <w:tcPr>
            <w:tcW w:w="8079" w:type="dxa"/>
            <w:shd w:val="clear" w:color="auto" w:fill="auto"/>
            <w:vAlign w:val="bottom"/>
          </w:tcPr>
          <w:p w14:paraId="44FB3EE6" w14:textId="77777777" w:rsidR="001C62ED" w:rsidRPr="002274DC" w:rsidRDefault="001C62ED" w:rsidP="00AF5984">
            <w:pPr>
              <w:tabs>
                <w:tab w:val="left" w:pos="342"/>
                <w:tab w:val="left" w:pos="660"/>
              </w:tabs>
              <w:suppressAutoHyphens w:val="0"/>
              <w:spacing w:before="40" w:after="40" w:line="210" w:lineRule="exact"/>
              <w:ind w:right="43"/>
              <w:rPr>
                <w:rFonts w:eastAsia="Calibri"/>
                <w:sz w:val="17"/>
                <w:szCs w:val="22"/>
                <w:lang w:eastAsia="zh-CN"/>
              </w:rPr>
            </w:pPr>
            <w:r w:rsidRPr="002274DC">
              <w:rPr>
                <w:rFonts w:eastAsia="Calibri"/>
                <w:sz w:val="17"/>
                <w:szCs w:val="22"/>
                <w:lang w:eastAsia="zh-CN"/>
              </w:rPr>
              <w:tab/>
              <w:t>18.</w:t>
            </w:r>
            <w:r w:rsidRPr="002274DC">
              <w:rPr>
                <w:rFonts w:eastAsia="Calibri"/>
                <w:sz w:val="17"/>
                <w:szCs w:val="22"/>
                <w:lang w:eastAsia="zh-CN"/>
              </w:rPr>
              <w:tab/>
              <w:t>Fiche d</w:t>
            </w:r>
            <w:r w:rsidR="00455787">
              <w:rPr>
                <w:rFonts w:eastAsia="Calibri"/>
                <w:sz w:val="17"/>
                <w:szCs w:val="22"/>
                <w:lang w:eastAsia="zh-CN"/>
              </w:rPr>
              <w:t>’</w:t>
            </w:r>
            <w:r w:rsidRPr="002274DC">
              <w:rPr>
                <w:rFonts w:eastAsia="Calibri"/>
                <w:sz w:val="17"/>
                <w:szCs w:val="22"/>
                <w:lang w:eastAsia="zh-CN"/>
              </w:rPr>
              <w:t>information : ce qu</w:t>
            </w:r>
            <w:r w:rsidR="00455787">
              <w:rPr>
                <w:rFonts w:eastAsia="Calibri"/>
                <w:sz w:val="17"/>
                <w:szCs w:val="22"/>
                <w:lang w:eastAsia="zh-CN"/>
              </w:rPr>
              <w:t>’</w:t>
            </w:r>
            <w:r w:rsidRPr="002274DC">
              <w:rPr>
                <w:rFonts w:eastAsia="Calibri"/>
                <w:sz w:val="17"/>
                <w:szCs w:val="22"/>
                <w:lang w:eastAsia="zh-CN"/>
              </w:rPr>
              <w:t>il faut savoir sur les ceintures de sécurité</w:t>
            </w:r>
          </w:p>
        </w:tc>
        <w:tc>
          <w:tcPr>
            <w:tcW w:w="1134" w:type="dxa"/>
          </w:tcPr>
          <w:p w14:paraId="75A8E268"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w:t>
            </w:r>
          </w:p>
        </w:tc>
      </w:tr>
      <w:tr w:rsidR="001C62ED" w:rsidRPr="002274DC" w14:paraId="719AC028" w14:textId="77777777" w:rsidTr="00D13FA3">
        <w:tc>
          <w:tcPr>
            <w:tcW w:w="8079" w:type="dxa"/>
            <w:shd w:val="clear" w:color="auto" w:fill="auto"/>
            <w:vAlign w:val="bottom"/>
          </w:tcPr>
          <w:p w14:paraId="5E350A2D" w14:textId="77777777" w:rsidR="001C62ED" w:rsidRPr="002274DC" w:rsidRDefault="001C62ED" w:rsidP="00AF5984">
            <w:pPr>
              <w:tabs>
                <w:tab w:val="left" w:pos="342"/>
                <w:tab w:val="left" w:pos="660"/>
              </w:tabs>
              <w:suppressAutoHyphens w:val="0"/>
              <w:spacing w:before="40" w:after="40" w:line="210" w:lineRule="exact"/>
              <w:ind w:right="43"/>
              <w:rPr>
                <w:rFonts w:eastAsia="Calibri"/>
                <w:sz w:val="17"/>
                <w:szCs w:val="22"/>
                <w:lang w:eastAsia="zh-CN"/>
              </w:rPr>
            </w:pPr>
            <w:r w:rsidRPr="002274DC">
              <w:rPr>
                <w:rFonts w:eastAsia="Calibri"/>
                <w:sz w:val="17"/>
                <w:szCs w:val="22"/>
                <w:lang w:eastAsia="zh-CN"/>
              </w:rPr>
              <w:tab/>
              <w:t>19.</w:t>
            </w:r>
            <w:r w:rsidRPr="002274DC">
              <w:rPr>
                <w:rFonts w:eastAsia="Calibri"/>
                <w:sz w:val="17"/>
                <w:szCs w:val="22"/>
                <w:lang w:eastAsia="zh-CN"/>
              </w:rPr>
              <w:tab/>
              <w:t>Fiche d</w:t>
            </w:r>
            <w:r w:rsidR="00455787">
              <w:rPr>
                <w:rFonts w:eastAsia="Calibri"/>
                <w:sz w:val="17"/>
                <w:szCs w:val="22"/>
                <w:lang w:eastAsia="zh-CN"/>
              </w:rPr>
              <w:t>’</w:t>
            </w:r>
            <w:r w:rsidRPr="002274DC">
              <w:rPr>
                <w:rFonts w:eastAsia="Calibri"/>
                <w:sz w:val="17"/>
                <w:szCs w:val="22"/>
                <w:lang w:eastAsia="zh-CN"/>
              </w:rPr>
              <w:t>information : ce qu</w:t>
            </w:r>
            <w:r w:rsidR="00455787">
              <w:rPr>
                <w:rFonts w:eastAsia="Calibri"/>
                <w:sz w:val="17"/>
                <w:szCs w:val="22"/>
                <w:lang w:eastAsia="zh-CN"/>
              </w:rPr>
              <w:t>’</w:t>
            </w:r>
            <w:r w:rsidRPr="002274DC">
              <w:rPr>
                <w:rFonts w:eastAsia="Calibri"/>
                <w:sz w:val="17"/>
                <w:szCs w:val="22"/>
                <w:lang w:eastAsia="zh-CN"/>
              </w:rPr>
              <w:t>il faut savoir sur les systèmes actifs d</w:t>
            </w:r>
            <w:r w:rsidR="00455787">
              <w:rPr>
                <w:rFonts w:eastAsia="Calibri"/>
                <w:sz w:val="17"/>
                <w:szCs w:val="22"/>
                <w:lang w:eastAsia="zh-CN"/>
              </w:rPr>
              <w:t>’</w:t>
            </w:r>
            <w:r w:rsidRPr="002274DC">
              <w:rPr>
                <w:rFonts w:eastAsia="Calibri"/>
                <w:sz w:val="17"/>
                <w:szCs w:val="22"/>
                <w:lang w:eastAsia="zh-CN"/>
              </w:rPr>
              <w:t xml:space="preserve">aide à la conduite </w:t>
            </w:r>
          </w:p>
        </w:tc>
        <w:tc>
          <w:tcPr>
            <w:tcW w:w="1134" w:type="dxa"/>
          </w:tcPr>
          <w:p w14:paraId="33D44653"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1</w:t>
            </w:r>
          </w:p>
        </w:tc>
      </w:tr>
      <w:tr w:rsidR="001C62ED" w:rsidRPr="002274DC" w14:paraId="63CC4988" w14:textId="77777777" w:rsidTr="00D13FA3">
        <w:tc>
          <w:tcPr>
            <w:tcW w:w="8079" w:type="dxa"/>
            <w:shd w:val="clear" w:color="auto" w:fill="auto"/>
            <w:vAlign w:val="bottom"/>
          </w:tcPr>
          <w:p w14:paraId="58CAAED9" w14:textId="77777777" w:rsidR="001C62ED" w:rsidRPr="002274DC" w:rsidRDefault="001C62ED" w:rsidP="00AF5984">
            <w:pPr>
              <w:tabs>
                <w:tab w:val="left" w:pos="342"/>
                <w:tab w:val="left" w:pos="660"/>
              </w:tabs>
              <w:suppressAutoHyphens w:val="0"/>
              <w:spacing w:before="40" w:after="40" w:line="210" w:lineRule="exact"/>
              <w:ind w:right="43"/>
              <w:rPr>
                <w:rFonts w:eastAsia="Calibri"/>
                <w:sz w:val="17"/>
                <w:szCs w:val="22"/>
                <w:lang w:eastAsia="zh-CN"/>
              </w:rPr>
            </w:pPr>
            <w:r w:rsidRPr="002274DC">
              <w:rPr>
                <w:rFonts w:eastAsia="Calibri"/>
                <w:sz w:val="17"/>
                <w:szCs w:val="22"/>
                <w:lang w:eastAsia="zh-CN"/>
              </w:rPr>
              <w:tab/>
              <w:t>20.</w:t>
            </w:r>
            <w:r w:rsidRPr="002274DC">
              <w:rPr>
                <w:rFonts w:eastAsia="Calibri"/>
                <w:sz w:val="17"/>
                <w:szCs w:val="22"/>
                <w:lang w:eastAsia="zh-CN"/>
              </w:rPr>
              <w:tab/>
              <w:t>Statistiques des transports − profils de pays</w:t>
            </w:r>
          </w:p>
        </w:tc>
        <w:tc>
          <w:tcPr>
            <w:tcW w:w="1134" w:type="dxa"/>
          </w:tcPr>
          <w:p w14:paraId="72A29F75"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r w:rsidRPr="002274DC">
              <w:rPr>
                <w:rFonts w:eastAsia="Calibri"/>
                <w:sz w:val="17"/>
                <w:szCs w:val="17"/>
                <w:lang w:eastAsia="zh-CN"/>
              </w:rPr>
              <w:t>1</w:t>
            </w:r>
          </w:p>
        </w:tc>
      </w:tr>
      <w:tr w:rsidR="001C62ED" w:rsidRPr="002274DC" w14:paraId="4366DC09" w14:textId="77777777" w:rsidTr="00D13FA3">
        <w:tc>
          <w:tcPr>
            <w:tcW w:w="8079" w:type="dxa"/>
            <w:shd w:val="clear" w:color="auto" w:fill="auto"/>
            <w:vAlign w:val="bottom"/>
          </w:tcPr>
          <w:p w14:paraId="2F2DD454" w14:textId="77777777" w:rsidR="001C62ED" w:rsidRPr="002274DC" w:rsidRDefault="001C62ED" w:rsidP="00AF5984">
            <w:pPr>
              <w:tabs>
                <w:tab w:val="left" w:pos="342"/>
              </w:tabs>
              <w:suppressAutoHyphens w:val="0"/>
              <w:spacing w:before="40" w:after="40" w:line="210" w:lineRule="exact"/>
              <w:ind w:right="43"/>
              <w:rPr>
                <w:rFonts w:eastAsia="Calibri"/>
                <w:sz w:val="17"/>
                <w:szCs w:val="17"/>
                <w:lang w:eastAsia="zh-CN"/>
              </w:rPr>
            </w:pPr>
            <w:r w:rsidRPr="002274DC">
              <w:rPr>
                <w:rFonts w:eastAsia="Calibri"/>
                <w:b/>
                <w:sz w:val="17"/>
                <w:szCs w:val="17"/>
                <w:lang w:eastAsia="zh-CN"/>
              </w:rPr>
              <w:t>C.</w:t>
            </w:r>
            <w:r w:rsidRPr="002274DC">
              <w:rPr>
                <w:rFonts w:eastAsia="Calibri"/>
                <w:b/>
                <w:sz w:val="17"/>
                <w:szCs w:val="17"/>
                <w:lang w:eastAsia="zh-CN"/>
              </w:rPr>
              <w:tab/>
              <w:t xml:space="preserve">Éléments de fond à livrer </w:t>
            </w:r>
          </w:p>
        </w:tc>
        <w:tc>
          <w:tcPr>
            <w:tcW w:w="1134" w:type="dxa"/>
            <w:vAlign w:val="bottom"/>
          </w:tcPr>
          <w:p w14:paraId="0C375FE7" w14:textId="77777777" w:rsidR="001C62ED" w:rsidRPr="002274DC" w:rsidRDefault="001C62ED" w:rsidP="00AF5984">
            <w:pPr>
              <w:suppressAutoHyphens w:val="0"/>
              <w:spacing w:before="40" w:after="40" w:line="210" w:lineRule="exact"/>
              <w:ind w:right="43"/>
              <w:jc w:val="right"/>
              <w:rPr>
                <w:rFonts w:eastAsia="Calibri"/>
                <w:sz w:val="17"/>
                <w:szCs w:val="17"/>
                <w:lang w:eastAsia="zh-CN"/>
              </w:rPr>
            </w:pPr>
          </w:p>
        </w:tc>
      </w:tr>
      <w:tr w:rsidR="001C62ED" w:rsidRPr="002274DC" w14:paraId="18C53E42" w14:textId="77777777" w:rsidTr="001C62ED">
        <w:tc>
          <w:tcPr>
            <w:tcW w:w="9213" w:type="dxa"/>
            <w:gridSpan w:val="2"/>
            <w:shd w:val="clear" w:color="auto" w:fill="auto"/>
            <w:vAlign w:val="bottom"/>
          </w:tcPr>
          <w:p w14:paraId="5C142B2C" w14:textId="77777777" w:rsidR="001C62ED" w:rsidRPr="002274DC" w:rsidRDefault="001C62ED" w:rsidP="00AF5984">
            <w:pPr>
              <w:tabs>
                <w:tab w:val="left" w:pos="342"/>
              </w:tabs>
              <w:suppressAutoHyphens w:val="0"/>
              <w:spacing w:before="40" w:after="40" w:line="210" w:lineRule="exact"/>
              <w:ind w:left="342" w:right="43" w:hanging="342"/>
              <w:rPr>
                <w:rFonts w:eastAsia="Calibri"/>
                <w:bCs/>
                <w:sz w:val="17"/>
                <w:szCs w:val="17"/>
                <w:lang w:eastAsia="zh-CN"/>
              </w:rPr>
            </w:pPr>
            <w:r w:rsidRPr="002274DC">
              <w:rPr>
                <w:rFonts w:eastAsia="Calibri"/>
                <w:b/>
                <w:sz w:val="17"/>
                <w:szCs w:val="17"/>
                <w:lang w:eastAsia="zh-CN"/>
              </w:rPr>
              <w:tab/>
              <w:t>Consultations, conseils et activités de promotion </w:t>
            </w:r>
            <w:r w:rsidRPr="002274DC">
              <w:rPr>
                <w:rFonts w:eastAsia="Calibri"/>
                <w:bCs/>
                <w:sz w:val="17"/>
                <w:szCs w:val="17"/>
                <w:lang w:eastAsia="zh-CN"/>
              </w:rPr>
              <w:t>: services consultatifs à l</w:t>
            </w:r>
            <w:r w:rsidR="00455787">
              <w:rPr>
                <w:rFonts w:eastAsia="Calibri"/>
                <w:bCs/>
                <w:sz w:val="17"/>
                <w:szCs w:val="17"/>
                <w:lang w:eastAsia="zh-CN"/>
              </w:rPr>
              <w:t>’</w:t>
            </w:r>
            <w:r w:rsidRPr="002274DC">
              <w:rPr>
                <w:rFonts w:eastAsia="Calibri"/>
                <w:bCs/>
                <w:sz w:val="17"/>
                <w:szCs w:val="17"/>
                <w:lang w:eastAsia="zh-CN"/>
              </w:rPr>
              <w:t>intention des Parties contractantes aux conventions des Nations Unies relatives aux transports administrées par la CEE concernant les instruments juridiques liés aux transports intérieurs, à la facilitation des transports, au franchissement des frontières, à la sécurité routière, à la construction des véhicules, et au transport des marchandises dangereuses et d</w:t>
            </w:r>
            <w:r w:rsidR="00455787">
              <w:rPr>
                <w:rFonts w:eastAsia="Calibri"/>
                <w:bCs/>
                <w:sz w:val="17"/>
                <w:szCs w:val="17"/>
                <w:lang w:eastAsia="zh-CN"/>
              </w:rPr>
              <w:t>’</w:t>
            </w:r>
            <w:r w:rsidRPr="002274DC">
              <w:rPr>
                <w:rFonts w:eastAsia="Calibri"/>
                <w:bCs/>
                <w:sz w:val="17"/>
                <w:szCs w:val="17"/>
                <w:lang w:eastAsia="zh-CN"/>
              </w:rPr>
              <w:t>autres cargaisons spéciales (1)</w:t>
            </w:r>
          </w:p>
          <w:p w14:paraId="0CC91207" w14:textId="77777777" w:rsidR="001C62ED" w:rsidRPr="002274DC" w:rsidRDefault="001C62ED" w:rsidP="00AF5984">
            <w:pPr>
              <w:tabs>
                <w:tab w:val="left" w:pos="342"/>
              </w:tabs>
              <w:suppressAutoHyphens w:val="0"/>
              <w:spacing w:before="40" w:after="40" w:line="210" w:lineRule="exact"/>
              <w:ind w:left="342" w:right="43" w:hanging="342"/>
              <w:rPr>
                <w:rFonts w:eastAsia="Calibri"/>
                <w:bCs/>
                <w:spacing w:val="4"/>
                <w:w w:val="103"/>
                <w:kern w:val="14"/>
                <w:sz w:val="17"/>
                <w:szCs w:val="17"/>
                <w:lang w:eastAsia="zh-CN"/>
              </w:rPr>
            </w:pPr>
            <w:r w:rsidRPr="002274DC">
              <w:rPr>
                <w:rFonts w:eastAsia="Calibri"/>
                <w:b/>
                <w:sz w:val="17"/>
                <w:szCs w:val="17"/>
                <w:lang w:eastAsia="zh-CN"/>
              </w:rPr>
              <w:tab/>
              <w:t>Bases de données et supports numériques de fond </w:t>
            </w:r>
            <w:r w:rsidRPr="002274DC">
              <w:rPr>
                <w:rFonts w:eastAsia="Calibri"/>
                <w:bCs/>
                <w:sz w:val="17"/>
                <w:szCs w:val="17"/>
                <w:lang w:eastAsia="zh-CN"/>
              </w:rPr>
              <w:t>: actualisation et gestion de la Banque de données internationale TIR, qui comprend la liste des sociétés de transport autorisées à utiliser le système TIR, le registre en ligne des dispositifs de scellement douanier et des timbres douaniers, la liste des bureaux de douane</w:t>
            </w:r>
            <w:r w:rsidRPr="002274DC">
              <w:t xml:space="preserve"> </w:t>
            </w:r>
            <w:r w:rsidRPr="002274DC">
              <w:rPr>
                <w:rFonts w:eastAsia="Calibri"/>
                <w:bCs/>
                <w:sz w:val="17"/>
                <w:szCs w:val="17"/>
                <w:lang w:eastAsia="zh-CN"/>
              </w:rPr>
              <w:t>opérationnels pour les opérations TIR et, éventuellement, des certificats d</w:t>
            </w:r>
            <w:r w:rsidR="00455787">
              <w:rPr>
                <w:rFonts w:eastAsia="Calibri"/>
                <w:bCs/>
                <w:sz w:val="17"/>
                <w:szCs w:val="17"/>
                <w:lang w:eastAsia="zh-CN"/>
              </w:rPr>
              <w:t>’</w:t>
            </w:r>
            <w:r w:rsidRPr="002274DC">
              <w:rPr>
                <w:rFonts w:eastAsia="Calibri"/>
                <w:bCs/>
                <w:sz w:val="17"/>
                <w:szCs w:val="17"/>
                <w:lang w:eastAsia="zh-CN"/>
              </w:rPr>
              <w:t>agrément TIR ; sites Web de la Convention TIR et du système e-TIR ; inventaire en ligne des normes concernant les infrastructures des voies de navigation intérieure ; inventaire en ligne des normes et paramètres existants figurant dans l</w:t>
            </w:r>
            <w:r w:rsidR="00455787">
              <w:rPr>
                <w:rFonts w:eastAsia="Calibri"/>
                <w:bCs/>
                <w:sz w:val="17"/>
                <w:szCs w:val="17"/>
                <w:lang w:eastAsia="zh-CN"/>
              </w:rPr>
              <w:t>’</w:t>
            </w:r>
            <w:r w:rsidRPr="002274DC">
              <w:rPr>
                <w:rFonts w:eastAsia="Calibri"/>
                <w:bCs/>
                <w:sz w:val="17"/>
                <w:szCs w:val="17"/>
                <w:lang w:eastAsia="zh-CN"/>
              </w:rPr>
              <w:t>Accord européen sur les grandes lignes internationales de chemin de fer et l</w:t>
            </w:r>
            <w:r w:rsidR="00455787">
              <w:rPr>
                <w:rFonts w:eastAsia="Calibri"/>
                <w:bCs/>
                <w:sz w:val="17"/>
                <w:szCs w:val="17"/>
                <w:lang w:eastAsia="zh-CN"/>
              </w:rPr>
              <w:t>’</w:t>
            </w:r>
            <w:r w:rsidRPr="002274DC">
              <w:rPr>
                <w:rFonts w:eastAsia="Calibri"/>
                <w:bCs/>
                <w:sz w:val="17"/>
                <w:szCs w:val="17"/>
                <w:lang w:eastAsia="zh-CN"/>
              </w:rPr>
              <w:t>Accord européen sur les grandes lignes de transport international combiné et les installations connexes ; bases de données sur les statistiques des transports, les accidents de la route, le transport des marchandises dangereuses, le transport des denrées périssables, le transport urbain et les transports et l</w:t>
            </w:r>
            <w:r w:rsidR="00455787">
              <w:rPr>
                <w:rFonts w:eastAsia="Calibri"/>
                <w:bCs/>
                <w:sz w:val="17"/>
                <w:szCs w:val="17"/>
                <w:lang w:eastAsia="zh-CN"/>
              </w:rPr>
              <w:t>’</w:t>
            </w:r>
            <w:r w:rsidRPr="002274DC">
              <w:rPr>
                <w:rFonts w:eastAsia="Calibri"/>
                <w:bCs/>
                <w:sz w:val="17"/>
                <w:szCs w:val="17"/>
                <w:lang w:eastAsia="zh-CN"/>
              </w:rPr>
              <w:t>environnement ; mise au point et tenue à jour de l</w:t>
            </w:r>
            <w:r w:rsidR="00455787">
              <w:rPr>
                <w:rFonts w:eastAsia="Calibri"/>
                <w:bCs/>
                <w:sz w:val="17"/>
                <w:szCs w:val="17"/>
                <w:lang w:eastAsia="zh-CN"/>
              </w:rPr>
              <w:t>’</w:t>
            </w:r>
            <w:r w:rsidRPr="002274DC">
              <w:rPr>
                <w:rFonts w:eastAsia="Calibri"/>
                <w:bCs/>
                <w:sz w:val="17"/>
                <w:szCs w:val="17"/>
                <w:lang w:eastAsia="zh-CN"/>
              </w:rPr>
              <w:t xml:space="preserve">Observatoire international en ligne de la sûreté des chemins de fer ; signalisation numérisée </w:t>
            </w:r>
            <w:r>
              <w:rPr>
                <w:rFonts w:eastAsia="Calibri"/>
                <w:bCs/>
                <w:sz w:val="17"/>
                <w:szCs w:val="17"/>
                <w:lang w:eastAsia="zh-CN"/>
              </w:rPr>
              <w:t>issue</w:t>
            </w:r>
            <w:r w:rsidRPr="002274DC">
              <w:rPr>
                <w:rFonts w:eastAsia="Calibri"/>
                <w:bCs/>
                <w:sz w:val="17"/>
                <w:szCs w:val="17"/>
                <w:lang w:eastAsia="zh-CN"/>
              </w:rPr>
              <w:t xml:space="preserve"> de la version numérique de la Convention sur la signalisation routière (E-CoRSS) ; plateforme d</w:t>
            </w:r>
            <w:r w:rsidR="00455787">
              <w:rPr>
                <w:rFonts w:eastAsia="Calibri"/>
                <w:bCs/>
                <w:sz w:val="17"/>
                <w:szCs w:val="17"/>
                <w:lang w:eastAsia="zh-CN"/>
              </w:rPr>
              <w:t>’</w:t>
            </w:r>
            <w:r w:rsidRPr="002274DC">
              <w:rPr>
                <w:rFonts w:eastAsia="Calibri"/>
                <w:bCs/>
                <w:sz w:val="17"/>
                <w:szCs w:val="17"/>
                <w:lang w:eastAsia="zh-CN"/>
              </w:rPr>
              <w:t>apprentissage électronique sur la connectivité intelligente et durable (8)</w:t>
            </w:r>
          </w:p>
        </w:tc>
      </w:tr>
      <w:tr w:rsidR="001C62ED" w:rsidRPr="002274DC" w14:paraId="21ED6AF8" w14:textId="77777777" w:rsidTr="00482103">
        <w:tc>
          <w:tcPr>
            <w:tcW w:w="9213" w:type="dxa"/>
            <w:gridSpan w:val="2"/>
            <w:shd w:val="clear" w:color="auto" w:fill="auto"/>
            <w:vAlign w:val="bottom"/>
          </w:tcPr>
          <w:p w14:paraId="61F227CA" w14:textId="77777777" w:rsidR="001C62ED" w:rsidRPr="002274DC" w:rsidRDefault="001C62ED" w:rsidP="00AF5984">
            <w:pPr>
              <w:tabs>
                <w:tab w:val="left" w:pos="360"/>
              </w:tabs>
              <w:suppressAutoHyphens w:val="0"/>
              <w:spacing w:before="40" w:after="40" w:line="210" w:lineRule="exact"/>
              <w:ind w:right="43"/>
              <w:rPr>
                <w:rFonts w:eastAsia="Calibri"/>
                <w:b/>
                <w:sz w:val="17"/>
                <w:szCs w:val="17"/>
                <w:lang w:eastAsia="zh-CN"/>
              </w:rPr>
            </w:pPr>
            <w:r w:rsidRPr="002274DC">
              <w:rPr>
                <w:rFonts w:eastAsia="Calibri"/>
                <w:b/>
                <w:sz w:val="17"/>
                <w:szCs w:val="17"/>
                <w:lang w:eastAsia="zh-CN"/>
              </w:rPr>
              <w:t>D.</w:t>
            </w:r>
            <w:r w:rsidRPr="002274DC">
              <w:rPr>
                <w:rFonts w:eastAsia="Calibri"/>
                <w:b/>
                <w:sz w:val="17"/>
                <w:szCs w:val="17"/>
                <w:lang w:eastAsia="zh-CN"/>
              </w:rPr>
              <w:tab/>
              <w:t>Éléments à livrer en matière de communication</w:t>
            </w:r>
          </w:p>
        </w:tc>
      </w:tr>
      <w:tr w:rsidR="001C62ED" w:rsidRPr="002274DC" w14:paraId="64A9AAD8" w14:textId="77777777" w:rsidTr="001C62ED">
        <w:trPr>
          <w:trHeight w:val="80"/>
        </w:trPr>
        <w:tc>
          <w:tcPr>
            <w:tcW w:w="9213" w:type="dxa"/>
            <w:gridSpan w:val="2"/>
            <w:shd w:val="clear" w:color="auto" w:fill="auto"/>
            <w:vAlign w:val="bottom"/>
          </w:tcPr>
          <w:p w14:paraId="2C2D65DD" w14:textId="77777777" w:rsidR="001C62ED" w:rsidRPr="002274DC" w:rsidRDefault="001C62ED" w:rsidP="00AF5984">
            <w:pPr>
              <w:tabs>
                <w:tab w:val="left" w:pos="360"/>
              </w:tabs>
              <w:suppressAutoHyphens w:val="0"/>
              <w:spacing w:before="40" w:after="40" w:line="210" w:lineRule="exact"/>
              <w:ind w:left="360" w:right="43" w:hanging="360"/>
              <w:rPr>
                <w:rFonts w:eastAsia="Calibri"/>
                <w:sz w:val="17"/>
                <w:szCs w:val="17"/>
                <w:lang w:eastAsia="zh-CN"/>
              </w:rPr>
            </w:pPr>
            <w:r w:rsidRPr="002274DC">
              <w:rPr>
                <w:rFonts w:eastAsia="Calibri"/>
                <w:sz w:val="17"/>
                <w:szCs w:val="17"/>
                <w:lang w:eastAsia="zh-CN"/>
              </w:rPr>
              <w:tab/>
            </w:r>
            <w:r w:rsidRPr="002274DC">
              <w:rPr>
                <w:rFonts w:eastAsia="Calibri"/>
                <w:b/>
                <w:bCs/>
                <w:sz w:val="17"/>
                <w:szCs w:val="17"/>
                <w:lang w:eastAsia="zh-CN"/>
              </w:rPr>
              <w:t>Programmes de sensibilisation, manifestations spéciales et documents d</w:t>
            </w:r>
            <w:r w:rsidR="00455787">
              <w:rPr>
                <w:rFonts w:eastAsia="Calibri"/>
                <w:b/>
                <w:bCs/>
                <w:sz w:val="17"/>
                <w:szCs w:val="17"/>
                <w:lang w:eastAsia="zh-CN"/>
              </w:rPr>
              <w:t>’</w:t>
            </w:r>
            <w:r w:rsidRPr="002274DC">
              <w:rPr>
                <w:rFonts w:eastAsia="Calibri"/>
                <w:b/>
                <w:bCs/>
                <w:sz w:val="17"/>
                <w:szCs w:val="17"/>
                <w:lang w:eastAsia="zh-CN"/>
              </w:rPr>
              <w:t>information </w:t>
            </w:r>
            <w:r w:rsidRPr="002274DC">
              <w:rPr>
                <w:rFonts w:eastAsia="Calibri"/>
                <w:sz w:val="17"/>
                <w:szCs w:val="17"/>
                <w:lang w:eastAsia="zh-CN"/>
              </w:rPr>
              <w:t>: documents d</w:t>
            </w:r>
            <w:r w:rsidR="00455787">
              <w:rPr>
                <w:rFonts w:eastAsia="Calibri"/>
                <w:sz w:val="17"/>
                <w:szCs w:val="17"/>
                <w:lang w:eastAsia="zh-CN"/>
              </w:rPr>
              <w:t>’</w:t>
            </w:r>
            <w:r w:rsidRPr="002274DC">
              <w:rPr>
                <w:rFonts w:eastAsia="Calibri"/>
                <w:sz w:val="17"/>
                <w:szCs w:val="17"/>
                <w:lang w:eastAsia="zh-CN"/>
              </w:rPr>
              <w:t>information sur les instruments juridiques et les activités du sous-programme (4)</w:t>
            </w:r>
          </w:p>
        </w:tc>
      </w:tr>
      <w:tr w:rsidR="001C62ED" w:rsidRPr="002274DC" w14:paraId="0AD9BDE4" w14:textId="77777777" w:rsidTr="001C62ED">
        <w:tc>
          <w:tcPr>
            <w:tcW w:w="9213" w:type="dxa"/>
            <w:gridSpan w:val="2"/>
            <w:tcBorders>
              <w:bottom w:val="single" w:sz="12" w:space="0" w:color="auto"/>
            </w:tcBorders>
            <w:shd w:val="clear" w:color="auto" w:fill="auto"/>
            <w:vAlign w:val="bottom"/>
          </w:tcPr>
          <w:p w14:paraId="5C0C1F52" w14:textId="77777777" w:rsidR="001C62ED" w:rsidRPr="002274DC" w:rsidRDefault="001C62ED" w:rsidP="00AF5984">
            <w:pPr>
              <w:tabs>
                <w:tab w:val="left" w:pos="360"/>
              </w:tabs>
              <w:suppressAutoHyphens w:val="0"/>
              <w:spacing w:before="40" w:after="40" w:line="210" w:lineRule="exact"/>
              <w:ind w:right="43"/>
              <w:rPr>
                <w:rFonts w:eastAsia="Calibri"/>
                <w:sz w:val="17"/>
                <w:szCs w:val="17"/>
                <w:lang w:eastAsia="zh-CN"/>
              </w:rPr>
            </w:pPr>
            <w:r w:rsidRPr="002274DC">
              <w:rPr>
                <w:rFonts w:eastAsia="Calibri"/>
                <w:sz w:val="17"/>
                <w:szCs w:val="17"/>
                <w:lang w:eastAsia="zh-CN"/>
              </w:rPr>
              <w:tab/>
            </w:r>
            <w:r w:rsidRPr="002274DC">
              <w:rPr>
                <w:rFonts w:eastAsia="Calibri"/>
                <w:b/>
                <w:bCs/>
                <w:sz w:val="17"/>
                <w:szCs w:val="17"/>
                <w:lang w:eastAsia="zh-CN"/>
              </w:rPr>
              <w:t>Relations extérieures et relations avec les médias</w:t>
            </w:r>
            <w:r w:rsidRPr="002274DC">
              <w:rPr>
                <w:rFonts w:eastAsia="Calibri"/>
                <w:sz w:val="17"/>
                <w:szCs w:val="17"/>
                <w:lang w:eastAsia="zh-CN"/>
              </w:rPr>
              <w:t> : série annuelle de communiqués de presse pour le sous-programme (1)</w:t>
            </w:r>
          </w:p>
          <w:p w14:paraId="581A7A7C" w14:textId="77777777" w:rsidR="001C62ED" w:rsidRPr="002274DC" w:rsidRDefault="001C62ED" w:rsidP="00AF5984">
            <w:pPr>
              <w:tabs>
                <w:tab w:val="left" w:pos="360"/>
              </w:tabs>
              <w:suppressAutoHyphens w:val="0"/>
              <w:spacing w:before="40" w:after="40" w:line="210" w:lineRule="exact"/>
              <w:ind w:left="360" w:right="43" w:hanging="360"/>
              <w:rPr>
                <w:rFonts w:eastAsia="Calibri"/>
                <w:sz w:val="17"/>
                <w:szCs w:val="17"/>
                <w:lang w:eastAsia="zh-CN"/>
              </w:rPr>
            </w:pPr>
            <w:r w:rsidRPr="002274DC">
              <w:rPr>
                <w:rFonts w:eastAsia="Calibri"/>
                <w:sz w:val="17"/>
                <w:szCs w:val="17"/>
                <w:lang w:eastAsia="zh-CN"/>
              </w:rPr>
              <w:tab/>
            </w:r>
            <w:r w:rsidRPr="002274DC">
              <w:rPr>
                <w:rFonts w:eastAsia="Calibri"/>
                <w:b/>
                <w:bCs/>
                <w:sz w:val="17"/>
                <w:szCs w:val="17"/>
                <w:lang w:eastAsia="zh-CN"/>
              </w:rPr>
              <w:t>Plateformes numériques et contenu multimédia </w:t>
            </w:r>
            <w:r w:rsidRPr="002274DC">
              <w:rPr>
                <w:rFonts w:eastAsia="Calibri"/>
                <w:sz w:val="17"/>
                <w:szCs w:val="17"/>
                <w:lang w:eastAsia="zh-CN"/>
              </w:rPr>
              <w:t xml:space="preserve">: </w:t>
            </w:r>
            <w:r>
              <w:rPr>
                <w:rFonts w:eastAsia="Calibri"/>
                <w:sz w:val="17"/>
                <w:szCs w:val="17"/>
                <w:lang w:eastAsia="zh-CN"/>
              </w:rPr>
              <w:t>p</w:t>
            </w:r>
            <w:r w:rsidRPr="002274DC">
              <w:rPr>
                <w:rFonts w:eastAsia="Calibri"/>
                <w:sz w:val="17"/>
                <w:szCs w:val="17"/>
                <w:lang w:eastAsia="zh-CN"/>
              </w:rPr>
              <w:t xml:space="preserve">lateformes numériques et contenu multimédia </w:t>
            </w:r>
            <w:r>
              <w:rPr>
                <w:rFonts w:eastAsia="Calibri"/>
                <w:sz w:val="17"/>
                <w:szCs w:val="17"/>
                <w:lang w:eastAsia="zh-CN"/>
              </w:rPr>
              <w:t xml:space="preserve">sur les transports et la mobilité durables </w:t>
            </w:r>
            <w:r w:rsidRPr="002274DC">
              <w:rPr>
                <w:rFonts w:eastAsia="Calibri"/>
                <w:sz w:val="17"/>
                <w:szCs w:val="17"/>
                <w:lang w:eastAsia="zh-CN"/>
              </w:rPr>
              <w:t>(</w:t>
            </w:r>
            <w:r>
              <w:rPr>
                <w:rFonts w:eastAsia="Calibri"/>
                <w:sz w:val="17"/>
                <w:szCs w:val="17"/>
                <w:lang w:eastAsia="zh-CN"/>
              </w:rPr>
              <w:t>5</w:t>
            </w:r>
            <w:r w:rsidRPr="002274DC">
              <w:rPr>
                <w:rFonts w:eastAsia="Calibri"/>
                <w:sz w:val="17"/>
                <w:szCs w:val="17"/>
                <w:lang w:eastAsia="zh-CN"/>
              </w:rPr>
              <w:t>)</w:t>
            </w:r>
            <w:r>
              <w:rPr>
                <w:rFonts w:eastAsia="Calibri"/>
                <w:sz w:val="17"/>
                <w:szCs w:val="17"/>
                <w:lang w:eastAsia="zh-CN"/>
              </w:rPr>
              <w:t> ; mise à jour et administration du site Web du sous-programme (1)</w:t>
            </w:r>
          </w:p>
        </w:tc>
      </w:tr>
    </w:tbl>
    <w:p w14:paraId="5E569B4F" w14:textId="77777777" w:rsidR="004B655C" w:rsidRDefault="004B655C" w:rsidP="004D6315">
      <w:r>
        <w:br w:type="page"/>
      </w:r>
    </w:p>
    <w:p w14:paraId="3B910A7A" w14:textId="77777777" w:rsidR="004D6315" w:rsidRPr="002274DC" w:rsidRDefault="004D6315" w:rsidP="004B655C">
      <w:pPr>
        <w:pStyle w:val="HChG"/>
      </w:pPr>
      <w:r w:rsidRPr="00E712E2">
        <w:lastRenderedPageBreak/>
        <w:t>Annexe I</w:t>
      </w:r>
    </w:p>
    <w:p w14:paraId="464BCFEC" w14:textId="77777777" w:rsidR="004D6315" w:rsidRPr="002274DC" w:rsidRDefault="004D6315" w:rsidP="004B655C">
      <w:pPr>
        <w:pStyle w:val="HChG"/>
        <w:tabs>
          <w:tab w:val="clear" w:pos="851"/>
          <w:tab w:val="right" w:pos="426"/>
        </w:tabs>
      </w:pPr>
      <w:r w:rsidRPr="002274DC">
        <w:tab/>
      </w:r>
      <w:r w:rsidRPr="002274DC">
        <w:tab/>
        <w:t>Détail des publications et des documents promotionnels proposés pour 2021</w:t>
      </w:r>
    </w:p>
    <w:p w14:paraId="65747643" w14:textId="77777777" w:rsidR="004D6315" w:rsidRDefault="004B655C" w:rsidP="004B655C">
      <w:pPr>
        <w:pStyle w:val="H1G"/>
      </w:pPr>
      <w:r>
        <w:tab/>
        <w:t>A.</w:t>
      </w:r>
      <w:r>
        <w:tab/>
      </w:r>
      <w:r w:rsidR="004D6315" w:rsidRPr="002274DC">
        <w:t>Publications en série</w:t>
      </w:r>
    </w:p>
    <w:tbl>
      <w:tblPr>
        <w:tblW w:w="9638" w:type="dxa"/>
        <w:tblBorders>
          <w:top w:val="single" w:sz="12" w:space="0" w:color="auto"/>
          <w:left w:val="dotted" w:sz="4" w:space="0" w:color="auto"/>
          <w:bottom w:val="single" w:sz="12" w:space="0" w:color="auto"/>
          <w:right w:val="dotted" w:sz="4" w:space="0" w:color="auto"/>
          <w:insideH w:val="single"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421"/>
        <w:gridCol w:w="1521"/>
        <w:gridCol w:w="1314"/>
        <w:gridCol w:w="992"/>
        <w:gridCol w:w="708"/>
        <w:gridCol w:w="992"/>
        <w:gridCol w:w="992"/>
        <w:gridCol w:w="1559"/>
        <w:gridCol w:w="1139"/>
      </w:tblGrid>
      <w:tr w:rsidR="001B054B" w:rsidRPr="00065A5D" w14:paraId="2D010D5F" w14:textId="77777777" w:rsidTr="006567CD">
        <w:tc>
          <w:tcPr>
            <w:tcW w:w="421" w:type="dxa"/>
            <w:tcBorders>
              <w:top w:val="single" w:sz="12" w:space="0" w:color="auto"/>
              <w:left w:val="dotted" w:sz="4" w:space="0" w:color="auto"/>
              <w:bottom w:val="single" w:sz="4" w:space="0" w:color="auto"/>
              <w:right w:val="dotted" w:sz="4" w:space="0" w:color="auto"/>
            </w:tcBorders>
            <w:hideMark/>
          </w:tcPr>
          <w:p w14:paraId="3FE9C6E6" w14:textId="77777777" w:rsidR="004B655C" w:rsidRPr="00065A5D" w:rsidRDefault="004B655C" w:rsidP="004B655C">
            <w:pPr>
              <w:pStyle w:val="SingleTxt"/>
              <w:tabs>
                <w:tab w:val="clear" w:pos="4133"/>
                <w:tab w:val="left" w:pos="300"/>
              </w:tabs>
              <w:suppressAutoHyphens w:val="0"/>
              <w:spacing w:before="80" w:after="80" w:line="200" w:lineRule="exact"/>
              <w:ind w:left="0" w:right="0"/>
              <w:jc w:val="left"/>
              <w:rPr>
                <w:i/>
                <w:iCs/>
                <w:spacing w:val="0"/>
                <w:w w:val="100"/>
                <w:sz w:val="16"/>
                <w:szCs w:val="16"/>
                <w:lang w:val="fr-CH"/>
              </w:rPr>
            </w:pPr>
            <w:r w:rsidRPr="00065A5D">
              <w:rPr>
                <w:i/>
                <w:iCs/>
                <w:spacing w:val="0"/>
                <w:w w:val="100"/>
                <w:sz w:val="16"/>
                <w:szCs w:val="16"/>
                <w:lang w:val="fr-CH"/>
              </w:rPr>
              <w:t>No</w:t>
            </w:r>
          </w:p>
        </w:tc>
        <w:tc>
          <w:tcPr>
            <w:tcW w:w="1521" w:type="dxa"/>
            <w:tcBorders>
              <w:top w:val="single" w:sz="12" w:space="0" w:color="auto"/>
              <w:left w:val="dotted" w:sz="4" w:space="0" w:color="auto"/>
              <w:bottom w:val="single" w:sz="4" w:space="0" w:color="auto"/>
              <w:right w:val="dotted" w:sz="4" w:space="0" w:color="auto"/>
            </w:tcBorders>
            <w:hideMark/>
          </w:tcPr>
          <w:p w14:paraId="0680483D" w14:textId="77777777" w:rsidR="004B655C" w:rsidRPr="00065A5D" w:rsidRDefault="004B655C" w:rsidP="004B655C">
            <w:pPr>
              <w:pStyle w:val="SingleTxt"/>
              <w:suppressAutoHyphens w:val="0"/>
              <w:spacing w:before="80" w:after="80" w:line="200" w:lineRule="exact"/>
              <w:ind w:left="0" w:right="0"/>
              <w:jc w:val="left"/>
              <w:rPr>
                <w:i/>
                <w:iCs/>
                <w:spacing w:val="0"/>
                <w:w w:val="100"/>
                <w:sz w:val="16"/>
                <w:szCs w:val="16"/>
                <w:lang w:val="fr-CH"/>
              </w:rPr>
            </w:pPr>
            <w:r w:rsidRPr="00065A5D">
              <w:rPr>
                <w:i/>
                <w:iCs/>
                <w:spacing w:val="0"/>
                <w:w w:val="100"/>
                <w:sz w:val="16"/>
                <w:szCs w:val="16"/>
                <w:lang w:val="fr-CH"/>
              </w:rPr>
              <w:t>Titre</w:t>
            </w:r>
          </w:p>
        </w:tc>
        <w:tc>
          <w:tcPr>
            <w:tcW w:w="1314" w:type="dxa"/>
            <w:tcBorders>
              <w:top w:val="single" w:sz="12" w:space="0" w:color="auto"/>
              <w:left w:val="dotted" w:sz="4" w:space="0" w:color="auto"/>
              <w:bottom w:val="single" w:sz="4" w:space="0" w:color="auto"/>
              <w:right w:val="dotted" w:sz="4" w:space="0" w:color="auto"/>
            </w:tcBorders>
            <w:hideMark/>
          </w:tcPr>
          <w:p w14:paraId="0260081B" w14:textId="77777777" w:rsidR="004B655C" w:rsidRPr="00065A5D" w:rsidRDefault="004B655C" w:rsidP="004B655C">
            <w:pPr>
              <w:pStyle w:val="SingleTxt"/>
              <w:suppressAutoHyphens w:val="0"/>
              <w:spacing w:before="80" w:after="80" w:line="200" w:lineRule="exact"/>
              <w:ind w:left="0" w:right="0"/>
              <w:jc w:val="left"/>
              <w:rPr>
                <w:i/>
                <w:iCs/>
                <w:spacing w:val="0"/>
                <w:w w:val="100"/>
                <w:sz w:val="16"/>
                <w:szCs w:val="16"/>
                <w:lang w:val="fr-CH"/>
              </w:rPr>
            </w:pPr>
            <w:r w:rsidRPr="00065A5D">
              <w:rPr>
                <w:i/>
                <w:iCs/>
                <w:spacing w:val="0"/>
                <w:w w:val="100"/>
                <w:sz w:val="16"/>
                <w:szCs w:val="16"/>
                <w:lang w:val="fr-CH"/>
              </w:rPr>
              <w:t>Mandat</w:t>
            </w:r>
          </w:p>
        </w:tc>
        <w:tc>
          <w:tcPr>
            <w:tcW w:w="992" w:type="dxa"/>
            <w:tcBorders>
              <w:top w:val="single" w:sz="12" w:space="0" w:color="auto"/>
              <w:left w:val="dotted" w:sz="4" w:space="0" w:color="auto"/>
              <w:bottom w:val="single" w:sz="4" w:space="0" w:color="auto"/>
              <w:right w:val="dotted" w:sz="4" w:space="0" w:color="auto"/>
            </w:tcBorders>
            <w:hideMark/>
          </w:tcPr>
          <w:p w14:paraId="3923B346" w14:textId="77777777" w:rsidR="004B655C" w:rsidRPr="00065A5D" w:rsidRDefault="004B655C" w:rsidP="004B655C">
            <w:pPr>
              <w:pStyle w:val="SingleTxt"/>
              <w:suppressAutoHyphens w:val="0"/>
              <w:spacing w:before="80" w:after="80" w:line="200" w:lineRule="exact"/>
              <w:ind w:left="0" w:right="0"/>
              <w:jc w:val="left"/>
              <w:rPr>
                <w:i/>
                <w:iCs/>
                <w:spacing w:val="0"/>
                <w:w w:val="100"/>
                <w:sz w:val="16"/>
                <w:szCs w:val="16"/>
                <w:lang w:val="fr-CH"/>
              </w:rPr>
            </w:pPr>
            <w:r w:rsidRPr="00065A5D">
              <w:rPr>
                <w:i/>
                <w:iCs/>
                <w:spacing w:val="0"/>
                <w:w w:val="100"/>
                <w:sz w:val="16"/>
                <w:szCs w:val="16"/>
                <w:lang w:val="fr-CH"/>
              </w:rPr>
              <w:t>Version papier ou électronique</w:t>
            </w:r>
          </w:p>
        </w:tc>
        <w:tc>
          <w:tcPr>
            <w:tcW w:w="708" w:type="dxa"/>
            <w:tcBorders>
              <w:top w:val="single" w:sz="12" w:space="0" w:color="auto"/>
              <w:left w:val="dotted" w:sz="4" w:space="0" w:color="auto"/>
              <w:bottom w:val="single" w:sz="4" w:space="0" w:color="auto"/>
              <w:right w:val="dotted" w:sz="4" w:space="0" w:color="auto"/>
            </w:tcBorders>
            <w:hideMark/>
          </w:tcPr>
          <w:p w14:paraId="29A15881" w14:textId="77777777" w:rsidR="004B655C" w:rsidRPr="00065A5D" w:rsidRDefault="004B655C" w:rsidP="004B655C">
            <w:pPr>
              <w:pStyle w:val="SingleTxt"/>
              <w:suppressAutoHyphens w:val="0"/>
              <w:spacing w:before="80" w:after="80" w:line="200" w:lineRule="exact"/>
              <w:ind w:left="0" w:right="0"/>
              <w:jc w:val="left"/>
              <w:rPr>
                <w:i/>
                <w:iCs/>
                <w:spacing w:val="0"/>
                <w:w w:val="100"/>
                <w:sz w:val="16"/>
                <w:szCs w:val="16"/>
                <w:lang w:val="fr-CH"/>
              </w:rPr>
            </w:pPr>
            <w:r w:rsidRPr="00065A5D">
              <w:rPr>
                <w:i/>
                <w:iCs/>
                <w:spacing w:val="0"/>
                <w:w w:val="100"/>
                <w:sz w:val="16"/>
                <w:szCs w:val="16"/>
                <w:lang w:val="fr-CH"/>
              </w:rPr>
              <w:t>Format</w:t>
            </w:r>
          </w:p>
        </w:tc>
        <w:tc>
          <w:tcPr>
            <w:tcW w:w="992" w:type="dxa"/>
            <w:tcBorders>
              <w:top w:val="single" w:sz="12" w:space="0" w:color="auto"/>
              <w:left w:val="dotted" w:sz="4" w:space="0" w:color="auto"/>
              <w:bottom w:val="single" w:sz="4" w:space="0" w:color="auto"/>
              <w:right w:val="dotted" w:sz="4" w:space="0" w:color="auto"/>
            </w:tcBorders>
            <w:hideMark/>
          </w:tcPr>
          <w:p w14:paraId="2DCD0FB3" w14:textId="77777777" w:rsidR="004B655C" w:rsidRPr="00065A5D" w:rsidRDefault="004B655C" w:rsidP="004B655C">
            <w:pPr>
              <w:pStyle w:val="SingleTxt"/>
              <w:suppressAutoHyphens w:val="0"/>
              <w:spacing w:before="80" w:after="80" w:line="200" w:lineRule="exact"/>
              <w:ind w:left="0" w:right="0"/>
              <w:jc w:val="left"/>
              <w:rPr>
                <w:i/>
                <w:iCs/>
                <w:spacing w:val="0"/>
                <w:w w:val="100"/>
                <w:sz w:val="16"/>
                <w:szCs w:val="16"/>
                <w:lang w:val="fr-CH"/>
              </w:rPr>
            </w:pPr>
            <w:r w:rsidRPr="00065A5D">
              <w:rPr>
                <w:i/>
                <w:iCs/>
                <w:spacing w:val="0"/>
                <w:w w:val="100"/>
                <w:sz w:val="16"/>
                <w:szCs w:val="16"/>
                <w:lang w:val="fr-CH"/>
              </w:rPr>
              <w:t>Nombre de</w:t>
            </w:r>
            <w:r w:rsidR="00E712E2">
              <w:rPr>
                <w:i/>
                <w:iCs/>
                <w:spacing w:val="0"/>
                <w:w w:val="100"/>
                <w:sz w:val="16"/>
                <w:szCs w:val="16"/>
                <w:lang w:val="fr-CH"/>
              </w:rPr>
              <w:t> </w:t>
            </w:r>
            <w:r w:rsidRPr="00065A5D">
              <w:rPr>
                <w:i/>
                <w:iCs/>
                <w:spacing w:val="0"/>
                <w:w w:val="100"/>
                <w:sz w:val="16"/>
                <w:szCs w:val="16"/>
                <w:lang w:val="fr-CH"/>
              </w:rPr>
              <w:t>pages</w:t>
            </w:r>
          </w:p>
        </w:tc>
        <w:tc>
          <w:tcPr>
            <w:tcW w:w="992" w:type="dxa"/>
            <w:tcBorders>
              <w:top w:val="single" w:sz="12" w:space="0" w:color="auto"/>
              <w:left w:val="dotted" w:sz="4" w:space="0" w:color="auto"/>
              <w:bottom w:val="single" w:sz="4" w:space="0" w:color="auto"/>
              <w:right w:val="dotted" w:sz="4" w:space="0" w:color="auto"/>
            </w:tcBorders>
            <w:hideMark/>
          </w:tcPr>
          <w:p w14:paraId="2EE020C4" w14:textId="77777777" w:rsidR="004B655C" w:rsidRPr="00065A5D" w:rsidRDefault="004B655C" w:rsidP="004B655C">
            <w:pPr>
              <w:pStyle w:val="SingleTxt"/>
              <w:suppressAutoHyphens w:val="0"/>
              <w:spacing w:before="80" w:after="80" w:line="200" w:lineRule="exact"/>
              <w:ind w:left="0" w:right="0"/>
              <w:jc w:val="left"/>
              <w:rPr>
                <w:i/>
                <w:iCs/>
                <w:spacing w:val="0"/>
                <w:w w:val="100"/>
                <w:sz w:val="16"/>
                <w:szCs w:val="16"/>
                <w:lang w:val="fr-CH"/>
              </w:rPr>
            </w:pPr>
            <w:r w:rsidRPr="00065A5D">
              <w:rPr>
                <w:i/>
                <w:iCs/>
                <w:spacing w:val="0"/>
                <w:w w:val="100"/>
                <w:sz w:val="16"/>
                <w:szCs w:val="16"/>
                <w:lang w:val="fr-CH"/>
              </w:rPr>
              <w:t>Langue(s) originale(s)</w:t>
            </w:r>
          </w:p>
        </w:tc>
        <w:tc>
          <w:tcPr>
            <w:tcW w:w="1559" w:type="dxa"/>
            <w:tcBorders>
              <w:top w:val="single" w:sz="12" w:space="0" w:color="auto"/>
              <w:left w:val="dotted" w:sz="4" w:space="0" w:color="auto"/>
              <w:bottom w:val="single" w:sz="4" w:space="0" w:color="auto"/>
              <w:right w:val="dotted" w:sz="4" w:space="0" w:color="auto"/>
            </w:tcBorders>
            <w:hideMark/>
          </w:tcPr>
          <w:p w14:paraId="6755D7C4" w14:textId="77777777" w:rsidR="004B655C" w:rsidRPr="00065A5D" w:rsidRDefault="004B655C" w:rsidP="004B655C">
            <w:pPr>
              <w:pStyle w:val="SingleTxt"/>
              <w:suppressAutoHyphens w:val="0"/>
              <w:spacing w:before="80" w:after="80" w:line="200" w:lineRule="exact"/>
              <w:ind w:left="0" w:right="0"/>
              <w:jc w:val="left"/>
              <w:rPr>
                <w:i/>
                <w:iCs/>
                <w:spacing w:val="0"/>
                <w:w w:val="100"/>
                <w:sz w:val="16"/>
                <w:szCs w:val="16"/>
                <w:lang w:val="fr-CH"/>
              </w:rPr>
            </w:pPr>
            <w:r w:rsidRPr="00065A5D">
              <w:rPr>
                <w:i/>
                <w:iCs/>
                <w:spacing w:val="0"/>
                <w:w w:val="100"/>
                <w:sz w:val="16"/>
                <w:szCs w:val="16"/>
                <w:lang w:val="fr-CH"/>
              </w:rPr>
              <w:t>Traduction(s) et source de financement (budget ordinaire ou ressources extrabudgétaires)</w:t>
            </w:r>
          </w:p>
        </w:tc>
        <w:tc>
          <w:tcPr>
            <w:tcW w:w="1139" w:type="dxa"/>
            <w:tcBorders>
              <w:top w:val="single" w:sz="12" w:space="0" w:color="auto"/>
              <w:left w:val="dotted" w:sz="4" w:space="0" w:color="auto"/>
              <w:bottom w:val="single" w:sz="4" w:space="0" w:color="auto"/>
              <w:right w:val="dotted" w:sz="4" w:space="0" w:color="auto"/>
            </w:tcBorders>
            <w:hideMark/>
          </w:tcPr>
          <w:p w14:paraId="63436EDD" w14:textId="77777777" w:rsidR="004B655C" w:rsidRPr="00065A5D" w:rsidRDefault="004B655C" w:rsidP="004B655C">
            <w:pPr>
              <w:pStyle w:val="SingleTxt"/>
              <w:suppressAutoHyphens w:val="0"/>
              <w:spacing w:before="80" w:after="80" w:line="200" w:lineRule="exact"/>
              <w:ind w:left="0" w:right="0"/>
              <w:jc w:val="left"/>
              <w:rPr>
                <w:i/>
                <w:iCs/>
                <w:spacing w:val="0"/>
                <w:w w:val="100"/>
                <w:sz w:val="16"/>
                <w:szCs w:val="16"/>
                <w:lang w:val="fr-CH"/>
              </w:rPr>
            </w:pPr>
            <w:r w:rsidRPr="00065A5D">
              <w:rPr>
                <w:i/>
                <w:iCs/>
                <w:spacing w:val="0"/>
                <w:w w:val="100"/>
                <w:sz w:val="16"/>
                <w:szCs w:val="16"/>
                <w:lang w:val="fr-CH"/>
              </w:rPr>
              <w:t>Nombre d</w:t>
            </w:r>
            <w:r w:rsidR="00455787">
              <w:rPr>
                <w:i/>
                <w:iCs/>
                <w:spacing w:val="0"/>
                <w:w w:val="100"/>
                <w:sz w:val="16"/>
                <w:szCs w:val="16"/>
                <w:lang w:val="fr-CH"/>
              </w:rPr>
              <w:t>’</w:t>
            </w:r>
            <w:r w:rsidRPr="00065A5D">
              <w:rPr>
                <w:i/>
                <w:iCs/>
                <w:spacing w:val="0"/>
                <w:w w:val="100"/>
                <w:sz w:val="16"/>
                <w:szCs w:val="16"/>
                <w:lang w:val="fr-CH"/>
              </w:rPr>
              <w:t>exemplaires par langue(s)</w:t>
            </w:r>
          </w:p>
        </w:tc>
      </w:tr>
      <w:tr w:rsidR="001B054B" w:rsidRPr="00065A5D" w14:paraId="51B15186" w14:textId="77777777" w:rsidTr="006567CD">
        <w:tc>
          <w:tcPr>
            <w:tcW w:w="421" w:type="dxa"/>
            <w:tcBorders>
              <w:top w:val="single" w:sz="4" w:space="0" w:color="auto"/>
              <w:left w:val="dotted" w:sz="4" w:space="0" w:color="auto"/>
              <w:bottom w:val="single" w:sz="4" w:space="0" w:color="auto"/>
              <w:right w:val="dotted" w:sz="4" w:space="0" w:color="auto"/>
            </w:tcBorders>
            <w:hideMark/>
          </w:tcPr>
          <w:p w14:paraId="1C6ABD5F" w14:textId="77777777" w:rsidR="004B655C" w:rsidRPr="00065A5D" w:rsidRDefault="004B655C" w:rsidP="004B655C">
            <w:pPr>
              <w:pStyle w:val="SingleTxt"/>
              <w:suppressAutoHyphens w:val="0"/>
              <w:spacing w:before="80" w:after="80" w:line="200" w:lineRule="exact"/>
              <w:ind w:left="0" w:right="113"/>
              <w:jc w:val="left"/>
              <w:rPr>
                <w:iCs/>
                <w:spacing w:val="0"/>
                <w:w w:val="100"/>
                <w:sz w:val="16"/>
                <w:szCs w:val="16"/>
                <w:lang w:val="fr-CH"/>
              </w:rPr>
            </w:pPr>
            <w:r w:rsidRPr="00065A5D">
              <w:rPr>
                <w:spacing w:val="0"/>
                <w:w w:val="100"/>
                <w:sz w:val="16"/>
                <w:szCs w:val="16"/>
                <w:lang w:val="fr-CH"/>
              </w:rPr>
              <w:t>1</w:t>
            </w:r>
          </w:p>
        </w:tc>
        <w:tc>
          <w:tcPr>
            <w:tcW w:w="1521" w:type="dxa"/>
            <w:tcBorders>
              <w:top w:val="single" w:sz="4" w:space="0" w:color="auto"/>
              <w:left w:val="dotted" w:sz="4" w:space="0" w:color="auto"/>
              <w:bottom w:val="single" w:sz="4" w:space="0" w:color="auto"/>
              <w:right w:val="dotted" w:sz="4" w:space="0" w:color="auto"/>
            </w:tcBorders>
            <w:hideMark/>
          </w:tcPr>
          <w:p w14:paraId="45EFA068"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Recommandations relatives au transport des marchandises dangereuses, Règlements type, 22</w:t>
            </w:r>
            <w:r w:rsidRPr="00E712E2">
              <w:rPr>
                <w:iCs/>
                <w:spacing w:val="0"/>
                <w:w w:val="100"/>
                <w:sz w:val="16"/>
                <w:szCs w:val="16"/>
                <w:vertAlign w:val="superscript"/>
                <w:lang w:val="fr-CH"/>
              </w:rPr>
              <w:t>e</w:t>
            </w:r>
            <w:r w:rsidR="00E712E2">
              <w:rPr>
                <w:iCs/>
                <w:spacing w:val="0"/>
                <w:w w:val="100"/>
                <w:sz w:val="16"/>
                <w:szCs w:val="16"/>
                <w:lang w:val="fr-CH"/>
              </w:rPr>
              <w:t> </w:t>
            </w:r>
            <w:r w:rsidRPr="00065A5D">
              <w:rPr>
                <w:iCs/>
                <w:spacing w:val="0"/>
                <w:w w:val="100"/>
                <w:sz w:val="16"/>
                <w:szCs w:val="16"/>
                <w:lang w:val="fr-CH"/>
              </w:rPr>
              <w:t>édition révisée, vol. I et II</w:t>
            </w:r>
          </w:p>
        </w:tc>
        <w:tc>
          <w:tcPr>
            <w:tcW w:w="1314" w:type="dxa"/>
            <w:tcBorders>
              <w:top w:val="single" w:sz="4" w:space="0" w:color="auto"/>
              <w:left w:val="dotted" w:sz="4" w:space="0" w:color="auto"/>
              <w:bottom w:val="single" w:sz="4" w:space="0" w:color="auto"/>
              <w:right w:val="dotted" w:sz="4" w:space="0" w:color="auto"/>
            </w:tcBorders>
            <w:hideMark/>
          </w:tcPr>
          <w:p w14:paraId="14E986C8"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ECE/TRANS/294, par. 138</w:t>
            </w:r>
          </w:p>
        </w:tc>
        <w:tc>
          <w:tcPr>
            <w:tcW w:w="992" w:type="dxa"/>
            <w:tcBorders>
              <w:top w:val="single" w:sz="4" w:space="0" w:color="auto"/>
              <w:left w:val="dotted" w:sz="4" w:space="0" w:color="auto"/>
              <w:bottom w:val="single" w:sz="4" w:space="0" w:color="auto"/>
              <w:right w:val="dotted" w:sz="4" w:space="0" w:color="auto"/>
            </w:tcBorders>
            <w:hideMark/>
          </w:tcPr>
          <w:p w14:paraId="5DE467B1"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Versions papier et électronique</w:t>
            </w:r>
          </w:p>
        </w:tc>
        <w:tc>
          <w:tcPr>
            <w:tcW w:w="708" w:type="dxa"/>
            <w:tcBorders>
              <w:top w:val="single" w:sz="4" w:space="0" w:color="auto"/>
              <w:left w:val="dotted" w:sz="4" w:space="0" w:color="auto"/>
              <w:bottom w:val="single" w:sz="4" w:space="0" w:color="auto"/>
              <w:right w:val="dotted" w:sz="4" w:space="0" w:color="auto"/>
            </w:tcBorders>
          </w:tcPr>
          <w:p w14:paraId="1E6AE49E"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p>
        </w:tc>
        <w:tc>
          <w:tcPr>
            <w:tcW w:w="992" w:type="dxa"/>
            <w:tcBorders>
              <w:top w:val="single" w:sz="4" w:space="0" w:color="auto"/>
              <w:left w:val="dotted" w:sz="4" w:space="0" w:color="auto"/>
              <w:bottom w:val="single" w:sz="4" w:space="0" w:color="auto"/>
              <w:right w:val="dotted" w:sz="4" w:space="0" w:color="auto"/>
            </w:tcBorders>
            <w:hideMark/>
          </w:tcPr>
          <w:p w14:paraId="05D149C8"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Vol. I : 470</w:t>
            </w:r>
            <w:r w:rsidRPr="00065A5D">
              <w:rPr>
                <w:iCs/>
                <w:spacing w:val="0"/>
                <w:w w:val="100"/>
                <w:sz w:val="16"/>
                <w:szCs w:val="16"/>
                <w:lang w:val="fr-CH"/>
              </w:rPr>
              <w:br/>
              <w:t>Vol. II :460</w:t>
            </w:r>
          </w:p>
        </w:tc>
        <w:tc>
          <w:tcPr>
            <w:tcW w:w="992" w:type="dxa"/>
            <w:tcBorders>
              <w:top w:val="single" w:sz="4" w:space="0" w:color="auto"/>
              <w:left w:val="dotted" w:sz="4" w:space="0" w:color="auto"/>
              <w:bottom w:val="single" w:sz="4" w:space="0" w:color="auto"/>
              <w:right w:val="dotted" w:sz="4" w:space="0" w:color="auto"/>
            </w:tcBorders>
            <w:hideMark/>
          </w:tcPr>
          <w:p w14:paraId="490842F7"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Anglais, espagnol et français</w:t>
            </w:r>
          </w:p>
        </w:tc>
        <w:tc>
          <w:tcPr>
            <w:tcW w:w="1559" w:type="dxa"/>
            <w:tcBorders>
              <w:top w:val="single" w:sz="4" w:space="0" w:color="auto"/>
              <w:left w:val="dotted" w:sz="4" w:space="0" w:color="auto"/>
              <w:bottom w:val="single" w:sz="4" w:space="0" w:color="auto"/>
              <w:right w:val="dotted" w:sz="4" w:space="0" w:color="auto"/>
            </w:tcBorders>
          </w:tcPr>
          <w:p w14:paraId="5CFDD83E" w14:textId="77777777" w:rsidR="004B655C" w:rsidRPr="00065A5D" w:rsidRDefault="004B655C" w:rsidP="004B655C">
            <w:pPr>
              <w:pStyle w:val="SingleTxt"/>
              <w:suppressAutoHyphens w:val="0"/>
              <w:spacing w:before="80" w:after="80" w:line="240" w:lineRule="auto"/>
              <w:ind w:left="0" w:right="0"/>
              <w:jc w:val="left"/>
              <w:rPr>
                <w:iCs/>
                <w:spacing w:val="0"/>
                <w:w w:val="100"/>
                <w:sz w:val="16"/>
                <w:szCs w:val="16"/>
                <w:lang w:val="fr-CH"/>
              </w:rPr>
            </w:pPr>
            <w:r w:rsidRPr="00065A5D">
              <w:rPr>
                <w:iCs/>
                <w:spacing w:val="0"/>
                <w:w w:val="100"/>
                <w:sz w:val="16"/>
                <w:szCs w:val="16"/>
                <w:lang w:val="fr-CH"/>
              </w:rPr>
              <w:t>Arabe, chinois et russe</w:t>
            </w:r>
          </w:p>
        </w:tc>
        <w:tc>
          <w:tcPr>
            <w:tcW w:w="1139" w:type="dxa"/>
            <w:tcBorders>
              <w:top w:val="single" w:sz="4" w:space="0" w:color="auto"/>
              <w:left w:val="dotted" w:sz="4" w:space="0" w:color="auto"/>
              <w:bottom w:val="single" w:sz="4" w:space="0" w:color="auto"/>
              <w:right w:val="dotted" w:sz="4" w:space="0" w:color="auto"/>
            </w:tcBorders>
            <w:hideMark/>
          </w:tcPr>
          <w:p w14:paraId="115DAC8D" w14:textId="77777777" w:rsidR="004B655C" w:rsidRPr="00065A5D" w:rsidRDefault="004B655C" w:rsidP="004B655C">
            <w:pPr>
              <w:pStyle w:val="SingleTxt"/>
              <w:suppressAutoHyphens w:val="0"/>
              <w:spacing w:before="80" w:after="80" w:line="240" w:lineRule="auto"/>
              <w:ind w:left="0" w:right="0"/>
              <w:jc w:val="left"/>
              <w:rPr>
                <w:iCs/>
                <w:spacing w:val="0"/>
                <w:w w:val="100"/>
                <w:sz w:val="16"/>
                <w:szCs w:val="16"/>
                <w:lang w:val="fr-CH"/>
              </w:rPr>
            </w:pPr>
            <w:r w:rsidRPr="00065A5D">
              <w:rPr>
                <w:iCs/>
                <w:spacing w:val="0"/>
                <w:w w:val="100"/>
                <w:sz w:val="16"/>
                <w:szCs w:val="16"/>
                <w:lang w:val="fr-CH"/>
              </w:rPr>
              <w:t>200 (anglais), 15 (arabe), 30 (chinois), 30 (espagnol), 50 (français), 20 (russe)</w:t>
            </w:r>
          </w:p>
        </w:tc>
      </w:tr>
      <w:tr w:rsidR="001B054B" w:rsidRPr="00065A5D" w14:paraId="35E54380" w14:textId="77777777" w:rsidTr="006567CD">
        <w:tc>
          <w:tcPr>
            <w:tcW w:w="421" w:type="dxa"/>
            <w:tcBorders>
              <w:top w:val="single" w:sz="4" w:space="0" w:color="auto"/>
              <w:left w:val="dotted" w:sz="4" w:space="0" w:color="auto"/>
              <w:bottom w:val="single" w:sz="4" w:space="0" w:color="auto"/>
              <w:right w:val="dotted" w:sz="4" w:space="0" w:color="auto"/>
            </w:tcBorders>
            <w:hideMark/>
          </w:tcPr>
          <w:p w14:paraId="1A915347" w14:textId="77777777" w:rsidR="004B655C" w:rsidRPr="00065A5D" w:rsidRDefault="004B655C" w:rsidP="004B655C">
            <w:pPr>
              <w:pStyle w:val="SingleTxt"/>
              <w:suppressAutoHyphens w:val="0"/>
              <w:spacing w:before="80" w:after="80" w:line="200" w:lineRule="exact"/>
              <w:ind w:left="0" w:right="113"/>
              <w:jc w:val="left"/>
              <w:rPr>
                <w:iCs/>
                <w:spacing w:val="0"/>
                <w:w w:val="100"/>
                <w:sz w:val="16"/>
                <w:szCs w:val="16"/>
                <w:lang w:val="fr-CH"/>
              </w:rPr>
            </w:pPr>
            <w:r w:rsidRPr="00065A5D">
              <w:rPr>
                <w:spacing w:val="0"/>
                <w:w w:val="100"/>
                <w:sz w:val="16"/>
                <w:szCs w:val="16"/>
                <w:lang w:val="fr-CH"/>
              </w:rPr>
              <w:t>2</w:t>
            </w:r>
          </w:p>
        </w:tc>
        <w:tc>
          <w:tcPr>
            <w:tcW w:w="1521" w:type="dxa"/>
            <w:tcBorders>
              <w:top w:val="single" w:sz="4" w:space="0" w:color="auto"/>
              <w:left w:val="dotted" w:sz="4" w:space="0" w:color="auto"/>
              <w:bottom w:val="single" w:sz="4" w:space="0" w:color="auto"/>
              <w:right w:val="dotted" w:sz="4" w:space="0" w:color="auto"/>
            </w:tcBorders>
            <w:hideMark/>
          </w:tcPr>
          <w:p w14:paraId="54349D37"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Système général harmonisé de classification et d</w:t>
            </w:r>
            <w:r w:rsidR="00455787">
              <w:rPr>
                <w:iCs/>
                <w:spacing w:val="0"/>
                <w:w w:val="100"/>
                <w:sz w:val="16"/>
                <w:szCs w:val="16"/>
                <w:lang w:val="fr-CH"/>
              </w:rPr>
              <w:t>’</w:t>
            </w:r>
            <w:r w:rsidRPr="00065A5D">
              <w:rPr>
                <w:iCs/>
                <w:spacing w:val="0"/>
                <w:w w:val="100"/>
                <w:sz w:val="16"/>
                <w:szCs w:val="16"/>
                <w:lang w:val="fr-CH"/>
              </w:rPr>
              <w:t>étiquetage des produits chimiques (SGH), 9</w:t>
            </w:r>
            <w:r w:rsidRPr="00E712E2">
              <w:rPr>
                <w:iCs/>
                <w:spacing w:val="0"/>
                <w:w w:val="100"/>
                <w:sz w:val="16"/>
                <w:szCs w:val="16"/>
                <w:vertAlign w:val="superscript"/>
                <w:lang w:val="fr-CH"/>
              </w:rPr>
              <w:t>e</w:t>
            </w:r>
            <w:r w:rsidR="00E712E2">
              <w:rPr>
                <w:iCs/>
                <w:spacing w:val="0"/>
                <w:w w:val="100"/>
                <w:sz w:val="16"/>
                <w:szCs w:val="16"/>
                <w:lang w:val="fr-CH"/>
              </w:rPr>
              <w:t> </w:t>
            </w:r>
            <w:r w:rsidRPr="00065A5D">
              <w:rPr>
                <w:iCs/>
                <w:spacing w:val="0"/>
                <w:w w:val="100"/>
                <w:sz w:val="16"/>
                <w:szCs w:val="16"/>
                <w:lang w:val="fr-CH"/>
              </w:rPr>
              <w:t>édition révisée</w:t>
            </w:r>
          </w:p>
        </w:tc>
        <w:tc>
          <w:tcPr>
            <w:tcW w:w="1314" w:type="dxa"/>
            <w:tcBorders>
              <w:top w:val="single" w:sz="4" w:space="0" w:color="auto"/>
              <w:left w:val="dotted" w:sz="4" w:space="0" w:color="auto"/>
              <w:bottom w:val="single" w:sz="4" w:space="0" w:color="auto"/>
              <w:right w:val="dotted" w:sz="4" w:space="0" w:color="auto"/>
            </w:tcBorders>
            <w:hideMark/>
          </w:tcPr>
          <w:p w14:paraId="01801955"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ECE/TRANS/294, par. 138</w:t>
            </w:r>
          </w:p>
        </w:tc>
        <w:tc>
          <w:tcPr>
            <w:tcW w:w="992" w:type="dxa"/>
            <w:tcBorders>
              <w:top w:val="single" w:sz="4" w:space="0" w:color="auto"/>
              <w:left w:val="dotted" w:sz="4" w:space="0" w:color="auto"/>
              <w:bottom w:val="single" w:sz="4" w:space="0" w:color="auto"/>
              <w:right w:val="dotted" w:sz="4" w:space="0" w:color="auto"/>
            </w:tcBorders>
            <w:hideMark/>
          </w:tcPr>
          <w:p w14:paraId="2A5876E5"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Versions papier et électronique</w:t>
            </w:r>
          </w:p>
        </w:tc>
        <w:tc>
          <w:tcPr>
            <w:tcW w:w="708" w:type="dxa"/>
            <w:tcBorders>
              <w:top w:val="single" w:sz="4" w:space="0" w:color="auto"/>
              <w:left w:val="dotted" w:sz="4" w:space="0" w:color="auto"/>
              <w:bottom w:val="single" w:sz="4" w:space="0" w:color="auto"/>
              <w:right w:val="dotted" w:sz="4" w:space="0" w:color="auto"/>
            </w:tcBorders>
          </w:tcPr>
          <w:p w14:paraId="1ED5FEB2"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p>
        </w:tc>
        <w:tc>
          <w:tcPr>
            <w:tcW w:w="992" w:type="dxa"/>
            <w:tcBorders>
              <w:top w:val="single" w:sz="4" w:space="0" w:color="auto"/>
              <w:left w:val="dotted" w:sz="4" w:space="0" w:color="auto"/>
              <w:bottom w:val="single" w:sz="4" w:space="0" w:color="auto"/>
              <w:right w:val="dotted" w:sz="4" w:space="0" w:color="auto"/>
            </w:tcBorders>
            <w:hideMark/>
          </w:tcPr>
          <w:p w14:paraId="1298A6EE"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spacing w:val="0"/>
                <w:w w:val="100"/>
                <w:sz w:val="16"/>
                <w:szCs w:val="16"/>
                <w:lang w:val="fr-CH"/>
              </w:rPr>
              <w:t>630</w:t>
            </w:r>
          </w:p>
        </w:tc>
        <w:tc>
          <w:tcPr>
            <w:tcW w:w="992" w:type="dxa"/>
            <w:tcBorders>
              <w:top w:val="single" w:sz="4" w:space="0" w:color="auto"/>
              <w:left w:val="dotted" w:sz="4" w:space="0" w:color="auto"/>
              <w:bottom w:val="single" w:sz="4" w:space="0" w:color="auto"/>
              <w:right w:val="dotted" w:sz="4" w:space="0" w:color="auto"/>
            </w:tcBorders>
            <w:hideMark/>
          </w:tcPr>
          <w:p w14:paraId="0548B365"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Anglais, espagnol et français</w:t>
            </w:r>
          </w:p>
        </w:tc>
        <w:tc>
          <w:tcPr>
            <w:tcW w:w="1559" w:type="dxa"/>
            <w:tcBorders>
              <w:top w:val="single" w:sz="4" w:space="0" w:color="auto"/>
              <w:left w:val="dotted" w:sz="4" w:space="0" w:color="auto"/>
              <w:bottom w:val="single" w:sz="4" w:space="0" w:color="auto"/>
              <w:right w:val="dotted" w:sz="4" w:space="0" w:color="auto"/>
            </w:tcBorders>
            <w:hideMark/>
          </w:tcPr>
          <w:p w14:paraId="5116EAFE"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Arabe, chinois et russe</w:t>
            </w:r>
          </w:p>
        </w:tc>
        <w:tc>
          <w:tcPr>
            <w:tcW w:w="1139" w:type="dxa"/>
            <w:tcBorders>
              <w:top w:val="single" w:sz="4" w:space="0" w:color="auto"/>
              <w:left w:val="dotted" w:sz="4" w:space="0" w:color="auto"/>
              <w:bottom w:val="single" w:sz="4" w:space="0" w:color="auto"/>
              <w:right w:val="dotted" w:sz="4" w:space="0" w:color="auto"/>
            </w:tcBorders>
            <w:hideMark/>
          </w:tcPr>
          <w:p w14:paraId="7741E46E" w14:textId="77777777" w:rsidR="004B655C" w:rsidRPr="00065A5D" w:rsidRDefault="004B655C" w:rsidP="004B655C">
            <w:pPr>
              <w:pStyle w:val="SingleTxt"/>
              <w:suppressAutoHyphens w:val="0"/>
              <w:spacing w:before="80" w:after="80" w:line="240" w:lineRule="auto"/>
              <w:ind w:left="0" w:right="0"/>
              <w:jc w:val="left"/>
              <w:rPr>
                <w:iCs/>
                <w:spacing w:val="0"/>
                <w:w w:val="100"/>
                <w:sz w:val="16"/>
                <w:szCs w:val="16"/>
                <w:lang w:val="fr-CH"/>
              </w:rPr>
            </w:pPr>
            <w:r w:rsidRPr="00065A5D">
              <w:rPr>
                <w:iCs/>
                <w:spacing w:val="0"/>
                <w:w w:val="100"/>
                <w:sz w:val="16"/>
                <w:szCs w:val="16"/>
                <w:lang w:val="fr-CH"/>
              </w:rPr>
              <w:t>200 (anglais), 15 (arabe), 30 (chinois), 40 (espagnol), 40 (français), 25 (russe)</w:t>
            </w:r>
          </w:p>
        </w:tc>
      </w:tr>
      <w:tr w:rsidR="001B054B" w:rsidRPr="00065A5D" w14:paraId="288AE0FA" w14:textId="77777777" w:rsidTr="006567CD">
        <w:tc>
          <w:tcPr>
            <w:tcW w:w="421" w:type="dxa"/>
            <w:tcBorders>
              <w:top w:val="single" w:sz="4" w:space="0" w:color="auto"/>
              <w:left w:val="dotted" w:sz="4" w:space="0" w:color="auto"/>
              <w:bottom w:val="single" w:sz="4" w:space="0" w:color="auto"/>
              <w:right w:val="dotted" w:sz="4" w:space="0" w:color="auto"/>
            </w:tcBorders>
            <w:hideMark/>
          </w:tcPr>
          <w:p w14:paraId="375B62F0" w14:textId="77777777" w:rsidR="004B655C" w:rsidRPr="00065A5D" w:rsidRDefault="004B655C" w:rsidP="004B655C">
            <w:pPr>
              <w:pStyle w:val="SingleTxt"/>
              <w:suppressAutoHyphens w:val="0"/>
              <w:spacing w:before="80" w:after="80" w:line="200" w:lineRule="exact"/>
              <w:ind w:left="0" w:right="113"/>
              <w:jc w:val="left"/>
              <w:rPr>
                <w:iCs/>
                <w:spacing w:val="0"/>
                <w:w w:val="100"/>
                <w:sz w:val="16"/>
                <w:szCs w:val="16"/>
                <w:lang w:val="fr-CH"/>
              </w:rPr>
            </w:pPr>
            <w:r w:rsidRPr="00065A5D">
              <w:rPr>
                <w:spacing w:val="0"/>
                <w:w w:val="100"/>
                <w:sz w:val="16"/>
                <w:szCs w:val="16"/>
                <w:lang w:val="fr-CH"/>
              </w:rPr>
              <w:t>3</w:t>
            </w:r>
          </w:p>
        </w:tc>
        <w:tc>
          <w:tcPr>
            <w:tcW w:w="1521" w:type="dxa"/>
            <w:tcBorders>
              <w:top w:val="single" w:sz="4" w:space="0" w:color="auto"/>
              <w:left w:val="dotted" w:sz="4" w:space="0" w:color="auto"/>
              <w:bottom w:val="single" w:sz="4" w:space="0" w:color="auto"/>
              <w:right w:val="dotted" w:sz="4" w:space="0" w:color="auto"/>
            </w:tcBorders>
            <w:hideMark/>
          </w:tcPr>
          <w:p w14:paraId="47EF5812"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Manuel d</w:t>
            </w:r>
            <w:r w:rsidR="00455787">
              <w:rPr>
                <w:iCs/>
                <w:spacing w:val="0"/>
                <w:w w:val="100"/>
                <w:sz w:val="16"/>
                <w:szCs w:val="16"/>
                <w:lang w:val="fr-CH"/>
              </w:rPr>
              <w:t>’</w:t>
            </w:r>
            <w:r w:rsidRPr="00065A5D">
              <w:rPr>
                <w:iCs/>
                <w:spacing w:val="0"/>
                <w:w w:val="100"/>
                <w:sz w:val="16"/>
                <w:szCs w:val="16"/>
                <w:lang w:val="fr-CH"/>
              </w:rPr>
              <w:t>épreuves et de critères (8</w:t>
            </w:r>
            <w:r w:rsidRPr="00E712E2">
              <w:rPr>
                <w:iCs/>
                <w:spacing w:val="0"/>
                <w:w w:val="100"/>
                <w:sz w:val="16"/>
                <w:szCs w:val="16"/>
                <w:vertAlign w:val="superscript"/>
                <w:lang w:val="fr-CH"/>
              </w:rPr>
              <w:t>e</w:t>
            </w:r>
            <w:r w:rsidR="00E712E2">
              <w:rPr>
                <w:iCs/>
                <w:spacing w:val="0"/>
                <w:w w:val="100"/>
                <w:sz w:val="16"/>
                <w:szCs w:val="16"/>
                <w:lang w:val="fr-CH"/>
              </w:rPr>
              <w:t> </w:t>
            </w:r>
            <w:r w:rsidRPr="00065A5D">
              <w:rPr>
                <w:iCs/>
                <w:spacing w:val="0"/>
                <w:w w:val="100"/>
                <w:sz w:val="16"/>
                <w:szCs w:val="16"/>
                <w:lang w:val="fr-CH"/>
              </w:rPr>
              <w:t>édition révisée OU amendement 1 à la 7</w:t>
            </w:r>
            <w:r w:rsidRPr="00E712E2">
              <w:rPr>
                <w:iCs/>
                <w:spacing w:val="0"/>
                <w:w w:val="100"/>
                <w:sz w:val="16"/>
                <w:szCs w:val="16"/>
                <w:vertAlign w:val="superscript"/>
                <w:lang w:val="fr-CH"/>
              </w:rPr>
              <w:t>e</w:t>
            </w:r>
            <w:r w:rsidR="00E712E2">
              <w:rPr>
                <w:iCs/>
                <w:spacing w:val="0"/>
                <w:w w:val="100"/>
                <w:sz w:val="16"/>
                <w:szCs w:val="16"/>
                <w:lang w:val="fr-CH"/>
              </w:rPr>
              <w:t> </w:t>
            </w:r>
            <w:r w:rsidRPr="00065A5D">
              <w:rPr>
                <w:iCs/>
                <w:spacing w:val="0"/>
                <w:w w:val="100"/>
                <w:sz w:val="16"/>
                <w:szCs w:val="16"/>
                <w:lang w:val="fr-CH"/>
              </w:rPr>
              <w:t xml:space="preserve">édition révisée) </w:t>
            </w:r>
          </w:p>
        </w:tc>
        <w:tc>
          <w:tcPr>
            <w:tcW w:w="1314" w:type="dxa"/>
            <w:tcBorders>
              <w:top w:val="single" w:sz="4" w:space="0" w:color="auto"/>
              <w:left w:val="dotted" w:sz="4" w:space="0" w:color="auto"/>
              <w:bottom w:val="single" w:sz="4" w:space="0" w:color="auto"/>
              <w:right w:val="dotted" w:sz="4" w:space="0" w:color="auto"/>
            </w:tcBorders>
            <w:hideMark/>
          </w:tcPr>
          <w:p w14:paraId="44127DEF"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ECE/TRANS/294, par. 138</w:t>
            </w:r>
          </w:p>
        </w:tc>
        <w:tc>
          <w:tcPr>
            <w:tcW w:w="992" w:type="dxa"/>
            <w:tcBorders>
              <w:top w:val="single" w:sz="4" w:space="0" w:color="auto"/>
              <w:left w:val="dotted" w:sz="4" w:space="0" w:color="auto"/>
              <w:bottom w:val="single" w:sz="4" w:space="0" w:color="auto"/>
              <w:right w:val="dotted" w:sz="4" w:space="0" w:color="auto"/>
            </w:tcBorders>
            <w:hideMark/>
          </w:tcPr>
          <w:p w14:paraId="14761A09"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Versions papier et électronique</w:t>
            </w:r>
          </w:p>
        </w:tc>
        <w:tc>
          <w:tcPr>
            <w:tcW w:w="708" w:type="dxa"/>
            <w:tcBorders>
              <w:top w:val="single" w:sz="4" w:space="0" w:color="auto"/>
              <w:left w:val="dotted" w:sz="4" w:space="0" w:color="auto"/>
              <w:bottom w:val="single" w:sz="4" w:space="0" w:color="auto"/>
              <w:right w:val="dotted" w:sz="4" w:space="0" w:color="auto"/>
            </w:tcBorders>
          </w:tcPr>
          <w:p w14:paraId="11D18771"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p>
        </w:tc>
        <w:tc>
          <w:tcPr>
            <w:tcW w:w="992" w:type="dxa"/>
            <w:tcBorders>
              <w:top w:val="single" w:sz="4" w:space="0" w:color="auto"/>
              <w:left w:val="dotted" w:sz="4" w:space="0" w:color="auto"/>
              <w:bottom w:val="single" w:sz="4" w:space="0" w:color="auto"/>
              <w:right w:val="dotted" w:sz="4" w:space="0" w:color="auto"/>
            </w:tcBorders>
            <w:hideMark/>
          </w:tcPr>
          <w:p w14:paraId="2E45A80F"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spacing w:val="0"/>
                <w:w w:val="100"/>
                <w:sz w:val="16"/>
                <w:szCs w:val="16"/>
                <w:lang w:val="fr-CH"/>
              </w:rPr>
              <w:t>550</w:t>
            </w:r>
          </w:p>
        </w:tc>
        <w:tc>
          <w:tcPr>
            <w:tcW w:w="992" w:type="dxa"/>
            <w:tcBorders>
              <w:top w:val="single" w:sz="4" w:space="0" w:color="auto"/>
              <w:left w:val="dotted" w:sz="4" w:space="0" w:color="auto"/>
              <w:bottom w:val="single" w:sz="4" w:space="0" w:color="auto"/>
              <w:right w:val="dotted" w:sz="4" w:space="0" w:color="auto"/>
            </w:tcBorders>
            <w:hideMark/>
          </w:tcPr>
          <w:p w14:paraId="414D0F28"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Anglais, espagnol et français</w:t>
            </w:r>
          </w:p>
        </w:tc>
        <w:tc>
          <w:tcPr>
            <w:tcW w:w="1559" w:type="dxa"/>
            <w:tcBorders>
              <w:top w:val="single" w:sz="4" w:space="0" w:color="auto"/>
              <w:left w:val="dotted" w:sz="4" w:space="0" w:color="auto"/>
              <w:bottom w:val="single" w:sz="4" w:space="0" w:color="auto"/>
              <w:right w:val="dotted" w:sz="4" w:space="0" w:color="auto"/>
            </w:tcBorders>
            <w:hideMark/>
          </w:tcPr>
          <w:p w14:paraId="444B44DA"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Arabe, chinois et russe</w:t>
            </w:r>
          </w:p>
        </w:tc>
        <w:tc>
          <w:tcPr>
            <w:tcW w:w="1139" w:type="dxa"/>
            <w:tcBorders>
              <w:top w:val="single" w:sz="4" w:space="0" w:color="auto"/>
              <w:left w:val="dotted" w:sz="4" w:space="0" w:color="auto"/>
              <w:bottom w:val="single" w:sz="4" w:space="0" w:color="auto"/>
              <w:right w:val="dotted" w:sz="4" w:space="0" w:color="auto"/>
            </w:tcBorders>
          </w:tcPr>
          <w:p w14:paraId="169D3870" w14:textId="77777777" w:rsidR="004B655C" w:rsidRPr="00065A5D" w:rsidRDefault="004B655C" w:rsidP="004B655C">
            <w:pPr>
              <w:pStyle w:val="SingleTxt"/>
              <w:suppressAutoHyphens w:val="0"/>
              <w:spacing w:before="80" w:after="80" w:line="240" w:lineRule="auto"/>
              <w:ind w:left="0" w:right="0"/>
              <w:jc w:val="left"/>
              <w:rPr>
                <w:iCs/>
                <w:spacing w:val="0"/>
                <w:w w:val="100"/>
                <w:sz w:val="16"/>
                <w:szCs w:val="16"/>
                <w:lang w:val="fr-CH"/>
              </w:rPr>
            </w:pPr>
            <w:r w:rsidRPr="00065A5D">
              <w:rPr>
                <w:iCs/>
                <w:spacing w:val="0"/>
                <w:w w:val="100"/>
                <w:sz w:val="16"/>
                <w:szCs w:val="16"/>
                <w:lang w:val="fr-CH"/>
              </w:rPr>
              <w:t>250 (anglais), 15 (arabe), 30 (chinois), 40 (espagnol), 40 (français), 25 (russe)</w:t>
            </w:r>
          </w:p>
        </w:tc>
      </w:tr>
      <w:tr w:rsidR="001B054B" w:rsidRPr="00065A5D" w14:paraId="6E4C4223" w14:textId="77777777" w:rsidTr="006567CD">
        <w:tc>
          <w:tcPr>
            <w:tcW w:w="421" w:type="dxa"/>
            <w:tcBorders>
              <w:top w:val="single" w:sz="4" w:space="0" w:color="auto"/>
              <w:left w:val="dotted" w:sz="4" w:space="0" w:color="auto"/>
              <w:bottom w:val="single" w:sz="4" w:space="0" w:color="auto"/>
              <w:right w:val="dotted" w:sz="4" w:space="0" w:color="auto"/>
            </w:tcBorders>
            <w:hideMark/>
          </w:tcPr>
          <w:p w14:paraId="72E5AAD0" w14:textId="77777777" w:rsidR="004B655C" w:rsidRPr="00065A5D" w:rsidRDefault="004B655C" w:rsidP="004B655C">
            <w:pPr>
              <w:pStyle w:val="SingleTxt"/>
              <w:suppressAutoHyphens w:val="0"/>
              <w:spacing w:before="80" w:after="80" w:line="200" w:lineRule="exact"/>
              <w:ind w:left="0" w:right="113"/>
              <w:jc w:val="left"/>
              <w:rPr>
                <w:iCs/>
                <w:spacing w:val="0"/>
                <w:w w:val="100"/>
                <w:sz w:val="16"/>
                <w:szCs w:val="16"/>
                <w:lang w:val="fr-CH"/>
              </w:rPr>
            </w:pPr>
            <w:r w:rsidRPr="00065A5D">
              <w:rPr>
                <w:spacing w:val="0"/>
                <w:w w:val="100"/>
                <w:sz w:val="16"/>
                <w:szCs w:val="16"/>
                <w:lang w:val="fr-CH"/>
              </w:rPr>
              <w:t>4</w:t>
            </w:r>
          </w:p>
        </w:tc>
        <w:tc>
          <w:tcPr>
            <w:tcW w:w="1521" w:type="dxa"/>
            <w:tcBorders>
              <w:top w:val="single" w:sz="4" w:space="0" w:color="auto"/>
              <w:left w:val="dotted" w:sz="4" w:space="0" w:color="auto"/>
              <w:bottom w:val="single" w:sz="4" w:space="0" w:color="auto"/>
              <w:right w:val="dotted" w:sz="4" w:space="0" w:color="auto"/>
            </w:tcBorders>
            <w:hideMark/>
          </w:tcPr>
          <w:p w14:paraId="6FD6DF27"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Accord relatif aux transports internationaux de denrées périssables et aux engins spéciaux à utiliser pour ces transports (ATP)</w:t>
            </w:r>
          </w:p>
        </w:tc>
        <w:tc>
          <w:tcPr>
            <w:tcW w:w="1314" w:type="dxa"/>
            <w:tcBorders>
              <w:top w:val="single" w:sz="4" w:space="0" w:color="auto"/>
              <w:left w:val="dotted" w:sz="4" w:space="0" w:color="auto"/>
              <w:bottom w:val="single" w:sz="4" w:space="0" w:color="auto"/>
              <w:right w:val="dotted" w:sz="4" w:space="0" w:color="auto"/>
            </w:tcBorders>
            <w:hideMark/>
          </w:tcPr>
          <w:p w14:paraId="213BC319"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ECE/TRANS/294, par. 138</w:t>
            </w:r>
          </w:p>
        </w:tc>
        <w:tc>
          <w:tcPr>
            <w:tcW w:w="992" w:type="dxa"/>
            <w:tcBorders>
              <w:top w:val="single" w:sz="4" w:space="0" w:color="auto"/>
              <w:left w:val="dotted" w:sz="4" w:space="0" w:color="auto"/>
              <w:bottom w:val="single" w:sz="4" w:space="0" w:color="auto"/>
              <w:right w:val="dotted" w:sz="4" w:space="0" w:color="auto"/>
            </w:tcBorders>
            <w:hideMark/>
          </w:tcPr>
          <w:p w14:paraId="0CB8472A"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Versions papier et électronique</w:t>
            </w:r>
          </w:p>
        </w:tc>
        <w:tc>
          <w:tcPr>
            <w:tcW w:w="708" w:type="dxa"/>
            <w:tcBorders>
              <w:top w:val="single" w:sz="4" w:space="0" w:color="auto"/>
              <w:left w:val="dotted" w:sz="4" w:space="0" w:color="auto"/>
              <w:bottom w:val="single" w:sz="4" w:space="0" w:color="auto"/>
              <w:right w:val="dotted" w:sz="4" w:space="0" w:color="auto"/>
            </w:tcBorders>
          </w:tcPr>
          <w:p w14:paraId="148EC8C3"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p>
        </w:tc>
        <w:tc>
          <w:tcPr>
            <w:tcW w:w="992" w:type="dxa"/>
            <w:tcBorders>
              <w:top w:val="single" w:sz="4" w:space="0" w:color="auto"/>
              <w:left w:val="dotted" w:sz="4" w:space="0" w:color="auto"/>
              <w:bottom w:val="single" w:sz="4" w:space="0" w:color="auto"/>
              <w:right w:val="dotted" w:sz="4" w:space="0" w:color="auto"/>
            </w:tcBorders>
            <w:hideMark/>
          </w:tcPr>
          <w:p w14:paraId="44B8A4A6"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spacing w:val="0"/>
                <w:w w:val="100"/>
                <w:sz w:val="16"/>
                <w:szCs w:val="16"/>
                <w:lang w:val="fr-CH"/>
              </w:rPr>
              <w:t>120</w:t>
            </w:r>
          </w:p>
        </w:tc>
        <w:tc>
          <w:tcPr>
            <w:tcW w:w="992" w:type="dxa"/>
            <w:tcBorders>
              <w:top w:val="single" w:sz="4" w:space="0" w:color="auto"/>
              <w:left w:val="dotted" w:sz="4" w:space="0" w:color="auto"/>
              <w:bottom w:val="single" w:sz="4" w:space="0" w:color="auto"/>
              <w:right w:val="dotted" w:sz="4" w:space="0" w:color="auto"/>
            </w:tcBorders>
            <w:hideMark/>
          </w:tcPr>
          <w:p w14:paraId="7A915CE7"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Anglais et français</w:t>
            </w:r>
          </w:p>
        </w:tc>
        <w:tc>
          <w:tcPr>
            <w:tcW w:w="1559" w:type="dxa"/>
            <w:tcBorders>
              <w:top w:val="single" w:sz="4" w:space="0" w:color="auto"/>
              <w:left w:val="dotted" w:sz="4" w:space="0" w:color="auto"/>
              <w:bottom w:val="single" w:sz="4" w:space="0" w:color="auto"/>
              <w:right w:val="dotted" w:sz="4" w:space="0" w:color="auto"/>
            </w:tcBorders>
            <w:hideMark/>
          </w:tcPr>
          <w:p w14:paraId="35A5F9A3"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Russe</w:t>
            </w:r>
          </w:p>
        </w:tc>
        <w:tc>
          <w:tcPr>
            <w:tcW w:w="1139" w:type="dxa"/>
            <w:tcBorders>
              <w:top w:val="single" w:sz="4" w:space="0" w:color="auto"/>
              <w:left w:val="dotted" w:sz="4" w:space="0" w:color="auto"/>
              <w:bottom w:val="single" w:sz="4" w:space="0" w:color="auto"/>
              <w:right w:val="dotted" w:sz="4" w:space="0" w:color="auto"/>
            </w:tcBorders>
            <w:hideMark/>
          </w:tcPr>
          <w:p w14:paraId="3B66B576"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200 (anglais), 100 (français), 100 (russe)</w:t>
            </w:r>
          </w:p>
        </w:tc>
      </w:tr>
      <w:tr w:rsidR="001B054B" w:rsidRPr="00065A5D" w14:paraId="0B68B459" w14:textId="77777777" w:rsidTr="006567CD">
        <w:tc>
          <w:tcPr>
            <w:tcW w:w="421" w:type="dxa"/>
            <w:tcBorders>
              <w:top w:val="single" w:sz="4" w:space="0" w:color="auto"/>
              <w:left w:val="dotted" w:sz="4" w:space="0" w:color="auto"/>
              <w:bottom w:val="single" w:sz="4" w:space="0" w:color="auto"/>
              <w:right w:val="dotted" w:sz="4" w:space="0" w:color="auto"/>
            </w:tcBorders>
            <w:hideMark/>
          </w:tcPr>
          <w:p w14:paraId="7E92237C" w14:textId="77777777" w:rsidR="004B655C" w:rsidRPr="00065A5D" w:rsidRDefault="004B655C" w:rsidP="004B655C">
            <w:pPr>
              <w:pStyle w:val="SingleTxt"/>
              <w:suppressAutoHyphens w:val="0"/>
              <w:spacing w:before="80" w:after="80" w:line="200" w:lineRule="exact"/>
              <w:ind w:left="0" w:right="113"/>
              <w:jc w:val="left"/>
              <w:rPr>
                <w:iCs/>
                <w:spacing w:val="0"/>
                <w:w w:val="100"/>
                <w:sz w:val="16"/>
                <w:szCs w:val="16"/>
                <w:lang w:val="fr-CH"/>
              </w:rPr>
            </w:pPr>
            <w:r w:rsidRPr="00065A5D">
              <w:rPr>
                <w:spacing w:val="0"/>
                <w:w w:val="100"/>
                <w:sz w:val="16"/>
                <w:szCs w:val="16"/>
                <w:lang w:val="fr-CH"/>
              </w:rPr>
              <w:t>5</w:t>
            </w:r>
          </w:p>
        </w:tc>
        <w:tc>
          <w:tcPr>
            <w:tcW w:w="1521" w:type="dxa"/>
            <w:tcBorders>
              <w:top w:val="single" w:sz="4" w:space="0" w:color="auto"/>
              <w:left w:val="dotted" w:sz="4" w:space="0" w:color="auto"/>
              <w:bottom w:val="single" w:sz="4" w:space="0" w:color="auto"/>
              <w:right w:val="dotted" w:sz="4" w:space="0" w:color="auto"/>
            </w:tcBorders>
            <w:hideMark/>
          </w:tcPr>
          <w:p w14:paraId="4768461B"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Forum mondial de l</w:t>
            </w:r>
            <w:r w:rsidR="00455787">
              <w:rPr>
                <w:iCs/>
                <w:spacing w:val="0"/>
                <w:w w:val="100"/>
                <w:sz w:val="16"/>
                <w:szCs w:val="16"/>
                <w:lang w:val="fr-CH"/>
              </w:rPr>
              <w:t>’</w:t>
            </w:r>
            <w:r w:rsidRPr="00065A5D">
              <w:rPr>
                <w:iCs/>
                <w:spacing w:val="0"/>
                <w:w w:val="100"/>
                <w:sz w:val="16"/>
                <w:szCs w:val="16"/>
                <w:lang w:val="fr-CH"/>
              </w:rPr>
              <w:t>harmonisation des Règlements concernant les véhicules (WP.29). Comment il fonctionne − Comment y adhérer</w:t>
            </w:r>
          </w:p>
        </w:tc>
        <w:tc>
          <w:tcPr>
            <w:tcW w:w="1314" w:type="dxa"/>
            <w:tcBorders>
              <w:top w:val="single" w:sz="4" w:space="0" w:color="auto"/>
              <w:left w:val="dotted" w:sz="4" w:space="0" w:color="auto"/>
              <w:bottom w:val="single" w:sz="4" w:space="0" w:color="auto"/>
              <w:right w:val="dotted" w:sz="4" w:space="0" w:color="auto"/>
            </w:tcBorders>
            <w:hideMark/>
          </w:tcPr>
          <w:p w14:paraId="06564F9B"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ECE/TRANS/294, par. 138</w:t>
            </w:r>
          </w:p>
        </w:tc>
        <w:tc>
          <w:tcPr>
            <w:tcW w:w="992" w:type="dxa"/>
            <w:tcBorders>
              <w:top w:val="single" w:sz="4" w:space="0" w:color="auto"/>
              <w:left w:val="dotted" w:sz="4" w:space="0" w:color="auto"/>
              <w:bottom w:val="single" w:sz="4" w:space="0" w:color="auto"/>
              <w:right w:val="dotted" w:sz="4" w:space="0" w:color="auto"/>
            </w:tcBorders>
            <w:hideMark/>
          </w:tcPr>
          <w:p w14:paraId="38389FF6"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Versions papier et électronique</w:t>
            </w:r>
          </w:p>
        </w:tc>
        <w:tc>
          <w:tcPr>
            <w:tcW w:w="708" w:type="dxa"/>
            <w:tcBorders>
              <w:top w:val="single" w:sz="4" w:space="0" w:color="auto"/>
              <w:left w:val="dotted" w:sz="4" w:space="0" w:color="auto"/>
              <w:bottom w:val="single" w:sz="4" w:space="0" w:color="auto"/>
              <w:right w:val="dotted" w:sz="4" w:space="0" w:color="auto"/>
            </w:tcBorders>
            <w:hideMark/>
          </w:tcPr>
          <w:p w14:paraId="6F5D721D"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A4</w:t>
            </w:r>
          </w:p>
        </w:tc>
        <w:tc>
          <w:tcPr>
            <w:tcW w:w="992" w:type="dxa"/>
            <w:tcBorders>
              <w:top w:val="single" w:sz="4" w:space="0" w:color="auto"/>
              <w:left w:val="dotted" w:sz="4" w:space="0" w:color="auto"/>
              <w:bottom w:val="single" w:sz="4" w:space="0" w:color="auto"/>
              <w:right w:val="dotted" w:sz="4" w:space="0" w:color="auto"/>
            </w:tcBorders>
            <w:hideMark/>
          </w:tcPr>
          <w:p w14:paraId="6EEFA2E4"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spacing w:val="0"/>
                <w:w w:val="100"/>
                <w:sz w:val="16"/>
                <w:szCs w:val="16"/>
                <w:lang w:val="fr-CH"/>
              </w:rPr>
              <w:t>100</w:t>
            </w:r>
          </w:p>
        </w:tc>
        <w:tc>
          <w:tcPr>
            <w:tcW w:w="992" w:type="dxa"/>
            <w:tcBorders>
              <w:top w:val="single" w:sz="4" w:space="0" w:color="auto"/>
              <w:left w:val="dotted" w:sz="4" w:space="0" w:color="auto"/>
              <w:bottom w:val="single" w:sz="4" w:space="0" w:color="auto"/>
              <w:right w:val="dotted" w:sz="4" w:space="0" w:color="auto"/>
            </w:tcBorders>
            <w:hideMark/>
          </w:tcPr>
          <w:p w14:paraId="7A48F571"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Anglais</w:t>
            </w:r>
          </w:p>
        </w:tc>
        <w:tc>
          <w:tcPr>
            <w:tcW w:w="1559" w:type="dxa"/>
            <w:tcBorders>
              <w:top w:val="single" w:sz="4" w:space="0" w:color="auto"/>
              <w:left w:val="dotted" w:sz="4" w:space="0" w:color="auto"/>
              <w:bottom w:val="single" w:sz="4" w:space="0" w:color="auto"/>
              <w:right w:val="dotted" w:sz="4" w:space="0" w:color="auto"/>
            </w:tcBorders>
            <w:hideMark/>
          </w:tcPr>
          <w:p w14:paraId="5BFCF08D"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Arabe, chinois, espagnol, français et russe</w:t>
            </w:r>
          </w:p>
        </w:tc>
        <w:tc>
          <w:tcPr>
            <w:tcW w:w="1139" w:type="dxa"/>
            <w:tcBorders>
              <w:top w:val="single" w:sz="4" w:space="0" w:color="auto"/>
              <w:left w:val="dotted" w:sz="4" w:space="0" w:color="auto"/>
              <w:bottom w:val="single" w:sz="4" w:space="0" w:color="auto"/>
              <w:right w:val="dotted" w:sz="4" w:space="0" w:color="auto"/>
            </w:tcBorders>
            <w:hideMark/>
          </w:tcPr>
          <w:p w14:paraId="11A53ED9"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1</w:t>
            </w:r>
            <w:r w:rsidR="00E712E2">
              <w:rPr>
                <w:iCs/>
                <w:spacing w:val="0"/>
                <w:w w:val="100"/>
                <w:sz w:val="16"/>
                <w:szCs w:val="16"/>
                <w:lang w:val="fr-CH"/>
              </w:rPr>
              <w:t> </w:t>
            </w:r>
            <w:r w:rsidRPr="00065A5D">
              <w:rPr>
                <w:iCs/>
                <w:spacing w:val="0"/>
                <w:w w:val="100"/>
                <w:sz w:val="16"/>
                <w:szCs w:val="16"/>
                <w:lang w:val="fr-CH"/>
              </w:rPr>
              <w:t>000 (anglais), 300 (espagnol), 500 (français), 300 (russe)</w:t>
            </w:r>
          </w:p>
        </w:tc>
      </w:tr>
      <w:tr w:rsidR="001B054B" w:rsidRPr="00065A5D" w14:paraId="181CCFBD" w14:textId="77777777" w:rsidTr="006567CD">
        <w:tc>
          <w:tcPr>
            <w:tcW w:w="421" w:type="dxa"/>
            <w:tcBorders>
              <w:top w:val="single" w:sz="4" w:space="0" w:color="auto"/>
              <w:left w:val="dotted" w:sz="4" w:space="0" w:color="auto"/>
              <w:bottom w:val="single" w:sz="4" w:space="0" w:color="auto"/>
              <w:right w:val="dotted" w:sz="4" w:space="0" w:color="auto"/>
            </w:tcBorders>
          </w:tcPr>
          <w:p w14:paraId="4ADB5F92" w14:textId="77777777" w:rsidR="004B655C" w:rsidRPr="00065A5D" w:rsidRDefault="004B655C" w:rsidP="004B655C">
            <w:pPr>
              <w:pStyle w:val="SingleTxt"/>
              <w:suppressAutoHyphens w:val="0"/>
              <w:spacing w:before="80" w:after="80" w:line="200" w:lineRule="exact"/>
              <w:ind w:left="0" w:right="113"/>
              <w:jc w:val="left"/>
              <w:rPr>
                <w:iCs/>
                <w:spacing w:val="0"/>
                <w:w w:val="100"/>
                <w:sz w:val="16"/>
                <w:szCs w:val="16"/>
                <w:lang w:val="fr-CH"/>
              </w:rPr>
            </w:pPr>
            <w:r w:rsidRPr="00065A5D">
              <w:rPr>
                <w:spacing w:val="0"/>
                <w:w w:val="100"/>
                <w:sz w:val="16"/>
                <w:szCs w:val="16"/>
                <w:lang w:val="fr-CH"/>
              </w:rPr>
              <w:t>6</w:t>
            </w:r>
          </w:p>
        </w:tc>
        <w:tc>
          <w:tcPr>
            <w:tcW w:w="1521" w:type="dxa"/>
            <w:tcBorders>
              <w:top w:val="single" w:sz="4" w:space="0" w:color="auto"/>
              <w:left w:val="dotted" w:sz="4" w:space="0" w:color="auto"/>
              <w:bottom w:val="single" w:sz="4" w:space="0" w:color="auto"/>
              <w:right w:val="dotted" w:sz="4" w:space="0" w:color="auto"/>
            </w:tcBorders>
          </w:tcPr>
          <w:p w14:paraId="5CEE4871" w14:textId="77777777" w:rsidR="004B655C" w:rsidRPr="00065A5D" w:rsidDel="00D64A3B"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 xml:space="preserve">Statistiques </w:t>
            </w:r>
            <w:r w:rsidR="00E712E2">
              <w:rPr>
                <w:iCs/>
                <w:spacing w:val="0"/>
                <w:w w:val="100"/>
                <w:sz w:val="16"/>
                <w:szCs w:val="16"/>
                <w:lang w:val="fr-CH"/>
              </w:rPr>
              <w:t xml:space="preserve">2021 </w:t>
            </w:r>
            <w:r w:rsidRPr="00065A5D">
              <w:rPr>
                <w:iCs/>
                <w:spacing w:val="0"/>
                <w:w w:val="100"/>
                <w:sz w:val="16"/>
                <w:szCs w:val="16"/>
                <w:lang w:val="fr-CH"/>
              </w:rPr>
              <w:t>des accidents de la circulation routière en Europe et en Amérique du Nord (volume LVI)</w:t>
            </w:r>
          </w:p>
        </w:tc>
        <w:tc>
          <w:tcPr>
            <w:tcW w:w="1314" w:type="dxa"/>
            <w:tcBorders>
              <w:top w:val="single" w:sz="4" w:space="0" w:color="auto"/>
              <w:left w:val="dotted" w:sz="4" w:space="0" w:color="auto"/>
              <w:bottom w:val="single" w:sz="4" w:space="0" w:color="auto"/>
              <w:right w:val="dotted" w:sz="4" w:space="0" w:color="auto"/>
            </w:tcBorders>
          </w:tcPr>
          <w:p w14:paraId="3C5E002D"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ECE/TRANS/294, par. 138</w:t>
            </w:r>
          </w:p>
        </w:tc>
        <w:tc>
          <w:tcPr>
            <w:tcW w:w="992" w:type="dxa"/>
            <w:tcBorders>
              <w:top w:val="single" w:sz="4" w:space="0" w:color="auto"/>
              <w:left w:val="dotted" w:sz="4" w:space="0" w:color="auto"/>
              <w:bottom w:val="single" w:sz="4" w:space="0" w:color="auto"/>
              <w:right w:val="dotted" w:sz="4" w:space="0" w:color="auto"/>
            </w:tcBorders>
          </w:tcPr>
          <w:p w14:paraId="7D39921D"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Digital</w:t>
            </w:r>
          </w:p>
        </w:tc>
        <w:tc>
          <w:tcPr>
            <w:tcW w:w="708" w:type="dxa"/>
            <w:tcBorders>
              <w:top w:val="single" w:sz="4" w:space="0" w:color="auto"/>
              <w:left w:val="dotted" w:sz="4" w:space="0" w:color="auto"/>
              <w:bottom w:val="single" w:sz="4" w:space="0" w:color="auto"/>
              <w:right w:val="dotted" w:sz="4" w:space="0" w:color="auto"/>
            </w:tcBorders>
          </w:tcPr>
          <w:p w14:paraId="24A76596"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p>
        </w:tc>
        <w:tc>
          <w:tcPr>
            <w:tcW w:w="992" w:type="dxa"/>
            <w:tcBorders>
              <w:top w:val="single" w:sz="4" w:space="0" w:color="auto"/>
              <w:left w:val="dotted" w:sz="4" w:space="0" w:color="auto"/>
              <w:bottom w:val="single" w:sz="4" w:space="0" w:color="auto"/>
              <w:right w:val="dotted" w:sz="4" w:space="0" w:color="auto"/>
            </w:tcBorders>
          </w:tcPr>
          <w:p w14:paraId="44F0F97E"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spacing w:val="0"/>
                <w:w w:val="100"/>
                <w:sz w:val="16"/>
                <w:szCs w:val="16"/>
                <w:lang w:val="fr-CH"/>
              </w:rPr>
              <w:t>150</w:t>
            </w:r>
          </w:p>
        </w:tc>
        <w:tc>
          <w:tcPr>
            <w:tcW w:w="992" w:type="dxa"/>
            <w:tcBorders>
              <w:top w:val="single" w:sz="4" w:space="0" w:color="auto"/>
              <w:left w:val="dotted" w:sz="4" w:space="0" w:color="auto"/>
              <w:bottom w:val="single" w:sz="4" w:space="0" w:color="auto"/>
              <w:right w:val="dotted" w:sz="4" w:space="0" w:color="auto"/>
            </w:tcBorders>
          </w:tcPr>
          <w:p w14:paraId="6BA033FB"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Anglais</w:t>
            </w:r>
          </w:p>
        </w:tc>
        <w:tc>
          <w:tcPr>
            <w:tcW w:w="1559" w:type="dxa"/>
            <w:tcBorders>
              <w:top w:val="single" w:sz="4" w:space="0" w:color="auto"/>
              <w:left w:val="dotted" w:sz="4" w:space="0" w:color="auto"/>
              <w:bottom w:val="single" w:sz="4" w:space="0" w:color="auto"/>
              <w:right w:val="dotted" w:sz="4" w:space="0" w:color="auto"/>
            </w:tcBorders>
          </w:tcPr>
          <w:p w14:paraId="7BF722E2"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Français et russe</w:t>
            </w:r>
          </w:p>
        </w:tc>
        <w:tc>
          <w:tcPr>
            <w:tcW w:w="1139" w:type="dxa"/>
            <w:tcBorders>
              <w:top w:val="single" w:sz="4" w:space="0" w:color="auto"/>
              <w:left w:val="dotted" w:sz="4" w:space="0" w:color="auto"/>
              <w:bottom w:val="single" w:sz="4" w:space="0" w:color="auto"/>
              <w:right w:val="dotted" w:sz="4" w:space="0" w:color="auto"/>
            </w:tcBorders>
          </w:tcPr>
          <w:p w14:paraId="53023E4C"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p>
        </w:tc>
      </w:tr>
      <w:tr w:rsidR="001B054B" w:rsidRPr="00065A5D" w14:paraId="761AEDE4" w14:textId="77777777" w:rsidTr="006567CD">
        <w:tc>
          <w:tcPr>
            <w:tcW w:w="421" w:type="dxa"/>
            <w:tcBorders>
              <w:top w:val="single" w:sz="4" w:space="0" w:color="auto"/>
              <w:left w:val="dotted" w:sz="4" w:space="0" w:color="auto"/>
              <w:bottom w:val="single" w:sz="4" w:space="0" w:color="auto"/>
              <w:right w:val="dotted" w:sz="4" w:space="0" w:color="auto"/>
            </w:tcBorders>
          </w:tcPr>
          <w:p w14:paraId="245A4F3E" w14:textId="77777777" w:rsidR="004B655C" w:rsidRPr="00065A5D" w:rsidRDefault="004B655C" w:rsidP="004B655C">
            <w:pPr>
              <w:pStyle w:val="SingleTxt"/>
              <w:suppressAutoHyphens w:val="0"/>
              <w:spacing w:before="80" w:after="80" w:line="200" w:lineRule="exact"/>
              <w:ind w:left="0" w:right="113"/>
              <w:jc w:val="left"/>
              <w:rPr>
                <w:iCs/>
                <w:spacing w:val="0"/>
                <w:w w:val="100"/>
                <w:sz w:val="16"/>
                <w:szCs w:val="16"/>
                <w:lang w:val="fr-CH"/>
              </w:rPr>
            </w:pPr>
            <w:r w:rsidRPr="00065A5D">
              <w:rPr>
                <w:spacing w:val="0"/>
                <w:w w:val="100"/>
                <w:sz w:val="16"/>
                <w:szCs w:val="16"/>
                <w:lang w:val="fr-CH"/>
              </w:rPr>
              <w:t>7</w:t>
            </w:r>
          </w:p>
        </w:tc>
        <w:tc>
          <w:tcPr>
            <w:tcW w:w="1521" w:type="dxa"/>
            <w:tcBorders>
              <w:top w:val="single" w:sz="4" w:space="0" w:color="auto"/>
              <w:left w:val="dotted" w:sz="4" w:space="0" w:color="auto"/>
              <w:bottom w:val="single" w:sz="4" w:space="0" w:color="auto"/>
              <w:right w:val="dotted" w:sz="4" w:space="0" w:color="auto"/>
            </w:tcBorders>
          </w:tcPr>
          <w:p w14:paraId="379EBF3D" w14:textId="77777777" w:rsidR="004B655C" w:rsidRPr="00065A5D" w:rsidDel="00D64A3B"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Code européen des voies de navigation intérieure (CEVNI), révision 6</w:t>
            </w:r>
          </w:p>
        </w:tc>
        <w:tc>
          <w:tcPr>
            <w:tcW w:w="1314" w:type="dxa"/>
            <w:tcBorders>
              <w:top w:val="single" w:sz="4" w:space="0" w:color="auto"/>
              <w:left w:val="dotted" w:sz="4" w:space="0" w:color="auto"/>
              <w:bottom w:val="single" w:sz="4" w:space="0" w:color="auto"/>
              <w:right w:val="dotted" w:sz="4" w:space="0" w:color="auto"/>
            </w:tcBorders>
          </w:tcPr>
          <w:p w14:paraId="601B4619"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ECE/TRANS/294, par. 138</w:t>
            </w:r>
          </w:p>
        </w:tc>
        <w:tc>
          <w:tcPr>
            <w:tcW w:w="992" w:type="dxa"/>
            <w:tcBorders>
              <w:top w:val="single" w:sz="4" w:space="0" w:color="auto"/>
              <w:left w:val="dotted" w:sz="4" w:space="0" w:color="auto"/>
              <w:bottom w:val="single" w:sz="4" w:space="0" w:color="auto"/>
              <w:right w:val="dotted" w:sz="4" w:space="0" w:color="auto"/>
            </w:tcBorders>
          </w:tcPr>
          <w:p w14:paraId="115D1D1A"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Versions papier et électronique</w:t>
            </w:r>
          </w:p>
        </w:tc>
        <w:tc>
          <w:tcPr>
            <w:tcW w:w="708" w:type="dxa"/>
            <w:tcBorders>
              <w:top w:val="single" w:sz="4" w:space="0" w:color="auto"/>
              <w:left w:val="dotted" w:sz="4" w:space="0" w:color="auto"/>
              <w:bottom w:val="single" w:sz="4" w:space="0" w:color="auto"/>
              <w:right w:val="dotted" w:sz="4" w:space="0" w:color="auto"/>
            </w:tcBorders>
          </w:tcPr>
          <w:p w14:paraId="3C323720"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A4</w:t>
            </w:r>
          </w:p>
        </w:tc>
        <w:tc>
          <w:tcPr>
            <w:tcW w:w="992" w:type="dxa"/>
            <w:tcBorders>
              <w:top w:val="single" w:sz="4" w:space="0" w:color="auto"/>
              <w:left w:val="dotted" w:sz="4" w:space="0" w:color="auto"/>
              <w:bottom w:val="single" w:sz="4" w:space="0" w:color="auto"/>
              <w:right w:val="dotted" w:sz="4" w:space="0" w:color="auto"/>
            </w:tcBorders>
          </w:tcPr>
          <w:p w14:paraId="6D79A7CE"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spacing w:val="0"/>
                <w:w w:val="100"/>
                <w:sz w:val="16"/>
                <w:szCs w:val="16"/>
                <w:lang w:val="fr-CH"/>
              </w:rPr>
              <w:t>200</w:t>
            </w:r>
          </w:p>
        </w:tc>
        <w:tc>
          <w:tcPr>
            <w:tcW w:w="992" w:type="dxa"/>
            <w:tcBorders>
              <w:top w:val="single" w:sz="4" w:space="0" w:color="auto"/>
              <w:left w:val="dotted" w:sz="4" w:space="0" w:color="auto"/>
              <w:bottom w:val="single" w:sz="4" w:space="0" w:color="auto"/>
              <w:right w:val="dotted" w:sz="4" w:space="0" w:color="auto"/>
            </w:tcBorders>
          </w:tcPr>
          <w:p w14:paraId="6F277A3A"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Anglais</w:t>
            </w:r>
          </w:p>
        </w:tc>
        <w:tc>
          <w:tcPr>
            <w:tcW w:w="1559" w:type="dxa"/>
            <w:tcBorders>
              <w:top w:val="single" w:sz="4" w:space="0" w:color="auto"/>
              <w:left w:val="dotted" w:sz="4" w:space="0" w:color="auto"/>
              <w:bottom w:val="single" w:sz="4" w:space="0" w:color="auto"/>
              <w:right w:val="dotted" w:sz="4" w:space="0" w:color="auto"/>
            </w:tcBorders>
          </w:tcPr>
          <w:p w14:paraId="5888EE97"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Français et russe</w:t>
            </w:r>
          </w:p>
        </w:tc>
        <w:tc>
          <w:tcPr>
            <w:tcW w:w="1139" w:type="dxa"/>
            <w:tcBorders>
              <w:top w:val="single" w:sz="4" w:space="0" w:color="auto"/>
              <w:left w:val="dotted" w:sz="4" w:space="0" w:color="auto"/>
              <w:bottom w:val="single" w:sz="4" w:space="0" w:color="auto"/>
              <w:right w:val="dotted" w:sz="4" w:space="0" w:color="auto"/>
            </w:tcBorders>
          </w:tcPr>
          <w:p w14:paraId="183609E0" w14:textId="77777777" w:rsidR="004B655C" w:rsidRPr="00065A5D" w:rsidRDefault="004B655C" w:rsidP="004B655C">
            <w:pPr>
              <w:pStyle w:val="SingleTxt"/>
              <w:suppressAutoHyphens w:val="0"/>
              <w:spacing w:before="80" w:after="80" w:line="240" w:lineRule="auto"/>
              <w:ind w:left="0" w:right="0"/>
              <w:jc w:val="left"/>
              <w:rPr>
                <w:iCs/>
                <w:spacing w:val="0"/>
                <w:w w:val="100"/>
                <w:sz w:val="16"/>
                <w:szCs w:val="16"/>
                <w:lang w:val="fr-CH"/>
              </w:rPr>
            </w:pPr>
            <w:r w:rsidRPr="00065A5D">
              <w:rPr>
                <w:iCs/>
                <w:spacing w:val="0"/>
                <w:w w:val="100"/>
                <w:sz w:val="16"/>
                <w:szCs w:val="16"/>
                <w:lang w:val="fr-CH"/>
              </w:rPr>
              <w:t>250 (anglais), 100 (français), 100 (russe)</w:t>
            </w:r>
          </w:p>
          <w:p w14:paraId="6C2582E1" w14:textId="77777777" w:rsidR="004B655C" w:rsidRPr="00065A5D" w:rsidRDefault="004B655C" w:rsidP="004B655C">
            <w:pPr>
              <w:pStyle w:val="SingleTxt"/>
              <w:suppressAutoHyphens w:val="0"/>
              <w:spacing w:before="80" w:after="80" w:line="200" w:lineRule="exact"/>
              <w:ind w:left="0" w:right="0"/>
              <w:jc w:val="left"/>
              <w:rPr>
                <w:iCs/>
                <w:spacing w:val="0"/>
                <w:w w:val="100"/>
                <w:sz w:val="16"/>
                <w:szCs w:val="16"/>
                <w:lang w:val="fr-CH"/>
              </w:rPr>
            </w:pPr>
          </w:p>
        </w:tc>
      </w:tr>
      <w:tr w:rsidR="001B054B" w:rsidRPr="00065A5D" w14:paraId="4EFD0EEF" w14:textId="77777777" w:rsidTr="006567CD">
        <w:tc>
          <w:tcPr>
            <w:tcW w:w="421" w:type="dxa"/>
            <w:tcBorders>
              <w:top w:val="single" w:sz="4" w:space="0" w:color="auto"/>
              <w:left w:val="dotted" w:sz="4" w:space="0" w:color="auto"/>
              <w:bottom w:val="single" w:sz="12" w:space="0" w:color="auto"/>
              <w:right w:val="dotted" w:sz="4" w:space="0" w:color="auto"/>
            </w:tcBorders>
            <w:hideMark/>
          </w:tcPr>
          <w:p w14:paraId="02254349" w14:textId="77777777" w:rsidR="004B655C" w:rsidRPr="00065A5D" w:rsidRDefault="004B655C" w:rsidP="00E712E2">
            <w:pPr>
              <w:pStyle w:val="SingleTxt"/>
              <w:keepNext/>
              <w:suppressAutoHyphens w:val="0"/>
              <w:spacing w:before="80" w:after="80" w:line="200" w:lineRule="exact"/>
              <w:ind w:left="0" w:right="113"/>
              <w:jc w:val="left"/>
              <w:rPr>
                <w:iCs/>
                <w:spacing w:val="0"/>
                <w:w w:val="100"/>
                <w:sz w:val="16"/>
                <w:szCs w:val="16"/>
                <w:lang w:val="fr-CH"/>
              </w:rPr>
            </w:pPr>
            <w:r w:rsidRPr="00065A5D">
              <w:rPr>
                <w:spacing w:val="0"/>
                <w:w w:val="100"/>
                <w:sz w:val="16"/>
                <w:szCs w:val="16"/>
                <w:lang w:val="fr-CH"/>
              </w:rPr>
              <w:lastRenderedPageBreak/>
              <w:t>8</w:t>
            </w:r>
          </w:p>
        </w:tc>
        <w:tc>
          <w:tcPr>
            <w:tcW w:w="1521" w:type="dxa"/>
            <w:tcBorders>
              <w:top w:val="single" w:sz="4" w:space="0" w:color="auto"/>
              <w:left w:val="dotted" w:sz="4" w:space="0" w:color="auto"/>
              <w:bottom w:val="single" w:sz="12" w:space="0" w:color="auto"/>
              <w:right w:val="dotted" w:sz="4" w:space="0" w:color="auto"/>
            </w:tcBorders>
            <w:hideMark/>
          </w:tcPr>
          <w:p w14:paraId="6A92F9F2" w14:textId="77777777" w:rsidR="004B655C" w:rsidRPr="00065A5D" w:rsidRDefault="004B655C" w:rsidP="00E712E2">
            <w:pPr>
              <w:pStyle w:val="SingleTxt"/>
              <w:keepNe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Manuel TIR</w:t>
            </w:r>
          </w:p>
        </w:tc>
        <w:tc>
          <w:tcPr>
            <w:tcW w:w="1314" w:type="dxa"/>
            <w:tcBorders>
              <w:top w:val="single" w:sz="4" w:space="0" w:color="auto"/>
              <w:left w:val="dotted" w:sz="4" w:space="0" w:color="auto"/>
              <w:bottom w:val="single" w:sz="12" w:space="0" w:color="auto"/>
              <w:right w:val="dotted" w:sz="4" w:space="0" w:color="auto"/>
            </w:tcBorders>
            <w:hideMark/>
          </w:tcPr>
          <w:p w14:paraId="238B9C20" w14:textId="77777777" w:rsidR="004B655C" w:rsidRPr="00065A5D" w:rsidRDefault="004B655C" w:rsidP="00E712E2">
            <w:pPr>
              <w:pStyle w:val="SingleTxt"/>
              <w:keepNe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ECE/TRANS/294, par. 138</w:t>
            </w:r>
          </w:p>
        </w:tc>
        <w:tc>
          <w:tcPr>
            <w:tcW w:w="992" w:type="dxa"/>
            <w:tcBorders>
              <w:top w:val="single" w:sz="4" w:space="0" w:color="auto"/>
              <w:left w:val="dotted" w:sz="4" w:space="0" w:color="auto"/>
              <w:bottom w:val="single" w:sz="12" w:space="0" w:color="auto"/>
              <w:right w:val="dotted" w:sz="4" w:space="0" w:color="auto"/>
            </w:tcBorders>
            <w:hideMark/>
          </w:tcPr>
          <w:p w14:paraId="3DF12E9F" w14:textId="77777777" w:rsidR="004B655C" w:rsidRPr="00065A5D" w:rsidRDefault="004B655C" w:rsidP="00E712E2">
            <w:pPr>
              <w:pStyle w:val="SingleTxt"/>
              <w:keepNe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Versions papier et électronique</w:t>
            </w:r>
          </w:p>
        </w:tc>
        <w:tc>
          <w:tcPr>
            <w:tcW w:w="708" w:type="dxa"/>
            <w:tcBorders>
              <w:top w:val="single" w:sz="4" w:space="0" w:color="auto"/>
              <w:left w:val="dotted" w:sz="4" w:space="0" w:color="auto"/>
              <w:bottom w:val="single" w:sz="12" w:space="0" w:color="auto"/>
              <w:right w:val="dotted" w:sz="4" w:space="0" w:color="auto"/>
            </w:tcBorders>
            <w:hideMark/>
          </w:tcPr>
          <w:p w14:paraId="68967009" w14:textId="77777777" w:rsidR="004B655C" w:rsidRPr="00065A5D" w:rsidRDefault="004B655C" w:rsidP="00E712E2">
            <w:pPr>
              <w:pStyle w:val="SingleTxt"/>
              <w:keepNe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A4</w:t>
            </w:r>
          </w:p>
        </w:tc>
        <w:tc>
          <w:tcPr>
            <w:tcW w:w="992" w:type="dxa"/>
            <w:tcBorders>
              <w:top w:val="single" w:sz="4" w:space="0" w:color="auto"/>
              <w:left w:val="dotted" w:sz="4" w:space="0" w:color="auto"/>
              <w:bottom w:val="single" w:sz="12" w:space="0" w:color="auto"/>
              <w:right w:val="dotted" w:sz="4" w:space="0" w:color="auto"/>
            </w:tcBorders>
            <w:hideMark/>
          </w:tcPr>
          <w:p w14:paraId="6E550726" w14:textId="77777777" w:rsidR="004B655C" w:rsidRPr="00065A5D" w:rsidRDefault="004B655C" w:rsidP="00E712E2">
            <w:pPr>
              <w:pStyle w:val="SingleTxt"/>
              <w:keepNext/>
              <w:suppressAutoHyphens w:val="0"/>
              <w:spacing w:before="80" w:after="80" w:line="200" w:lineRule="exact"/>
              <w:ind w:left="0" w:right="0"/>
              <w:jc w:val="left"/>
              <w:rPr>
                <w:iCs/>
                <w:spacing w:val="0"/>
                <w:w w:val="100"/>
                <w:sz w:val="16"/>
                <w:szCs w:val="16"/>
                <w:lang w:val="fr-CH"/>
              </w:rPr>
            </w:pPr>
            <w:r w:rsidRPr="00065A5D">
              <w:rPr>
                <w:spacing w:val="0"/>
                <w:w w:val="100"/>
                <w:sz w:val="16"/>
                <w:szCs w:val="16"/>
                <w:lang w:val="fr-CH"/>
              </w:rPr>
              <w:t>400</w:t>
            </w:r>
          </w:p>
        </w:tc>
        <w:tc>
          <w:tcPr>
            <w:tcW w:w="992" w:type="dxa"/>
            <w:tcBorders>
              <w:top w:val="single" w:sz="4" w:space="0" w:color="auto"/>
              <w:left w:val="dotted" w:sz="4" w:space="0" w:color="auto"/>
              <w:bottom w:val="single" w:sz="12" w:space="0" w:color="auto"/>
              <w:right w:val="dotted" w:sz="4" w:space="0" w:color="auto"/>
            </w:tcBorders>
            <w:hideMark/>
          </w:tcPr>
          <w:p w14:paraId="4F001CA3" w14:textId="77777777" w:rsidR="004B655C" w:rsidRPr="00065A5D" w:rsidRDefault="004B655C" w:rsidP="00E712E2">
            <w:pPr>
              <w:pStyle w:val="SingleTxt"/>
              <w:keepNe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Anglais, français et russe</w:t>
            </w:r>
          </w:p>
        </w:tc>
        <w:tc>
          <w:tcPr>
            <w:tcW w:w="1559" w:type="dxa"/>
            <w:tcBorders>
              <w:top w:val="single" w:sz="4" w:space="0" w:color="auto"/>
              <w:left w:val="dotted" w:sz="4" w:space="0" w:color="auto"/>
              <w:bottom w:val="single" w:sz="12" w:space="0" w:color="auto"/>
              <w:right w:val="dotted" w:sz="4" w:space="0" w:color="auto"/>
            </w:tcBorders>
            <w:hideMark/>
          </w:tcPr>
          <w:p w14:paraId="52577F57" w14:textId="77777777" w:rsidR="004B655C" w:rsidRPr="00065A5D" w:rsidRDefault="004B655C" w:rsidP="00E712E2">
            <w:pPr>
              <w:pStyle w:val="SingleTxt"/>
              <w:keepNext/>
              <w:suppressAutoHyphens w:val="0"/>
              <w:spacing w:before="80" w:after="80" w:line="200" w:lineRule="exact"/>
              <w:ind w:left="0" w:right="0"/>
              <w:jc w:val="left"/>
              <w:rPr>
                <w:iCs/>
                <w:spacing w:val="0"/>
                <w:w w:val="100"/>
                <w:sz w:val="16"/>
                <w:szCs w:val="16"/>
                <w:lang w:val="fr-CH"/>
              </w:rPr>
            </w:pPr>
            <w:r w:rsidRPr="00065A5D">
              <w:rPr>
                <w:iCs/>
                <w:spacing w:val="0"/>
                <w:w w:val="100"/>
                <w:sz w:val="16"/>
                <w:szCs w:val="16"/>
                <w:lang w:val="fr-CH"/>
              </w:rPr>
              <w:t>Arabe, chinois et espagnol</w:t>
            </w:r>
          </w:p>
        </w:tc>
        <w:tc>
          <w:tcPr>
            <w:tcW w:w="1139" w:type="dxa"/>
            <w:tcBorders>
              <w:top w:val="single" w:sz="4" w:space="0" w:color="auto"/>
              <w:left w:val="dotted" w:sz="4" w:space="0" w:color="auto"/>
              <w:bottom w:val="single" w:sz="12" w:space="0" w:color="auto"/>
              <w:right w:val="dotted" w:sz="4" w:space="0" w:color="auto"/>
            </w:tcBorders>
            <w:hideMark/>
          </w:tcPr>
          <w:p w14:paraId="01BD1C8D" w14:textId="77777777" w:rsidR="004B655C" w:rsidRPr="00065A5D" w:rsidRDefault="004B655C" w:rsidP="00E712E2">
            <w:pPr>
              <w:pStyle w:val="SingleTxt"/>
              <w:keepNext/>
              <w:suppressAutoHyphens w:val="0"/>
              <w:spacing w:before="80" w:after="80" w:line="240" w:lineRule="auto"/>
              <w:ind w:left="0" w:right="0"/>
              <w:jc w:val="left"/>
              <w:rPr>
                <w:iCs/>
                <w:spacing w:val="0"/>
                <w:w w:val="100"/>
                <w:sz w:val="16"/>
                <w:szCs w:val="16"/>
                <w:lang w:val="fr-CH"/>
              </w:rPr>
            </w:pPr>
            <w:r w:rsidRPr="00065A5D">
              <w:rPr>
                <w:iCs/>
                <w:spacing w:val="0"/>
                <w:w w:val="100"/>
                <w:sz w:val="16"/>
                <w:szCs w:val="16"/>
                <w:lang w:val="fr-CH"/>
              </w:rPr>
              <w:t>500 (anglais), 200 (arabe), 200 (chinois), 200 (espagnol), 200 (français), 300 (russe)</w:t>
            </w:r>
          </w:p>
        </w:tc>
      </w:tr>
    </w:tbl>
    <w:p w14:paraId="5D32CC21" w14:textId="77777777" w:rsidR="004D6315" w:rsidRDefault="004D6315" w:rsidP="001B054B">
      <w:pPr>
        <w:pStyle w:val="H1G"/>
      </w:pPr>
      <w:r w:rsidRPr="002274DC">
        <w:tab/>
        <w:t>B.</w:t>
      </w:r>
      <w:r w:rsidRPr="002274DC">
        <w:tab/>
        <w:t>Publications isolées</w:t>
      </w:r>
    </w:p>
    <w:tbl>
      <w:tblPr>
        <w:tblW w:w="9639" w:type="dxa"/>
        <w:tblBorders>
          <w:top w:val="single" w:sz="12" w:space="0" w:color="auto"/>
          <w:left w:val="dotted" w:sz="4" w:space="0" w:color="auto"/>
          <w:bottom w:val="single" w:sz="12" w:space="0" w:color="auto"/>
          <w:right w:val="dotted" w:sz="4" w:space="0" w:color="auto"/>
          <w:insideH w:val="single"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421"/>
        <w:gridCol w:w="1417"/>
        <w:gridCol w:w="1418"/>
        <w:gridCol w:w="981"/>
        <w:gridCol w:w="714"/>
        <w:gridCol w:w="1007"/>
        <w:gridCol w:w="983"/>
        <w:gridCol w:w="1559"/>
        <w:gridCol w:w="1139"/>
      </w:tblGrid>
      <w:tr w:rsidR="001B054B" w:rsidRPr="00065A5D" w14:paraId="2707AE3E" w14:textId="77777777" w:rsidTr="001B054B">
        <w:tc>
          <w:tcPr>
            <w:tcW w:w="421" w:type="dxa"/>
            <w:tcBorders>
              <w:top w:val="single" w:sz="12" w:space="0" w:color="auto"/>
              <w:left w:val="dotted" w:sz="4" w:space="0" w:color="auto"/>
              <w:bottom w:val="single" w:sz="4" w:space="0" w:color="auto"/>
              <w:right w:val="dotted" w:sz="4" w:space="0" w:color="auto"/>
            </w:tcBorders>
            <w:hideMark/>
          </w:tcPr>
          <w:p w14:paraId="00CDEEA6" w14:textId="77777777" w:rsidR="001B054B" w:rsidRPr="00065A5D" w:rsidRDefault="001B054B" w:rsidP="001B054B">
            <w:pPr>
              <w:pStyle w:val="SingleTxt"/>
              <w:keepNext/>
              <w:keepLines/>
              <w:spacing w:before="80" w:after="80" w:line="200" w:lineRule="exact"/>
              <w:ind w:left="0" w:right="0"/>
              <w:jc w:val="left"/>
              <w:rPr>
                <w:i/>
                <w:iCs/>
                <w:spacing w:val="0"/>
                <w:w w:val="100"/>
                <w:sz w:val="16"/>
                <w:szCs w:val="16"/>
                <w:lang w:val="fr-CH"/>
              </w:rPr>
            </w:pPr>
            <w:r w:rsidRPr="00065A5D">
              <w:rPr>
                <w:i/>
                <w:iCs/>
                <w:spacing w:val="0"/>
                <w:w w:val="100"/>
                <w:sz w:val="16"/>
                <w:szCs w:val="16"/>
                <w:lang w:val="fr-CH"/>
              </w:rPr>
              <w:t>No</w:t>
            </w:r>
          </w:p>
        </w:tc>
        <w:tc>
          <w:tcPr>
            <w:tcW w:w="1417" w:type="dxa"/>
            <w:tcBorders>
              <w:top w:val="single" w:sz="12" w:space="0" w:color="auto"/>
              <w:left w:val="dotted" w:sz="4" w:space="0" w:color="auto"/>
              <w:bottom w:val="single" w:sz="4" w:space="0" w:color="auto"/>
              <w:right w:val="dotted" w:sz="4" w:space="0" w:color="auto"/>
            </w:tcBorders>
            <w:hideMark/>
          </w:tcPr>
          <w:p w14:paraId="774915EA" w14:textId="77777777" w:rsidR="001B054B" w:rsidRPr="00065A5D" w:rsidRDefault="001B054B" w:rsidP="00AF5984">
            <w:pPr>
              <w:pStyle w:val="SingleTxt"/>
              <w:spacing w:before="80" w:after="80" w:line="200" w:lineRule="exact"/>
              <w:ind w:left="0" w:right="0"/>
              <w:jc w:val="left"/>
              <w:rPr>
                <w:i/>
                <w:iCs/>
                <w:spacing w:val="0"/>
                <w:w w:val="100"/>
                <w:sz w:val="16"/>
                <w:szCs w:val="16"/>
                <w:lang w:val="fr-CH"/>
              </w:rPr>
            </w:pPr>
            <w:r w:rsidRPr="00065A5D">
              <w:rPr>
                <w:i/>
                <w:iCs/>
                <w:spacing w:val="0"/>
                <w:w w:val="100"/>
                <w:sz w:val="16"/>
                <w:szCs w:val="16"/>
                <w:lang w:val="fr-CH"/>
              </w:rPr>
              <w:t>Titre</w:t>
            </w:r>
          </w:p>
        </w:tc>
        <w:tc>
          <w:tcPr>
            <w:tcW w:w="1418" w:type="dxa"/>
            <w:tcBorders>
              <w:top w:val="single" w:sz="12" w:space="0" w:color="auto"/>
              <w:left w:val="dotted" w:sz="4" w:space="0" w:color="auto"/>
              <w:bottom w:val="single" w:sz="4" w:space="0" w:color="auto"/>
              <w:right w:val="dotted" w:sz="4" w:space="0" w:color="auto"/>
            </w:tcBorders>
            <w:hideMark/>
          </w:tcPr>
          <w:p w14:paraId="49DABA61" w14:textId="77777777" w:rsidR="001B054B" w:rsidRPr="00065A5D" w:rsidRDefault="001B054B" w:rsidP="00AF5984">
            <w:pPr>
              <w:pStyle w:val="SingleTxt"/>
              <w:spacing w:before="80" w:after="80" w:line="200" w:lineRule="exact"/>
              <w:ind w:left="0" w:right="0"/>
              <w:jc w:val="left"/>
              <w:rPr>
                <w:i/>
                <w:spacing w:val="0"/>
                <w:w w:val="100"/>
                <w:sz w:val="16"/>
                <w:szCs w:val="16"/>
                <w:lang w:val="fr-CH"/>
              </w:rPr>
            </w:pPr>
            <w:r w:rsidRPr="00065A5D">
              <w:rPr>
                <w:i/>
                <w:spacing w:val="0"/>
                <w:w w:val="100"/>
                <w:sz w:val="16"/>
                <w:szCs w:val="16"/>
                <w:lang w:val="fr-CH"/>
              </w:rPr>
              <w:t>Mandat</w:t>
            </w:r>
          </w:p>
        </w:tc>
        <w:tc>
          <w:tcPr>
            <w:tcW w:w="981" w:type="dxa"/>
            <w:tcBorders>
              <w:top w:val="single" w:sz="12" w:space="0" w:color="auto"/>
              <w:left w:val="dotted" w:sz="4" w:space="0" w:color="auto"/>
              <w:bottom w:val="single" w:sz="4" w:space="0" w:color="auto"/>
              <w:right w:val="dotted" w:sz="4" w:space="0" w:color="auto"/>
            </w:tcBorders>
            <w:hideMark/>
          </w:tcPr>
          <w:p w14:paraId="672CF0BB" w14:textId="77777777" w:rsidR="001B054B" w:rsidRPr="00065A5D" w:rsidRDefault="001B054B" w:rsidP="00AF5984">
            <w:pPr>
              <w:pStyle w:val="SingleTxt"/>
              <w:spacing w:before="80" w:after="80" w:line="200" w:lineRule="exact"/>
              <w:ind w:left="0" w:right="0"/>
              <w:jc w:val="left"/>
              <w:rPr>
                <w:i/>
                <w:spacing w:val="0"/>
                <w:w w:val="100"/>
                <w:sz w:val="16"/>
                <w:szCs w:val="16"/>
                <w:lang w:val="fr-CH"/>
              </w:rPr>
            </w:pPr>
            <w:r w:rsidRPr="00065A5D">
              <w:rPr>
                <w:i/>
                <w:spacing w:val="0"/>
                <w:w w:val="100"/>
                <w:sz w:val="16"/>
                <w:szCs w:val="16"/>
                <w:lang w:val="fr-CH"/>
              </w:rPr>
              <w:t>Version papier et/ou électronique</w:t>
            </w:r>
          </w:p>
        </w:tc>
        <w:tc>
          <w:tcPr>
            <w:tcW w:w="714" w:type="dxa"/>
            <w:tcBorders>
              <w:top w:val="single" w:sz="12" w:space="0" w:color="auto"/>
              <w:left w:val="dotted" w:sz="4" w:space="0" w:color="auto"/>
              <w:bottom w:val="single" w:sz="4" w:space="0" w:color="auto"/>
              <w:right w:val="dotted" w:sz="4" w:space="0" w:color="auto"/>
            </w:tcBorders>
            <w:hideMark/>
          </w:tcPr>
          <w:p w14:paraId="421C1970" w14:textId="77777777" w:rsidR="001B054B" w:rsidRPr="00065A5D" w:rsidRDefault="001B054B" w:rsidP="00AF5984">
            <w:pPr>
              <w:pStyle w:val="SingleTxt"/>
              <w:spacing w:before="80" w:after="80" w:line="200" w:lineRule="exact"/>
              <w:ind w:left="0" w:right="0"/>
              <w:jc w:val="left"/>
              <w:rPr>
                <w:i/>
                <w:spacing w:val="0"/>
                <w:w w:val="100"/>
                <w:sz w:val="16"/>
                <w:szCs w:val="16"/>
                <w:lang w:val="fr-CH"/>
              </w:rPr>
            </w:pPr>
            <w:r w:rsidRPr="00065A5D">
              <w:rPr>
                <w:i/>
                <w:spacing w:val="0"/>
                <w:w w:val="100"/>
                <w:sz w:val="16"/>
                <w:szCs w:val="16"/>
                <w:lang w:val="fr-CH"/>
              </w:rPr>
              <w:t>Format</w:t>
            </w:r>
          </w:p>
        </w:tc>
        <w:tc>
          <w:tcPr>
            <w:tcW w:w="1007" w:type="dxa"/>
            <w:tcBorders>
              <w:top w:val="single" w:sz="12" w:space="0" w:color="auto"/>
              <w:left w:val="dotted" w:sz="4" w:space="0" w:color="auto"/>
              <w:bottom w:val="single" w:sz="4" w:space="0" w:color="auto"/>
              <w:right w:val="dotted" w:sz="4" w:space="0" w:color="auto"/>
            </w:tcBorders>
            <w:hideMark/>
          </w:tcPr>
          <w:p w14:paraId="4B08BFEB" w14:textId="77777777" w:rsidR="001B054B" w:rsidRPr="00065A5D" w:rsidRDefault="001B054B" w:rsidP="00AF5984">
            <w:pPr>
              <w:pStyle w:val="SingleTxt"/>
              <w:spacing w:before="80" w:after="80" w:line="200" w:lineRule="exact"/>
              <w:ind w:left="0" w:right="0"/>
              <w:jc w:val="left"/>
              <w:rPr>
                <w:i/>
                <w:spacing w:val="0"/>
                <w:w w:val="100"/>
                <w:sz w:val="16"/>
                <w:szCs w:val="16"/>
                <w:lang w:val="fr-CH"/>
              </w:rPr>
            </w:pPr>
            <w:r w:rsidRPr="00065A5D">
              <w:rPr>
                <w:i/>
                <w:spacing w:val="0"/>
                <w:w w:val="100"/>
                <w:sz w:val="16"/>
                <w:szCs w:val="16"/>
                <w:lang w:val="fr-CH"/>
              </w:rPr>
              <w:t>Nombre de</w:t>
            </w:r>
            <w:r w:rsidR="00E712E2">
              <w:rPr>
                <w:i/>
                <w:spacing w:val="0"/>
                <w:w w:val="100"/>
                <w:sz w:val="16"/>
                <w:szCs w:val="16"/>
                <w:lang w:val="fr-CH"/>
              </w:rPr>
              <w:t> </w:t>
            </w:r>
            <w:r w:rsidRPr="00065A5D">
              <w:rPr>
                <w:i/>
                <w:spacing w:val="0"/>
                <w:w w:val="100"/>
                <w:sz w:val="16"/>
                <w:szCs w:val="16"/>
                <w:lang w:val="fr-CH"/>
              </w:rPr>
              <w:t>pages</w:t>
            </w:r>
          </w:p>
        </w:tc>
        <w:tc>
          <w:tcPr>
            <w:tcW w:w="983" w:type="dxa"/>
            <w:tcBorders>
              <w:top w:val="single" w:sz="12" w:space="0" w:color="auto"/>
              <w:left w:val="dotted" w:sz="4" w:space="0" w:color="auto"/>
              <w:bottom w:val="single" w:sz="4" w:space="0" w:color="auto"/>
              <w:right w:val="dotted" w:sz="4" w:space="0" w:color="auto"/>
            </w:tcBorders>
            <w:hideMark/>
          </w:tcPr>
          <w:p w14:paraId="29B7793B" w14:textId="77777777" w:rsidR="001B054B" w:rsidRPr="00065A5D" w:rsidRDefault="001B054B" w:rsidP="00AF5984">
            <w:pPr>
              <w:pStyle w:val="SingleTxt"/>
              <w:spacing w:before="80" w:after="80" w:line="200" w:lineRule="exact"/>
              <w:ind w:left="0" w:right="0"/>
              <w:jc w:val="left"/>
              <w:rPr>
                <w:i/>
                <w:spacing w:val="0"/>
                <w:w w:val="100"/>
                <w:sz w:val="16"/>
                <w:szCs w:val="16"/>
                <w:lang w:val="fr-CH"/>
              </w:rPr>
            </w:pPr>
            <w:r w:rsidRPr="00065A5D">
              <w:rPr>
                <w:i/>
                <w:spacing w:val="0"/>
                <w:w w:val="100"/>
                <w:sz w:val="16"/>
                <w:szCs w:val="16"/>
                <w:lang w:val="fr-CH"/>
              </w:rPr>
              <w:t>Langue(s) originale(s)</w:t>
            </w:r>
          </w:p>
        </w:tc>
        <w:tc>
          <w:tcPr>
            <w:tcW w:w="1559" w:type="dxa"/>
            <w:tcBorders>
              <w:top w:val="single" w:sz="12" w:space="0" w:color="auto"/>
              <w:left w:val="dotted" w:sz="4" w:space="0" w:color="auto"/>
              <w:bottom w:val="single" w:sz="4" w:space="0" w:color="auto"/>
              <w:right w:val="dotted" w:sz="4" w:space="0" w:color="auto"/>
            </w:tcBorders>
            <w:hideMark/>
          </w:tcPr>
          <w:p w14:paraId="7EB2A49F" w14:textId="77777777" w:rsidR="001B054B" w:rsidRPr="00065A5D" w:rsidRDefault="001B054B" w:rsidP="00AF5984">
            <w:pPr>
              <w:pStyle w:val="SingleTxt"/>
              <w:spacing w:before="80" w:after="80" w:line="200" w:lineRule="exact"/>
              <w:ind w:left="0" w:right="0"/>
              <w:jc w:val="left"/>
              <w:rPr>
                <w:i/>
                <w:spacing w:val="0"/>
                <w:w w:val="100"/>
                <w:sz w:val="16"/>
                <w:szCs w:val="16"/>
                <w:lang w:val="fr-CH"/>
              </w:rPr>
            </w:pPr>
            <w:r w:rsidRPr="00065A5D">
              <w:rPr>
                <w:i/>
                <w:spacing w:val="0"/>
                <w:w w:val="100"/>
                <w:sz w:val="16"/>
                <w:szCs w:val="16"/>
                <w:lang w:val="fr-CH"/>
              </w:rPr>
              <w:t>Traduction(s) et source de financement (budget ordinaire ou ressources extrabudgétaires)</w:t>
            </w:r>
          </w:p>
        </w:tc>
        <w:tc>
          <w:tcPr>
            <w:tcW w:w="1139" w:type="dxa"/>
            <w:tcBorders>
              <w:top w:val="single" w:sz="12" w:space="0" w:color="auto"/>
              <w:left w:val="dotted" w:sz="4" w:space="0" w:color="auto"/>
              <w:bottom w:val="single" w:sz="4" w:space="0" w:color="auto"/>
              <w:right w:val="dotted" w:sz="4" w:space="0" w:color="auto"/>
            </w:tcBorders>
            <w:hideMark/>
          </w:tcPr>
          <w:p w14:paraId="26625FF3" w14:textId="77777777" w:rsidR="001B054B" w:rsidRPr="00065A5D" w:rsidRDefault="001B054B" w:rsidP="00AF5984">
            <w:pPr>
              <w:pStyle w:val="SingleTxt"/>
              <w:spacing w:before="80" w:after="80" w:line="200" w:lineRule="exact"/>
              <w:ind w:left="0" w:right="0"/>
              <w:jc w:val="left"/>
              <w:rPr>
                <w:i/>
                <w:spacing w:val="0"/>
                <w:w w:val="100"/>
                <w:sz w:val="16"/>
                <w:szCs w:val="16"/>
                <w:lang w:val="fr-CH"/>
              </w:rPr>
            </w:pPr>
            <w:r w:rsidRPr="00065A5D">
              <w:rPr>
                <w:i/>
                <w:spacing w:val="0"/>
                <w:w w:val="100"/>
                <w:sz w:val="16"/>
                <w:szCs w:val="16"/>
                <w:lang w:val="fr-CH"/>
              </w:rPr>
              <w:t>Nombre d</w:t>
            </w:r>
            <w:r w:rsidR="00455787">
              <w:rPr>
                <w:i/>
                <w:spacing w:val="0"/>
                <w:w w:val="100"/>
                <w:sz w:val="16"/>
                <w:szCs w:val="16"/>
                <w:lang w:val="fr-CH"/>
              </w:rPr>
              <w:t>’</w:t>
            </w:r>
            <w:r w:rsidRPr="00065A5D">
              <w:rPr>
                <w:i/>
                <w:spacing w:val="0"/>
                <w:w w:val="100"/>
                <w:sz w:val="16"/>
                <w:szCs w:val="16"/>
                <w:lang w:val="fr-CH"/>
              </w:rPr>
              <w:t>exemplaires par langue(s)</w:t>
            </w:r>
          </w:p>
        </w:tc>
      </w:tr>
      <w:tr w:rsidR="001B054B" w:rsidRPr="00065A5D" w14:paraId="611DAF06" w14:textId="77777777" w:rsidTr="001B054B">
        <w:tc>
          <w:tcPr>
            <w:tcW w:w="421" w:type="dxa"/>
            <w:tcBorders>
              <w:top w:val="single" w:sz="4" w:space="0" w:color="auto"/>
              <w:left w:val="dotted" w:sz="4" w:space="0" w:color="auto"/>
              <w:bottom w:val="single" w:sz="4" w:space="0" w:color="auto"/>
              <w:right w:val="dotted" w:sz="4" w:space="0" w:color="auto"/>
            </w:tcBorders>
            <w:hideMark/>
          </w:tcPr>
          <w:p w14:paraId="6CB44681" w14:textId="77777777" w:rsidR="001B054B" w:rsidRPr="00065A5D" w:rsidRDefault="001B054B" w:rsidP="00AF5984">
            <w:pPr>
              <w:pStyle w:val="SingleTxt"/>
              <w:keepNext/>
              <w:keepLines/>
              <w:spacing w:before="80" w:after="80" w:line="200" w:lineRule="exact"/>
              <w:ind w:left="0" w:right="113"/>
              <w:jc w:val="left"/>
              <w:rPr>
                <w:iCs/>
                <w:spacing w:val="0"/>
                <w:w w:val="100"/>
                <w:sz w:val="16"/>
                <w:szCs w:val="16"/>
                <w:lang w:val="fr-CH"/>
              </w:rPr>
            </w:pPr>
            <w:r w:rsidRPr="00065A5D">
              <w:rPr>
                <w:spacing w:val="0"/>
                <w:w w:val="100"/>
                <w:sz w:val="16"/>
                <w:szCs w:val="16"/>
                <w:lang w:val="fr-CH"/>
              </w:rPr>
              <w:t>1</w:t>
            </w:r>
          </w:p>
        </w:tc>
        <w:tc>
          <w:tcPr>
            <w:tcW w:w="1417" w:type="dxa"/>
            <w:tcBorders>
              <w:top w:val="single" w:sz="4" w:space="0" w:color="auto"/>
              <w:left w:val="dotted" w:sz="4" w:space="0" w:color="auto"/>
              <w:bottom w:val="single" w:sz="4" w:space="0" w:color="auto"/>
              <w:right w:val="dotted" w:sz="4" w:space="0" w:color="auto"/>
            </w:tcBorders>
            <w:hideMark/>
          </w:tcPr>
          <w:p w14:paraId="5B01B5BA" w14:textId="77777777" w:rsidR="001B054B" w:rsidRPr="00065A5D" w:rsidRDefault="001B054B" w:rsidP="00AF5984">
            <w:pPr>
              <w:pStyle w:val="SingleTxt"/>
              <w:spacing w:before="80" w:after="80" w:line="200" w:lineRule="exact"/>
              <w:ind w:left="0" w:right="0"/>
              <w:jc w:val="left"/>
              <w:rPr>
                <w:iCs/>
                <w:spacing w:val="0"/>
                <w:w w:val="100"/>
                <w:sz w:val="16"/>
                <w:szCs w:val="16"/>
                <w:lang w:val="fr-CH"/>
              </w:rPr>
            </w:pPr>
            <w:r w:rsidRPr="00065A5D">
              <w:rPr>
                <w:iCs/>
                <w:spacing w:val="0"/>
                <w:w w:val="100"/>
                <w:sz w:val="16"/>
                <w:szCs w:val="16"/>
                <w:lang w:val="fr-CH"/>
              </w:rPr>
              <w:t>Glossaire des termes et définitions utilisés dans le transport par voie navigable</w:t>
            </w:r>
          </w:p>
        </w:tc>
        <w:tc>
          <w:tcPr>
            <w:tcW w:w="1418" w:type="dxa"/>
            <w:tcBorders>
              <w:top w:val="single" w:sz="4" w:space="0" w:color="auto"/>
              <w:left w:val="dotted" w:sz="4" w:space="0" w:color="auto"/>
              <w:bottom w:val="single" w:sz="4" w:space="0" w:color="auto"/>
              <w:right w:val="dotted" w:sz="4" w:space="0" w:color="auto"/>
            </w:tcBorders>
            <w:hideMark/>
          </w:tcPr>
          <w:p w14:paraId="6BA58BF1" w14:textId="77777777" w:rsidR="001B054B" w:rsidRPr="00065A5D" w:rsidRDefault="001B054B" w:rsidP="00AF5984">
            <w:pPr>
              <w:pStyle w:val="SingleTxt"/>
              <w:spacing w:before="80" w:after="80" w:line="200" w:lineRule="exact"/>
              <w:ind w:left="0" w:right="0"/>
              <w:jc w:val="left"/>
              <w:rPr>
                <w:iCs/>
                <w:spacing w:val="0"/>
                <w:w w:val="100"/>
                <w:sz w:val="16"/>
                <w:szCs w:val="16"/>
                <w:lang w:val="fr-CH"/>
              </w:rPr>
            </w:pPr>
            <w:r w:rsidRPr="00065A5D">
              <w:rPr>
                <w:iCs/>
                <w:spacing w:val="0"/>
                <w:w w:val="100"/>
                <w:sz w:val="16"/>
                <w:szCs w:val="16"/>
                <w:lang w:val="fr-CH"/>
              </w:rPr>
              <w:t>ECE/TRANS/294, par. 138</w:t>
            </w:r>
          </w:p>
        </w:tc>
        <w:tc>
          <w:tcPr>
            <w:tcW w:w="981" w:type="dxa"/>
            <w:tcBorders>
              <w:top w:val="single" w:sz="4" w:space="0" w:color="auto"/>
              <w:left w:val="dotted" w:sz="4" w:space="0" w:color="auto"/>
              <w:bottom w:val="single" w:sz="4" w:space="0" w:color="auto"/>
              <w:right w:val="dotted" w:sz="4" w:space="0" w:color="auto"/>
            </w:tcBorders>
            <w:hideMark/>
          </w:tcPr>
          <w:p w14:paraId="48F6818E" w14:textId="77777777" w:rsidR="001B054B" w:rsidRPr="00065A5D" w:rsidRDefault="001B054B" w:rsidP="00AF5984">
            <w:pPr>
              <w:pStyle w:val="SingleTxt"/>
              <w:spacing w:before="80" w:after="80" w:line="200" w:lineRule="exact"/>
              <w:ind w:left="0" w:right="0"/>
              <w:jc w:val="left"/>
              <w:rPr>
                <w:iCs/>
                <w:spacing w:val="0"/>
                <w:w w:val="100"/>
                <w:sz w:val="16"/>
                <w:szCs w:val="16"/>
                <w:lang w:val="fr-CH"/>
              </w:rPr>
            </w:pPr>
            <w:r w:rsidRPr="00065A5D">
              <w:rPr>
                <w:iCs/>
                <w:spacing w:val="0"/>
                <w:w w:val="100"/>
                <w:sz w:val="16"/>
                <w:szCs w:val="16"/>
                <w:lang w:val="fr-CH"/>
              </w:rPr>
              <w:t>Versions papier et électronique</w:t>
            </w:r>
          </w:p>
        </w:tc>
        <w:tc>
          <w:tcPr>
            <w:tcW w:w="714" w:type="dxa"/>
            <w:tcBorders>
              <w:top w:val="single" w:sz="4" w:space="0" w:color="auto"/>
              <w:left w:val="dotted" w:sz="4" w:space="0" w:color="auto"/>
              <w:bottom w:val="single" w:sz="4" w:space="0" w:color="auto"/>
              <w:right w:val="dotted" w:sz="4" w:space="0" w:color="auto"/>
            </w:tcBorders>
            <w:hideMark/>
          </w:tcPr>
          <w:p w14:paraId="33D4F8BB" w14:textId="77777777" w:rsidR="001B054B" w:rsidRPr="00065A5D" w:rsidRDefault="001B054B" w:rsidP="00AF5984">
            <w:pPr>
              <w:pStyle w:val="SingleTxt"/>
              <w:spacing w:before="80" w:after="80" w:line="200" w:lineRule="exact"/>
              <w:ind w:left="0" w:right="0"/>
              <w:jc w:val="left"/>
              <w:rPr>
                <w:iCs/>
                <w:spacing w:val="0"/>
                <w:w w:val="100"/>
                <w:sz w:val="16"/>
                <w:szCs w:val="16"/>
                <w:lang w:val="fr-CH"/>
              </w:rPr>
            </w:pPr>
            <w:r w:rsidRPr="00065A5D">
              <w:rPr>
                <w:iCs/>
                <w:spacing w:val="0"/>
                <w:w w:val="100"/>
                <w:sz w:val="16"/>
                <w:szCs w:val="16"/>
                <w:lang w:val="fr-CH"/>
              </w:rPr>
              <w:t>A4</w:t>
            </w:r>
          </w:p>
        </w:tc>
        <w:tc>
          <w:tcPr>
            <w:tcW w:w="1007" w:type="dxa"/>
            <w:tcBorders>
              <w:top w:val="single" w:sz="4" w:space="0" w:color="auto"/>
              <w:left w:val="dotted" w:sz="4" w:space="0" w:color="auto"/>
              <w:bottom w:val="single" w:sz="4" w:space="0" w:color="auto"/>
              <w:right w:val="dotted" w:sz="4" w:space="0" w:color="auto"/>
            </w:tcBorders>
            <w:hideMark/>
          </w:tcPr>
          <w:p w14:paraId="0C56F71A" w14:textId="77777777" w:rsidR="001B054B" w:rsidRPr="00065A5D" w:rsidRDefault="001B054B" w:rsidP="00AF5984">
            <w:pPr>
              <w:pStyle w:val="SingleTxt"/>
              <w:spacing w:before="80" w:after="80" w:line="200" w:lineRule="exact"/>
              <w:ind w:left="0" w:right="0"/>
              <w:jc w:val="left"/>
              <w:rPr>
                <w:iCs/>
                <w:spacing w:val="0"/>
                <w:w w:val="100"/>
                <w:sz w:val="16"/>
                <w:szCs w:val="16"/>
                <w:lang w:val="fr-CH"/>
              </w:rPr>
            </w:pPr>
            <w:r w:rsidRPr="00065A5D">
              <w:rPr>
                <w:spacing w:val="0"/>
                <w:w w:val="100"/>
                <w:sz w:val="16"/>
                <w:szCs w:val="16"/>
                <w:lang w:val="fr-CH"/>
              </w:rPr>
              <w:t>150</w:t>
            </w:r>
          </w:p>
        </w:tc>
        <w:tc>
          <w:tcPr>
            <w:tcW w:w="983" w:type="dxa"/>
            <w:tcBorders>
              <w:top w:val="single" w:sz="4" w:space="0" w:color="auto"/>
              <w:left w:val="dotted" w:sz="4" w:space="0" w:color="auto"/>
              <w:bottom w:val="single" w:sz="4" w:space="0" w:color="auto"/>
              <w:right w:val="dotted" w:sz="4" w:space="0" w:color="auto"/>
            </w:tcBorders>
            <w:hideMark/>
          </w:tcPr>
          <w:p w14:paraId="7F5259C3" w14:textId="77777777" w:rsidR="001B054B" w:rsidRPr="00065A5D" w:rsidRDefault="001B054B" w:rsidP="00AF5984">
            <w:pPr>
              <w:pStyle w:val="SingleTxt"/>
              <w:spacing w:before="80" w:after="80" w:line="200" w:lineRule="exact"/>
              <w:ind w:left="0" w:right="0"/>
              <w:jc w:val="left"/>
              <w:rPr>
                <w:iCs/>
                <w:spacing w:val="0"/>
                <w:w w:val="100"/>
                <w:sz w:val="16"/>
                <w:szCs w:val="16"/>
                <w:lang w:val="fr-CH"/>
              </w:rPr>
            </w:pPr>
            <w:r w:rsidRPr="00065A5D">
              <w:rPr>
                <w:iCs/>
                <w:spacing w:val="0"/>
                <w:w w:val="100"/>
                <w:sz w:val="16"/>
                <w:szCs w:val="16"/>
                <w:lang w:val="fr-CH"/>
              </w:rPr>
              <w:t>Anglais</w:t>
            </w:r>
          </w:p>
        </w:tc>
        <w:tc>
          <w:tcPr>
            <w:tcW w:w="1559" w:type="dxa"/>
            <w:tcBorders>
              <w:top w:val="single" w:sz="4" w:space="0" w:color="auto"/>
              <w:left w:val="dotted" w:sz="4" w:space="0" w:color="auto"/>
              <w:bottom w:val="single" w:sz="4" w:space="0" w:color="auto"/>
              <w:right w:val="dotted" w:sz="4" w:space="0" w:color="auto"/>
            </w:tcBorders>
            <w:hideMark/>
          </w:tcPr>
          <w:p w14:paraId="154A8C52" w14:textId="77777777" w:rsidR="001B054B" w:rsidRPr="00065A5D" w:rsidRDefault="001B054B" w:rsidP="00AF5984">
            <w:pPr>
              <w:pStyle w:val="SingleTxt"/>
              <w:spacing w:before="80" w:after="80" w:line="200" w:lineRule="exact"/>
              <w:ind w:left="0" w:right="0"/>
              <w:jc w:val="left"/>
              <w:rPr>
                <w:iCs/>
                <w:spacing w:val="0"/>
                <w:w w:val="100"/>
                <w:sz w:val="16"/>
                <w:szCs w:val="16"/>
                <w:lang w:val="fr-CH"/>
              </w:rPr>
            </w:pPr>
            <w:r w:rsidRPr="00065A5D">
              <w:rPr>
                <w:iCs/>
                <w:spacing w:val="0"/>
                <w:w w:val="100"/>
                <w:sz w:val="16"/>
                <w:szCs w:val="16"/>
                <w:lang w:val="fr-CH"/>
              </w:rPr>
              <w:t>Français et russe</w:t>
            </w:r>
          </w:p>
        </w:tc>
        <w:tc>
          <w:tcPr>
            <w:tcW w:w="1139" w:type="dxa"/>
            <w:tcBorders>
              <w:top w:val="single" w:sz="4" w:space="0" w:color="auto"/>
              <w:left w:val="dotted" w:sz="4" w:space="0" w:color="auto"/>
              <w:bottom w:val="single" w:sz="4" w:space="0" w:color="auto"/>
              <w:right w:val="dotted" w:sz="4" w:space="0" w:color="auto"/>
            </w:tcBorders>
            <w:hideMark/>
          </w:tcPr>
          <w:p w14:paraId="67F5F0A4" w14:textId="77777777" w:rsidR="001B054B" w:rsidRPr="00065A5D" w:rsidRDefault="001B054B" w:rsidP="00AF5984">
            <w:pPr>
              <w:pStyle w:val="SingleTxt"/>
              <w:spacing w:before="80" w:after="80" w:line="200" w:lineRule="exact"/>
              <w:ind w:left="0" w:right="0"/>
              <w:jc w:val="left"/>
              <w:rPr>
                <w:iCs/>
                <w:spacing w:val="0"/>
                <w:w w:val="100"/>
                <w:sz w:val="16"/>
                <w:szCs w:val="16"/>
                <w:lang w:val="fr-CH"/>
              </w:rPr>
            </w:pPr>
            <w:r w:rsidRPr="00065A5D">
              <w:rPr>
                <w:iCs/>
                <w:spacing w:val="0"/>
                <w:w w:val="100"/>
                <w:sz w:val="16"/>
                <w:szCs w:val="16"/>
                <w:lang w:val="fr-CH"/>
              </w:rPr>
              <w:t>200 (anglais), 100 (français), 100 (russe)</w:t>
            </w:r>
          </w:p>
        </w:tc>
      </w:tr>
      <w:tr w:rsidR="001B054B" w:rsidRPr="00065A5D" w14:paraId="3EE0212B" w14:textId="77777777" w:rsidTr="001B054B">
        <w:tc>
          <w:tcPr>
            <w:tcW w:w="421" w:type="dxa"/>
            <w:tcBorders>
              <w:top w:val="single" w:sz="4" w:space="0" w:color="auto"/>
              <w:left w:val="dotted" w:sz="4" w:space="0" w:color="auto"/>
              <w:bottom w:val="single" w:sz="4" w:space="0" w:color="auto"/>
              <w:right w:val="dotted" w:sz="4" w:space="0" w:color="auto"/>
            </w:tcBorders>
            <w:hideMark/>
          </w:tcPr>
          <w:p w14:paraId="4AD06527" w14:textId="77777777" w:rsidR="001B054B" w:rsidRPr="00065A5D" w:rsidRDefault="001B054B" w:rsidP="00AF5984">
            <w:pPr>
              <w:pStyle w:val="SingleTxt"/>
              <w:keepNext/>
              <w:keepLines/>
              <w:spacing w:before="80" w:after="80" w:line="200" w:lineRule="exact"/>
              <w:ind w:left="0" w:right="113"/>
              <w:jc w:val="left"/>
              <w:rPr>
                <w:iCs/>
                <w:spacing w:val="0"/>
                <w:w w:val="100"/>
                <w:sz w:val="16"/>
                <w:szCs w:val="16"/>
                <w:lang w:val="fr-CH"/>
              </w:rPr>
            </w:pPr>
            <w:r w:rsidRPr="00065A5D">
              <w:rPr>
                <w:spacing w:val="0"/>
                <w:w w:val="100"/>
                <w:sz w:val="16"/>
                <w:szCs w:val="16"/>
                <w:lang w:val="fr-CH"/>
              </w:rPr>
              <w:t>2</w:t>
            </w:r>
          </w:p>
        </w:tc>
        <w:tc>
          <w:tcPr>
            <w:tcW w:w="1417" w:type="dxa"/>
            <w:tcBorders>
              <w:top w:val="single" w:sz="4" w:space="0" w:color="auto"/>
              <w:left w:val="dotted" w:sz="4" w:space="0" w:color="auto"/>
              <w:bottom w:val="single" w:sz="4" w:space="0" w:color="auto"/>
              <w:right w:val="dotted" w:sz="4" w:space="0" w:color="auto"/>
            </w:tcBorders>
            <w:hideMark/>
          </w:tcPr>
          <w:p w14:paraId="37C55931" w14:textId="77777777" w:rsidR="001B054B" w:rsidRPr="00065A5D" w:rsidRDefault="001B054B" w:rsidP="00AF5984">
            <w:pPr>
              <w:pStyle w:val="SingleTxt"/>
              <w:spacing w:before="80" w:after="80" w:line="200" w:lineRule="exact"/>
              <w:ind w:left="0" w:right="0"/>
              <w:jc w:val="left"/>
              <w:rPr>
                <w:iCs/>
                <w:spacing w:val="0"/>
                <w:w w:val="100"/>
                <w:sz w:val="16"/>
                <w:szCs w:val="16"/>
                <w:lang w:val="fr-CH"/>
              </w:rPr>
            </w:pPr>
            <w:r w:rsidRPr="00065A5D">
              <w:rPr>
                <w:iCs/>
                <w:spacing w:val="0"/>
                <w:w w:val="100"/>
                <w:sz w:val="16"/>
                <w:szCs w:val="16"/>
                <w:lang w:val="fr-CH"/>
              </w:rPr>
              <w:t>Transport vert : logistique verte</w:t>
            </w:r>
          </w:p>
        </w:tc>
        <w:tc>
          <w:tcPr>
            <w:tcW w:w="1418" w:type="dxa"/>
            <w:tcBorders>
              <w:top w:val="single" w:sz="4" w:space="0" w:color="auto"/>
              <w:left w:val="dotted" w:sz="4" w:space="0" w:color="auto"/>
              <w:bottom w:val="single" w:sz="4" w:space="0" w:color="auto"/>
              <w:right w:val="dotted" w:sz="4" w:space="0" w:color="auto"/>
            </w:tcBorders>
            <w:hideMark/>
          </w:tcPr>
          <w:p w14:paraId="28FB8658" w14:textId="77777777" w:rsidR="001B054B" w:rsidRPr="00065A5D" w:rsidRDefault="001B054B" w:rsidP="00AF5984">
            <w:pPr>
              <w:pStyle w:val="SingleTxt"/>
              <w:spacing w:before="80" w:after="80" w:line="200" w:lineRule="exact"/>
              <w:ind w:left="0" w:right="0"/>
              <w:jc w:val="left"/>
              <w:rPr>
                <w:iCs/>
                <w:spacing w:val="0"/>
                <w:w w:val="100"/>
                <w:sz w:val="16"/>
                <w:szCs w:val="16"/>
                <w:lang w:val="fr-CH"/>
              </w:rPr>
            </w:pPr>
            <w:r w:rsidRPr="00065A5D">
              <w:rPr>
                <w:iCs/>
                <w:spacing w:val="0"/>
                <w:w w:val="100"/>
                <w:sz w:val="16"/>
                <w:szCs w:val="16"/>
                <w:lang w:val="fr-CH"/>
              </w:rPr>
              <w:t>ECE/TRANS/294, par. 138</w:t>
            </w:r>
          </w:p>
        </w:tc>
        <w:tc>
          <w:tcPr>
            <w:tcW w:w="981" w:type="dxa"/>
            <w:tcBorders>
              <w:top w:val="single" w:sz="4" w:space="0" w:color="auto"/>
              <w:left w:val="dotted" w:sz="4" w:space="0" w:color="auto"/>
              <w:bottom w:val="single" w:sz="4" w:space="0" w:color="auto"/>
              <w:right w:val="dotted" w:sz="4" w:space="0" w:color="auto"/>
            </w:tcBorders>
            <w:hideMark/>
          </w:tcPr>
          <w:p w14:paraId="545D93C4" w14:textId="77777777" w:rsidR="001B054B" w:rsidRPr="00065A5D" w:rsidRDefault="001B054B" w:rsidP="00AF5984">
            <w:pPr>
              <w:pStyle w:val="SingleTxt"/>
              <w:spacing w:before="80" w:after="80" w:line="200" w:lineRule="exact"/>
              <w:ind w:left="0" w:right="0"/>
              <w:jc w:val="left"/>
              <w:rPr>
                <w:iCs/>
                <w:spacing w:val="0"/>
                <w:w w:val="100"/>
                <w:sz w:val="16"/>
                <w:szCs w:val="16"/>
                <w:lang w:val="fr-CH"/>
              </w:rPr>
            </w:pPr>
            <w:r w:rsidRPr="00065A5D">
              <w:rPr>
                <w:iCs/>
                <w:spacing w:val="0"/>
                <w:w w:val="100"/>
                <w:sz w:val="16"/>
                <w:szCs w:val="16"/>
                <w:lang w:val="fr-CH"/>
              </w:rPr>
              <w:t>Versions papier et électronique</w:t>
            </w:r>
          </w:p>
        </w:tc>
        <w:tc>
          <w:tcPr>
            <w:tcW w:w="714" w:type="dxa"/>
            <w:tcBorders>
              <w:top w:val="single" w:sz="4" w:space="0" w:color="auto"/>
              <w:left w:val="dotted" w:sz="4" w:space="0" w:color="auto"/>
              <w:bottom w:val="single" w:sz="4" w:space="0" w:color="auto"/>
              <w:right w:val="dotted" w:sz="4" w:space="0" w:color="auto"/>
            </w:tcBorders>
            <w:hideMark/>
          </w:tcPr>
          <w:p w14:paraId="24FAB014" w14:textId="77777777" w:rsidR="001B054B" w:rsidRPr="00065A5D" w:rsidRDefault="001B054B" w:rsidP="00AF5984">
            <w:pPr>
              <w:pStyle w:val="SingleTxt"/>
              <w:spacing w:before="80" w:after="80" w:line="200" w:lineRule="exact"/>
              <w:ind w:left="0" w:right="0"/>
              <w:jc w:val="left"/>
              <w:rPr>
                <w:iCs/>
                <w:spacing w:val="0"/>
                <w:w w:val="100"/>
                <w:sz w:val="16"/>
                <w:szCs w:val="16"/>
                <w:lang w:val="fr-CH"/>
              </w:rPr>
            </w:pPr>
            <w:r w:rsidRPr="00065A5D">
              <w:rPr>
                <w:iCs/>
                <w:spacing w:val="0"/>
                <w:w w:val="100"/>
                <w:sz w:val="16"/>
                <w:szCs w:val="16"/>
                <w:lang w:val="fr-CH"/>
              </w:rPr>
              <w:t>A4</w:t>
            </w:r>
          </w:p>
        </w:tc>
        <w:tc>
          <w:tcPr>
            <w:tcW w:w="1007" w:type="dxa"/>
            <w:tcBorders>
              <w:top w:val="single" w:sz="4" w:space="0" w:color="auto"/>
              <w:left w:val="dotted" w:sz="4" w:space="0" w:color="auto"/>
              <w:bottom w:val="single" w:sz="4" w:space="0" w:color="auto"/>
              <w:right w:val="dotted" w:sz="4" w:space="0" w:color="auto"/>
            </w:tcBorders>
            <w:hideMark/>
          </w:tcPr>
          <w:p w14:paraId="4041BBFE" w14:textId="77777777" w:rsidR="001B054B" w:rsidRPr="00065A5D" w:rsidRDefault="001B054B" w:rsidP="00AF5984">
            <w:pPr>
              <w:pStyle w:val="SingleTxt"/>
              <w:spacing w:before="80" w:after="80" w:line="200" w:lineRule="exact"/>
              <w:ind w:left="0" w:right="0"/>
              <w:jc w:val="left"/>
              <w:rPr>
                <w:iCs/>
                <w:spacing w:val="0"/>
                <w:w w:val="100"/>
                <w:sz w:val="16"/>
                <w:szCs w:val="16"/>
                <w:lang w:val="fr-CH"/>
              </w:rPr>
            </w:pPr>
            <w:r w:rsidRPr="00065A5D">
              <w:rPr>
                <w:spacing w:val="0"/>
                <w:w w:val="100"/>
                <w:sz w:val="16"/>
                <w:szCs w:val="16"/>
                <w:lang w:val="fr-CH"/>
              </w:rPr>
              <w:t>150</w:t>
            </w:r>
          </w:p>
        </w:tc>
        <w:tc>
          <w:tcPr>
            <w:tcW w:w="983" w:type="dxa"/>
            <w:tcBorders>
              <w:top w:val="single" w:sz="4" w:space="0" w:color="auto"/>
              <w:left w:val="dotted" w:sz="4" w:space="0" w:color="auto"/>
              <w:bottom w:val="single" w:sz="4" w:space="0" w:color="auto"/>
              <w:right w:val="dotted" w:sz="4" w:space="0" w:color="auto"/>
            </w:tcBorders>
            <w:hideMark/>
          </w:tcPr>
          <w:p w14:paraId="34D5D91D" w14:textId="77777777" w:rsidR="001B054B" w:rsidRPr="00065A5D" w:rsidRDefault="001B054B" w:rsidP="00AF5984">
            <w:pPr>
              <w:pStyle w:val="SingleTxt"/>
              <w:spacing w:before="80" w:after="80" w:line="200" w:lineRule="exact"/>
              <w:ind w:left="0" w:right="0"/>
              <w:jc w:val="left"/>
              <w:rPr>
                <w:iCs/>
                <w:spacing w:val="0"/>
                <w:w w:val="100"/>
                <w:sz w:val="16"/>
                <w:szCs w:val="16"/>
                <w:lang w:val="fr-CH"/>
              </w:rPr>
            </w:pPr>
            <w:r w:rsidRPr="00065A5D">
              <w:rPr>
                <w:iCs/>
                <w:spacing w:val="0"/>
                <w:w w:val="100"/>
                <w:sz w:val="16"/>
                <w:szCs w:val="16"/>
                <w:lang w:val="fr-CH"/>
              </w:rPr>
              <w:t>Anglais</w:t>
            </w:r>
          </w:p>
        </w:tc>
        <w:tc>
          <w:tcPr>
            <w:tcW w:w="1559" w:type="dxa"/>
            <w:tcBorders>
              <w:top w:val="single" w:sz="4" w:space="0" w:color="auto"/>
              <w:left w:val="dotted" w:sz="4" w:space="0" w:color="auto"/>
              <w:bottom w:val="single" w:sz="4" w:space="0" w:color="auto"/>
              <w:right w:val="dotted" w:sz="4" w:space="0" w:color="auto"/>
            </w:tcBorders>
            <w:hideMark/>
          </w:tcPr>
          <w:p w14:paraId="0AF6FF36" w14:textId="77777777" w:rsidR="001B054B" w:rsidRPr="00065A5D" w:rsidRDefault="001B054B" w:rsidP="00AF5984">
            <w:pPr>
              <w:pStyle w:val="SingleTxt"/>
              <w:spacing w:before="80" w:after="80" w:line="200" w:lineRule="exact"/>
              <w:ind w:left="0" w:right="0"/>
              <w:jc w:val="left"/>
              <w:rPr>
                <w:iCs/>
                <w:spacing w:val="0"/>
                <w:w w:val="100"/>
                <w:sz w:val="16"/>
                <w:szCs w:val="16"/>
                <w:lang w:val="fr-CH"/>
              </w:rPr>
            </w:pPr>
            <w:r w:rsidRPr="00065A5D">
              <w:rPr>
                <w:iCs/>
                <w:spacing w:val="0"/>
                <w:w w:val="100"/>
                <w:sz w:val="16"/>
                <w:szCs w:val="16"/>
                <w:lang w:val="fr-CH"/>
              </w:rPr>
              <w:t>Français et russe</w:t>
            </w:r>
          </w:p>
        </w:tc>
        <w:tc>
          <w:tcPr>
            <w:tcW w:w="1139" w:type="dxa"/>
            <w:tcBorders>
              <w:top w:val="single" w:sz="4" w:space="0" w:color="auto"/>
              <w:left w:val="dotted" w:sz="4" w:space="0" w:color="auto"/>
              <w:bottom w:val="single" w:sz="4" w:space="0" w:color="auto"/>
              <w:right w:val="dotted" w:sz="4" w:space="0" w:color="auto"/>
            </w:tcBorders>
            <w:hideMark/>
          </w:tcPr>
          <w:p w14:paraId="40A96DA5" w14:textId="77777777" w:rsidR="001B054B" w:rsidRPr="00065A5D" w:rsidRDefault="001B054B" w:rsidP="00AF5984">
            <w:pPr>
              <w:pStyle w:val="SingleTxt"/>
              <w:spacing w:before="80" w:after="80" w:line="200" w:lineRule="exact"/>
              <w:ind w:left="0" w:right="0"/>
              <w:jc w:val="left"/>
              <w:rPr>
                <w:iCs/>
                <w:spacing w:val="0"/>
                <w:w w:val="100"/>
                <w:sz w:val="16"/>
                <w:szCs w:val="16"/>
                <w:lang w:val="fr-CH"/>
              </w:rPr>
            </w:pPr>
            <w:r w:rsidRPr="00065A5D">
              <w:rPr>
                <w:iCs/>
                <w:spacing w:val="0"/>
                <w:w w:val="100"/>
                <w:sz w:val="16"/>
                <w:szCs w:val="16"/>
                <w:lang w:val="fr-CH"/>
              </w:rPr>
              <w:t>200 (anglais), 100 (français), 100 (russe)</w:t>
            </w:r>
          </w:p>
        </w:tc>
      </w:tr>
      <w:tr w:rsidR="001B054B" w:rsidRPr="00065A5D" w14:paraId="43C09CEA" w14:textId="77777777" w:rsidTr="001B054B">
        <w:tc>
          <w:tcPr>
            <w:tcW w:w="421" w:type="dxa"/>
            <w:tcBorders>
              <w:top w:val="single" w:sz="4" w:space="0" w:color="auto"/>
              <w:left w:val="dotted" w:sz="4" w:space="0" w:color="auto"/>
              <w:bottom w:val="single" w:sz="4" w:space="0" w:color="auto"/>
              <w:right w:val="dotted" w:sz="4" w:space="0" w:color="auto"/>
            </w:tcBorders>
            <w:hideMark/>
          </w:tcPr>
          <w:p w14:paraId="37653A60" w14:textId="77777777" w:rsidR="001B054B" w:rsidRPr="00065A5D" w:rsidRDefault="001B054B" w:rsidP="00AF5984">
            <w:pPr>
              <w:pStyle w:val="SingleTxt"/>
              <w:keepNext/>
              <w:keepLines/>
              <w:spacing w:before="80" w:after="80" w:line="200" w:lineRule="exact"/>
              <w:ind w:left="0" w:right="113"/>
              <w:jc w:val="left"/>
              <w:rPr>
                <w:iCs/>
                <w:spacing w:val="0"/>
                <w:w w:val="100"/>
                <w:sz w:val="16"/>
                <w:szCs w:val="16"/>
                <w:lang w:val="fr-CH"/>
              </w:rPr>
            </w:pPr>
            <w:r w:rsidRPr="00065A5D">
              <w:rPr>
                <w:spacing w:val="0"/>
                <w:w w:val="100"/>
                <w:sz w:val="16"/>
                <w:szCs w:val="16"/>
                <w:lang w:val="fr-CH"/>
              </w:rPr>
              <w:t>3</w:t>
            </w:r>
          </w:p>
        </w:tc>
        <w:tc>
          <w:tcPr>
            <w:tcW w:w="1417" w:type="dxa"/>
            <w:tcBorders>
              <w:top w:val="single" w:sz="4" w:space="0" w:color="auto"/>
              <w:left w:val="dotted" w:sz="4" w:space="0" w:color="auto"/>
              <w:bottom w:val="single" w:sz="4" w:space="0" w:color="auto"/>
              <w:right w:val="dotted" w:sz="4" w:space="0" w:color="auto"/>
            </w:tcBorders>
            <w:hideMark/>
          </w:tcPr>
          <w:p w14:paraId="417D40DA" w14:textId="77777777" w:rsidR="001B054B" w:rsidRPr="00065A5D" w:rsidRDefault="001B054B" w:rsidP="00AF5984">
            <w:pPr>
              <w:pStyle w:val="SingleTxt"/>
              <w:spacing w:before="80" w:after="80" w:line="200" w:lineRule="exact"/>
              <w:ind w:left="0" w:right="0"/>
              <w:jc w:val="left"/>
              <w:rPr>
                <w:iCs/>
                <w:spacing w:val="0"/>
                <w:w w:val="100"/>
                <w:sz w:val="16"/>
                <w:szCs w:val="16"/>
                <w:lang w:val="en-US"/>
              </w:rPr>
            </w:pPr>
            <w:r w:rsidRPr="00065A5D">
              <w:rPr>
                <w:iCs/>
                <w:spacing w:val="0"/>
                <w:w w:val="100"/>
                <w:sz w:val="16"/>
                <w:szCs w:val="16"/>
                <w:lang w:val="en-US"/>
              </w:rPr>
              <w:t>Managing risks and climate change in road infrastructure sub-sector</w:t>
            </w:r>
          </w:p>
        </w:tc>
        <w:tc>
          <w:tcPr>
            <w:tcW w:w="1418" w:type="dxa"/>
            <w:tcBorders>
              <w:top w:val="single" w:sz="4" w:space="0" w:color="auto"/>
              <w:left w:val="dotted" w:sz="4" w:space="0" w:color="auto"/>
              <w:bottom w:val="single" w:sz="4" w:space="0" w:color="auto"/>
              <w:right w:val="dotted" w:sz="4" w:space="0" w:color="auto"/>
            </w:tcBorders>
            <w:hideMark/>
          </w:tcPr>
          <w:p w14:paraId="7D2DCC13" w14:textId="77777777" w:rsidR="001B054B" w:rsidRPr="00065A5D" w:rsidRDefault="001B054B" w:rsidP="00AF5984">
            <w:pPr>
              <w:pStyle w:val="SingleTxt"/>
              <w:spacing w:before="80" w:after="80" w:line="200" w:lineRule="exact"/>
              <w:ind w:left="0" w:right="0"/>
              <w:jc w:val="left"/>
              <w:rPr>
                <w:iCs/>
                <w:spacing w:val="0"/>
                <w:w w:val="100"/>
                <w:sz w:val="16"/>
                <w:szCs w:val="16"/>
                <w:lang w:val="fr-CH"/>
              </w:rPr>
            </w:pPr>
            <w:r w:rsidRPr="00065A5D">
              <w:rPr>
                <w:iCs/>
                <w:spacing w:val="0"/>
                <w:w w:val="100"/>
                <w:sz w:val="16"/>
                <w:szCs w:val="16"/>
                <w:lang w:val="fr-CH"/>
              </w:rPr>
              <w:t>ECE/TRANS/294, par. 138</w:t>
            </w:r>
          </w:p>
        </w:tc>
        <w:tc>
          <w:tcPr>
            <w:tcW w:w="981" w:type="dxa"/>
            <w:tcBorders>
              <w:top w:val="single" w:sz="4" w:space="0" w:color="auto"/>
              <w:left w:val="dotted" w:sz="4" w:space="0" w:color="auto"/>
              <w:bottom w:val="single" w:sz="4" w:space="0" w:color="auto"/>
              <w:right w:val="dotted" w:sz="4" w:space="0" w:color="auto"/>
            </w:tcBorders>
            <w:hideMark/>
          </w:tcPr>
          <w:p w14:paraId="60FAEFC8" w14:textId="77777777" w:rsidR="001B054B" w:rsidRPr="00065A5D" w:rsidRDefault="001B054B" w:rsidP="00AF5984">
            <w:pPr>
              <w:pStyle w:val="SingleTxt"/>
              <w:spacing w:before="80" w:after="80" w:line="200" w:lineRule="exact"/>
              <w:ind w:left="0" w:right="0"/>
              <w:jc w:val="left"/>
              <w:rPr>
                <w:iCs/>
                <w:spacing w:val="0"/>
                <w:w w:val="100"/>
                <w:sz w:val="16"/>
                <w:szCs w:val="16"/>
                <w:lang w:val="fr-CH"/>
              </w:rPr>
            </w:pPr>
            <w:r w:rsidRPr="00065A5D">
              <w:rPr>
                <w:iCs/>
                <w:spacing w:val="0"/>
                <w:w w:val="100"/>
                <w:sz w:val="16"/>
                <w:szCs w:val="16"/>
                <w:lang w:val="fr-CH"/>
              </w:rPr>
              <w:t>Versions papier et électronique</w:t>
            </w:r>
          </w:p>
        </w:tc>
        <w:tc>
          <w:tcPr>
            <w:tcW w:w="714" w:type="dxa"/>
            <w:tcBorders>
              <w:top w:val="single" w:sz="4" w:space="0" w:color="auto"/>
              <w:left w:val="dotted" w:sz="4" w:space="0" w:color="auto"/>
              <w:bottom w:val="single" w:sz="4" w:space="0" w:color="auto"/>
              <w:right w:val="dotted" w:sz="4" w:space="0" w:color="auto"/>
            </w:tcBorders>
            <w:hideMark/>
          </w:tcPr>
          <w:p w14:paraId="15CDC7AA" w14:textId="77777777" w:rsidR="001B054B" w:rsidRPr="00065A5D" w:rsidRDefault="001B054B" w:rsidP="00AF5984">
            <w:pPr>
              <w:pStyle w:val="SingleTxt"/>
              <w:spacing w:before="80" w:after="80" w:line="200" w:lineRule="exact"/>
              <w:ind w:left="0" w:right="0"/>
              <w:jc w:val="left"/>
              <w:rPr>
                <w:iCs/>
                <w:spacing w:val="0"/>
                <w:w w:val="100"/>
                <w:sz w:val="16"/>
                <w:szCs w:val="16"/>
                <w:lang w:val="fr-CH"/>
              </w:rPr>
            </w:pPr>
            <w:r w:rsidRPr="00065A5D">
              <w:rPr>
                <w:iCs/>
                <w:spacing w:val="0"/>
                <w:w w:val="100"/>
                <w:sz w:val="16"/>
                <w:szCs w:val="16"/>
                <w:lang w:val="fr-CH"/>
              </w:rPr>
              <w:t>A4</w:t>
            </w:r>
          </w:p>
        </w:tc>
        <w:tc>
          <w:tcPr>
            <w:tcW w:w="1007" w:type="dxa"/>
            <w:tcBorders>
              <w:top w:val="single" w:sz="4" w:space="0" w:color="auto"/>
              <w:left w:val="dotted" w:sz="4" w:space="0" w:color="auto"/>
              <w:bottom w:val="single" w:sz="4" w:space="0" w:color="auto"/>
              <w:right w:val="dotted" w:sz="4" w:space="0" w:color="auto"/>
            </w:tcBorders>
            <w:hideMark/>
          </w:tcPr>
          <w:p w14:paraId="12718FD7" w14:textId="77777777" w:rsidR="001B054B" w:rsidRPr="00065A5D" w:rsidRDefault="001B054B" w:rsidP="00AF5984">
            <w:pPr>
              <w:pStyle w:val="SingleTxt"/>
              <w:spacing w:before="80" w:after="80" w:line="200" w:lineRule="exact"/>
              <w:ind w:left="0" w:right="0"/>
              <w:jc w:val="left"/>
              <w:rPr>
                <w:iCs/>
                <w:spacing w:val="0"/>
                <w:w w:val="100"/>
                <w:sz w:val="16"/>
                <w:szCs w:val="16"/>
                <w:lang w:val="fr-CH"/>
              </w:rPr>
            </w:pPr>
            <w:r w:rsidRPr="00065A5D">
              <w:rPr>
                <w:spacing w:val="0"/>
                <w:w w:val="100"/>
                <w:sz w:val="16"/>
                <w:szCs w:val="16"/>
                <w:lang w:val="fr-CH"/>
              </w:rPr>
              <w:t>100</w:t>
            </w:r>
          </w:p>
        </w:tc>
        <w:tc>
          <w:tcPr>
            <w:tcW w:w="983" w:type="dxa"/>
            <w:tcBorders>
              <w:top w:val="single" w:sz="4" w:space="0" w:color="auto"/>
              <w:left w:val="dotted" w:sz="4" w:space="0" w:color="auto"/>
              <w:bottom w:val="single" w:sz="4" w:space="0" w:color="auto"/>
              <w:right w:val="dotted" w:sz="4" w:space="0" w:color="auto"/>
            </w:tcBorders>
            <w:hideMark/>
          </w:tcPr>
          <w:p w14:paraId="29A7DEBC" w14:textId="77777777" w:rsidR="001B054B" w:rsidRPr="00065A5D" w:rsidRDefault="001B054B" w:rsidP="00AF5984">
            <w:pPr>
              <w:pStyle w:val="SingleTxt"/>
              <w:spacing w:before="80" w:after="80" w:line="200" w:lineRule="exact"/>
              <w:ind w:left="0" w:right="0"/>
              <w:jc w:val="left"/>
              <w:rPr>
                <w:iCs/>
                <w:spacing w:val="0"/>
                <w:w w:val="100"/>
                <w:sz w:val="16"/>
                <w:szCs w:val="16"/>
                <w:lang w:val="fr-CH"/>
              </w:rPr>
            </w:pPr>
            <w:r w:rsidRPr="00065A5D">
              <w:rPr>
                <w:iCs/>
                <w:spacing w:val="0"/>
                <w:w w:val="100"/>
                <w:sz w:val="16"/>
                <w:szCs w:val="16"/>
                <w:lang w:val="fr-CH"/>
              </w:rPr>
              <w:t>Anglais</w:t>
            </w:r>
          </w:p>
        </w:tc>
        <w:tc>
          <w:tcPr>
            <w:tcW w:w="1559" w:type="dxa"/>
            <w:tcBorders>
              <w:top w:val="single" w:sz="4" w:space="0" w:color="auto"/>
              <w:left w:val="dotted" w:sz="4" w:space="0" w:color="auto"/>
              <w:bottom w:val="single" w:sz="4" w:space="0" w:color="auto"/>
              <w:right w:val="dotted" w:sz="4" w:space="0" w:color="auto"/>
            </w:tcBorders>
            <w:hideMark/>
          </w:tcPr>
          <w:p w14:paraId="28188B8B" w14:textId="77777777" w:rsidR="001B054B" w:rsidRPr="00065A5D" w:rsidRDefault="001B054B" w:rsidP="00AF5984">
            <w:pPr>
              <w:pStyle w:val="SingleTxt"/>
              <w:spacing w:before="80" w:after="80" w:line="200" w:lineRule="exact"/>
              <w:ind w:left="0" w:right="0"/>
              <w:jc w:val="left"/>
              <w:rPr>
                <w:iCs/>
                <w:spacing w:val="0"/>
                <w:w w:val="100"/>
                <w:sz w:val="16"/>
                <w:szCs w:val="16"/>
                <w:lang w:val="fr-CH"/>
              </w:rPr>
            </w:pPr>
            <w:r w:rsidRPr="00065A5D">
              <w:rPr>
                <w:iCs/>
                <w:spacing w:val="0"/>
                <w:w w:val="100"/>
                <w:sz w:val="16"/>
                <w:szCs w:val="16"/>
                <w:lang w:val="fr-CH"/>
              </w:rPr>
              <w:t>Pas de traduction</w:t>
            </w:r>
          </w:p>
        </w:tc>
        <w:tc>
          <w:tcPr>
            <w:tcW w:w="1139" w:type="dxa"/>
            <w:tcBorders>
              <w:top w:val="single" w:sz="4" w:space="0" w:color="auto"/>
              <w:left w:val="dotted" w:sz="4" w:space="0" w:color="auto"/>
              <w:bottom w:val="single" w:sz="4" w:space="0" w:color="auto"/>
              <w:right w:val="dotted" w:sz="4" w:space="0" w:color="auto"/>
            </w:tcBorders>
            <w:hideMark/>
          </w:tcPr>
          <w:p w14:paraId="50AE24A5" w14:textId="77777777" w:rsidR="001B054B" w:rsidRPr="00065A5D" w:rsidRDefault="001B054B" w:rsidP="00AF5984">
            <w:pPr>
              <w:pStyle w:val="SingleTxt"/>
              <w:spacing w:before="80" w:after="80" w:line="200" w:lineRule="exact"/>
              <w:ind w:left="0" w:right="0"/>
              <w:jc w:val="left"/>
              <w:rPr>
                <w:iCs/>
                <w:spacing w:val="0"/>
                <w:w w:val="100"/>
                <w:sz w:val="16"/>
                <w:szCs w:val="16"/>
                <w:lang w:val="fr-CH"/>
              </w:rPr>
            </w:pPr>
            <w:r w:rsidRPr="00065A5D">
              <w:rPr>
                <w:iCs/>
                <w:spacing w:val="0"/>
                <w:w w:val="100"/>
                <w:sz w:val="16"/>
                <w:szCs w:val="16"/>
                <w:lang w:val="fr-CH"/>
              </w:rPr>
              <w:t>100 (anglais)</w:t>
            </w:r>
          </w:p>
        </w:tc>
      </w:tr>
      <w:tr w:rsidR="001B054B" w:rsidRPr="00065A5D" w14:paraId="79620FC9" w14:textId="77777777" w:rsidTr="001B054B">
        <w:tc>
          <w:tcPr>
            <w:tcW w:w="421" w:type="dxa"/>
            <w:tcBorders>
              <w:top w:val="single" w:sz="4" w:space="0" w:color="auto"/>
              <w:left w:val="dotted" w:sz="4" w:space="0" w:color="auto"/>
              <w:bottom w:val="single" w:sz="12" w:space="0" w:color="auto"/>
              <w:right w:val="dotted" w:sz="4" w:space="0" w:color="auto"/>
            </w:tcBorders>
            <w:hideMark/>
          </w:tcPr>
          <w:p w14:paraId="4F50A814" w14:textId="77777777" w:rsidR="001B054B" w:rsidRPr="00065A5D" w:rsidRDefault="001B054B" w:rsidP="00AF5984">
            <w:pPr>
              <w:pStyle w:val="SingleTxt"/>
              <w:keepNext/>
              <w:keepLines/>
              <w:spacing w:before="80" w:after="80" w:line="200" w:lineRule="exact"/>
              <w:ind w:left="0" w:right="113"/>
              <w:jc w:val="left"/>
              <w:rPr>
                <w:iCs/>
                <w:spacing w:val="0"/>
                <w:w w:val="100"/>
                <w:sz w:val="16"/>
                <w:szCs w:val="16"/>
                <w:lang w:val="fr-CH"/>
              </w:rPr>
            </w:pPr>
            <w:r w:rsidRPr="00065A5D">
              <w:rPr>
                <w:spacing w:val="0"/>
                <w:w w:val="100"/>
                <w:sz w:val="16"/>
                <w:szCs w:val="16"/>
                <w:lang w:val="fr-CH"/>
              </w:rPr>
              <w:t>4</w:t>
            </w:r>
          </w:p>
        </w:tc>
        <w:tc>
          <w:tcPr>
            <w:tcW w:w="1417" w:type="dxa"/>
            <w:tcBorders>
              <w:top w:val="single" w:sz="4" w:space="0" w:color="auto"/>
              <w:left w:val="dotted" w:sz="4" w:space="0" w:color="auto"/>
              <w:bottom w:val="single" w:sz="12" w:space="0" w:color="auto"/>
              <w:right w:val="dotted" w:sz="4" w:space="0" w:color="auto"/>
            </w:tcBorders>
            <w:hideMark/>
          </w:tcPr>
          <w:p w14:paraId="644CF6C2" w14:textId="77777777" w:rsidR="001B054B" w:rsidRPr="00065A5D" w:rsidRDefault="001B054B" w:rsidP="00AF5984">
            <w:pPr>
              <w:pStyle w:val="SingleTxt"/>
              <w:spacing w:before="80" w:after="80" w:line="200" w:lineRule="exact"/>
              <w:ind w:left="0" w:right="0"/>
              <w:jc w:val="left"/>
              <w:rPr>
                <w:iCs/>
                <w:spacing w:val="0"/>
                <w:w w:val="100"/>
                <w:sz w:val="16"/>
                <w:szCs w:val="16"/>
                <w:lang w:val="fr-CH"/>
              </w:rPr>
            </w:pPr>
            <w:r w:rsidRPr="00065A5D">
              <w:rPr>
                <w:iCs/>
                <w:spacing w:val="0"/>
                <w:w w:val="100"/>
                <w:sz w:val="16"/>
                <w:szCs w:val="16"/>
                <w:lang w:val="fr-CH"/>
              </w:rPr>
              <w:t>Data management in transport infrastructure</w:t>
            </w:r>
          </w:p>
        </w:tc>
        <w:tc>
          <w:tcPr>
            <w:tcW w:w="1418" w:type="dxa"/>
            <w:tcBorders>
              <w:top w:val="single" w:sz="4" w:space="0" w:color="auto"/>
              <w:left w:val="dotted" w:sz="4" w:space="0" w:color="auto"/>
              <w:bottom w:val="single" w:sz="12" w:space="0" w:color="auto"/>
              <w:right w:val="dotted" w:sz="4" w:space="0" w:color="auto"/>
            </w:tcBorders>
            <w:hideMark/>
          </w:tcPr>
          <w:p w14:paraId="77A3551A" w14:textId="77777777" w:rsidR="001B054B" w:rsidRPr="00065A5D" w:rsidRDefault="001B054B" w:rsidP="00AF5984">
            <w:pPr>
              <w:pStyle w:val="SingleTxt"/>
              <w:spacing w:before="80" w:after="80" w:line="200" w:lineRule="exact"/>
              <w:ind w:left="0" w:right="0"/>
              <w:jc w:val="left"/>
              <w:rPr>
                <w:iCs/>
                <w:spacing w:val="0"/>
                <w:w w:val="100"/>
                <w:sz w:val="16"/>
                <w:szCs w:val="16"/>
                <w:lang w:val="fr-CH"/>
              </w:rPr>
            </w:pPr>
            <w:r w:rsidRPr="00065A5D">
              <w:rPr>
                <w:iCs/>
                <w:spacing w:val="0"/>
                <w:w w:val="100"/>
                <w:sz w:val="16"/>
                <w:szCs w:val="16"/>
                <w:lang w:val="fr-CH"/>
              </w:rPr>
              <w:t>ECE/TRANS/294, par. 138</w:t>
            </w:r>
          </w:p>
        </w:tc>
        <w:tc>
          <w:tcPr>
            <w:tcW w:w="981" w:type="dxa"/>
            <w:tcBorders>
              <w:top w:val="single" w:sz="4" w:space="0" w:color="auto"/>
              <w:left w:val="dotted" w:sz="4" w:space="0" w:color="auto"/>
              <w:bottom w:val="single" w:sz="12" w:space="0" w:color="auto"/>
              <w:right w:val="dotted" w:sz="4" w:space="0" w:color="auto"/>
            </w:tcBorders>
            <w:hideMark/>
          </w:tcPr>
          <w:p w14:paraId="5004C479" w14:textId="77777777" w:rsidR="001B054B" w:rsidRPr="00065A5D" w:rsidRDefault="001B054B" w:rsidP="00AF5984">
            <w:pPr>
              <w:pStyle w:val="SingleTxt"/>
              <w:spacing w:before="80" w:after="80" w:line="200" w:lineRule="exact"/>
              <w:ind w:left="0" w:right="0"/>
              <w:jc w:val="left"/>
              <w:rPr>
                <w:iCs/>
                <w:spacing w:val="0"/>
                <w:w w:val="100"/>
                <w:sz w:val="16"/>
                <w:szCs w:val="16"/>
                <w:lang w:val="fr-CH"/>
              </w:rPr>
            </w:pPr>
            <w:r w:rsidRPr="00065A5D">
              <w:rPr>
                <w:iCs/>
                <w:spacing w:val="0"/>
                <w:w w:val="100"/>
                <w:sz w:val="16"/>
                <w:szCs w:val="16"/>
                <w:lang w:val="fr-CH"/>
              </w:rPr>
              <w:t>Versions papier et électronique</w:t>
            </w:r>
          </w:p>
        </w:tc>
        <w:tc>
          <w:tcPr>
            <w:tcW w:w="714" w:type="dxa"/>
            <w:tcBorders>
              <w:top w:val="single" w:sz="4" w:space="0" w:color="auto"/>
              <w:left w:val="dotted" w:sz="4" w:space="0" w:color="auto"/>
              <w:bottom w:val="single" w:sz="12" w:space="0" w:color="auto"/>
              <w:right w:val="dotted" w:sz="4" w:space="0" w:color="auto"/>
            </w:tcBorders>
          </w:tcPr>
          <w:p w14:paraId="61F243E0" w14:textId="77777777" w:rsidR="001B054B" w:rsidRPr="00065A5D" w:rsidRDefault="001B054B" w:rsidP="00AF5984">
            <w:pPr>
              <w:pStyle w:val="SingleTxt"/>
              <w:spacing w:before="80" w:after="80" w:line="200" w:lineRule="exact"/>
              <w:ind w:left="0" w:right="0"/>
              <w:jc w:val="left"/>
              <w:rPr>
                <w:iCs/>
                <w:spacing w:val="0"/>
                <w:w w:val="100"/>
                <w:sz w:val="16"/>
                <w:szCs w:val="16"/>
                <w:lang w:val="fr-CH"/>
              </w:rPr>
            </w:pPr>
            <w:r w:rsidRPr="00065A5D">
              <w:rPr>
                <w:iCs/>
                <w:spacing w:val="0"/>
                <w:w w:val="100"/>
                <w:sz w:val="16"/>
                <w:szCs w:val="16"/>
                <w:lang w:val="fr-CH"/>
              </w:rPr>
              <w:t>A4</w:t>
            </w:r>
          </w:p>
        </w:tc>
        <w:tc>
          <w:tcPr>
            <w:tcW w:w="1007" w:type="dxa"/>
            <w:tcBorders>
              <w:top w:val="single" w:sz="4" w:space="0" w:color="auto"/>
              <w:left w:val="dotted" w:sz="4" w:space="0" w:color="auto"/>
              <w:bottom w:val="single" w:sz="12" w:space="0" w:color="auto"/>
              <w:right w:val="dotted" w:sz="4" w:space="0" w:color="auto"/>
            </w:tcBorders>
            <w:hideMark/>
          </w:tcPr>
          <w:p w14:paraId="2622D420" w14:textId="77777777" w:rsidR="001B054B" w:rsidRPr="00065A5D" w:rsidRDefault="001B054B" w:rsidP="00AF5984">
            <w:pPr>
              <w:pStyle w:val="SingleTxt"/>
              <w:spacing w:before="80" w:after="80" w:line="200" w:lineRule="exact"/>
              <w:ind w:left="0" w:right="0"/>
              <w:jc w:val="left"/>
              <w:rPr>
                <w:iCs/>
                <w:spacing w:val="0"/>
                <w:w w:val="100"/>
                <w:sz w:val="16"/>
                <w:szCs w:val="16"/>
                <w:lang w:val="fr-CH"/>
              </w:rPr>
            </w:pPr>
            <w:r w:rsidRPr="00065A5D">
              <w:rPr>
                <w:spacing w:val="0"/>
                <w:w w:val="100"/>
                <w:sz w:val="16"/>
                <w:szCs w:val="16"/>
                <w:lang w:val="fr-CH"/>
              </w:rPr>
              <w:t>100</w:t>
            </w:r>
          </w:p>
        </w:tc>
        <w:tc>
          <w:tcPr>
            <w:tcW w:w="983" w:type="dxa"/>
            <w:tcBorders>
              <w:top w:val="single" w:sz="4" w:space="0" w:color="auto"/>
              <w:left w:val="dotted" w:sz="4" w:space="0" w:color="auto"/>
              <w:bottom w:val="single" w:sz="12" w:space="0" w:color="auto"/>
              <w:right w:val="dotted" w:sz="4" w:space="0" w:color="auto"/>
            </w:tcBorders>
            <w:hideMark/>
          </w:tcPr>
          <w:p w14:paraId="21308ABF" w14:textId="77777777" w:rsidR="001B054B" w:rsidRPr="00065A5D" w:rsidRDefault="001B054B" w:rsidP="00AF5984">
            <w:pPr>
              <w:pStyle w:val="SingleTxt"/>
              <w:spacing w:before="80" w:after="80" w:line="200" w:lineRule="exact"/>
              <w:ind w:left="0" w:right="0"/>
              <w:jc w:val="left"/>
              <w:rPr>
                <w:iCs/>
                <w:spacing w:val="0"/>
                <w:w w:val="100"/>
                <w:sz w:val="16"/>
                <w:szCs w:val="16"/>
                <w:lang w:val="fr-CH"/>
              </w:rPr>
            </w:pPr>
            <w:r w:rsidRPr="00065A5D">
              <w:rPr>
                <w:iCs/>
                <w:spacing w:val="0"/>
                <w:w w:val="100"/>
                <w:sz w:val="16"/>
                <w:szCs w:val="16"/>
                <w:lang w:val="fr-CH"/>
              </w:rPr>
              <w:t>Anglais</w:t>
            </w:r>
          </w:p>
        </w:tc>
        <w:tc>
          <w:tcPr>
            <w:tcW w:w="1559" w:type="dxa"/>
            <w:tcBorders>
              <w:top w:val="single" w:sz="4" w:space="0" w:color="auto"/>
              <w:left w:val="dotted" w:sz="4" w:space="0" w:color="auto"/>
              <w:bottom w:val="single" w:sz="12" w:space="0" w:color="auto"/>
              <w:right w:val="dotted" w:sz="4" w:space="0" w:color="auto"/>
            </w:tcBorders>
            <w:hideMark/>
          </w:tcPr>
          <w:p w14:paraId="5E4780ED" w14:textId="77777777" w:rsidR="001B054B" w:rsidRPr="00065A5D" w:rsidRDefault="001B054B" w:rsidP="00AF5984">
            <w:pPr>
              <w:pStyle w:val="SingleTxt"/>
              <w:spacing w:before="80" w:after="80" w:line="200" w:lineRule="exact"/>
              <w:ind w:left="0" w:right="0"/>
              <w:jc w:val="left"/>
              <w:rPr>
                <w:iCs/>
                <w:spacing w:val="0"/>
                <w:w w:val="100"/>
                <w:sz w:val="16"/>
                <w:szCs w:val="16"/>
                <w:lang w:val="fr-CH"/>
              </w:rPr>
            </w:pPr>
            <w:r w:rsidRPr="00065A5D">
              <w:rPr>
                <w:iCs/>
                <w:spacing w:val="0"/>
                <w:w w:val="100"/>
                <w:sz w:val="16"/>
                <w:szCs w:val="16"/>
                <w:lang w:val="fr-CH"/>
              </w:rPr>
              <w:t>Pas de traduction</w:t>
            </w:r>
          </w:p>
        </w:tc>
        <w:tc>
          <w:tcPr>
            <w:tcW w:w="1139" w:type="dxa"/>
            <w:tcBorders>
              <w:top w:val="single" w:sz="4" w:space="0" w:color="auto"/>
              <w:left w:val="dotted" w:sz="4" w:space="0" w:color="auto"/>
              <w:bottom w:val="single" w:sz="12" w:space="0" w:color="auto"/>
              <w:right w:val="dotted" w:sz="4" w:space="0" w:color="auto"/>
            </w:tcBorders>
          </w:tcPr>
          <w:p w14:paraId="7829DF22" w14:textId="77777777" w:rsidR="001B054B" w:rsidRPr="00065A5D" w:rsidRDefault="001B054B" w:rsidP="00AF5984">
            <w:pPr>
              <w:pStyle w:val="SingleTxt"/>
              <w:spacing w:before="80" w:after="80" w:line="200" w:lineRule="exact"/>
              <w:ind w:left="0" w:right="0"/>
              <w:jc w:val="left"/>
              <w:rPr>
                <w:iCs/>
                <w:spacing w:val="0"/>
                <w:w w:val="100"/>
                <w:sz w:val="16"/>
                <w:szCs w:val="16"/>
                <w:lang w:val="fr-CH"/>
              </w:rPr>
            </w:pPr>
            <w:r w:rsidRPr="00065A5D">
              <w:rPr>
                <w:iCs/>
                <w:spacing w:val="0"/>
                <w:w w:val="100"/>
                <w:sz w:val="16"/>
                <w:szCs w:val="16"/>
                <w:lang w:val="fr-CH"/>
              </w:rPr>
              <w:t>100 (anglais)</w:t>
            </w:r>
          </w:p>
        </w:tc>
      </w:tr>
    </w:tbl>
    <w:p w14:paraId="42049CB6" w14:textId="77777777" w:rsidR="004D6315" w:rsidRDefault="004D6315" w:rsidP="00D866B8">
      <w:pPr>
        <w:pStyle w:val="H1G"/>
      </w:pPr>
      <w:r w:rsidRPr="002274DC">
        <w:tab/>
        <w:t>C.</w:t>
      </w:r>
      <w:r w:rsidRPr="002274DC">
        <w:tab/>
        <w:t>Documents promotionnels</w:t>
      </w:r>
    </w:p>
    <w:tbl>
      <w:tblPr>
        <w:tblW w:w="9639" w:type="dxa"/>
        <w:tblBorders>
          <w:top w:val="single" w:sz="12" w:space="0" w:color="auto"/>
          <w:left w:val="dotted" w:sz="4" w:space="0" w:color="auto"/>
          <w:bottom w:val="single" w:sz="12" w:space="0" w:color="auto"/>
          <w:right w:val="dotted" w:sz="4" w:space="0" w:color="auto"/>
          <w:insideH w:val="single"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421"/>
        <w:gridCol w:w="1408"/>
        <w:gridCol w:w="1427"/>
        <w:gridCol w:w="981"/>
        <w:gridCol w:w="720"/>
        <w:gridCol w:w="992"/>
        <w:gridCol w:w="992"/>
        <w:gridCol w:w="1565"/>
        <w:gridCol w:w="1133"/>
      </w:tblGrid>
      <w:tr w:rsidR="00366913" w:rsidRPr="00065A5D" w14:paraId="6C17D88C" w14:textId="77777777" w:rsidTr="00366913">
        <w:tc>
          <w:tcPr>
            <w:tcW w:w="421" w:type="dxa"/>
            <w:tcBorders>
              <w:top w:val="single" w:sz="12" w:space="0" w:color="auto"/>
              <w:left w:val="dotted" w:sz="4" w:space="0" w:color="auto"/>
              <w:bottom w:val="single" w:sz="4" w:space="0" w:color="auto"/>
              <w:right w:val="dotted" w:sz="4" w:space="0" w:color="auto"/>
            </w:tcBorders>
            <w:hideMark/>
          </w:tcPr>
          <w:p w14:paraId="45FCD459" w14:textId="77777777" w:rsidR="00366913" w:rsidRPr="00065A5D" w:rsidRDefault="00366913" w:rsidP="00366913">
            <w:pPr>
              <w:pStyle w:val="SingleTxt"/>
              <w:keepNext/>
              <w:keepLines/>
              <w:spacing w:before="80" w:after="80" w:line="200" w:lineRule="exact"/>
              <w:ind w:left="0" w:right="0"/>
              <w:jc w:val="left"/>
              <w:rPr>
                <w:i/>
                <w:iCs/>
                <w:spacing w:val="0"/>
                <w:w w:val="100"/>
                <w:sz w:val="16"/>
                <w:szCs w:val="16"/>
                <w:lang w:val="fr-CH"/>
              </w:rPr>
            </w:pPr>
            <w:r w:rsidRPr="00065A5D">
              <w:rPr>
                <w:i/>
                <w:iCs/>
                <w:spacing w:val="0"/>
                <w:w w:val="100"/>
                <w:sz w:val="16"/>
                <w:szCs w:val="16"/>
                <w:lang w:val="fr-CH"/>
              </w:rPr>
              <w:t>No</w:t>
            </w:r>
          </w:p>
        </w:tc>
        <w:tc>
          <w:tcPr>
            <w:tcW w:w="1408" w:type="dxa"/>
            <w:tcBorders>
              <w:top w:val="single" w:sz="12" w:space="0" w:color="auto"/>
              <w:left w:val="dotted" w:sz="4" w:space="0" w:color="auto"/>
              <w:bottom w:val="single" w:sz="4" w:space="0" w:color="auto"/>
              <w:right w:val="dotted" w:sz="4" w:space="0" w:color="auto"/>
            </w:tcBorders>
            <w:hideMark/>
          </w:tcPr>
          <w:p w14:paraId="0F6B3932" w14:textId="77777777" w:rsidR="00366913" w:rsidRPr="00065A5D" w:rsidRDefault="00366913" w:rsidP="00AF5984">
            <w:pPr>
              <w:pStyle w:val="SingleTxt"/>
              <w:spacing w:before="80" w:after="80" w:line="200" w:lineRule="exact"/>
              <w:ind w:left="0" w:right="0"/>
              <w:jc w:val="left"/>
              <w:rPr>
                <w:i/>
                <w:iCs/>
                <w:spacing w:val="0"/>
                <w:w w:val="100"/>
                <w:sz w:val="16"/>
                <w:szCs w:val="16"/>
                <w:lang w:val="fr-CH"/>
              </w:rPr>
            </w:pPr>
            <w:r w:rsidRPr="00065A5D">
              <w:rPr>
                <w:i/>
                <w:iCs/>
                <w:spacing w:val="0"/>
                <w:w w:val="100"/>
                <w:sz w:val="16"/>
                <w:szCs w:val="16"/>
                <w:lang w:val="fr-CH"/>
              </w:rPr>
              <w:t>Titre</w:t>
            </w:r>
          </w:p>
        </w:tc>
        <w:tc>
          <w:tcPr>
            <w:tcW w:w="1427" w:type="dxa"/>
            <w:tcBorders>
              <w:top w:val="single" w:sz="12" w:space="0" w:color="auto"/>
              <w:left w:val="dotted" w:sz="4" w:space="0" w:color="auto"/>
              <w:bottom w:val="single" w:sz="4" w:space="0" w:color="auto"/>
              <w:right w:val="dotted" w:sz="4" w:space="0" w:color="auto"/>
            </w:tcBorders>
            <w:hideMark/>
          </w:tcPr>
          <w:p w14:paraId="1F7DE4FE" w14:textId="77777777" w:rsidR="00366913" w:rsidRPr="00065A5D" w:rsidRDefault="00366913" w:rsidP="00AF5984">
            <w:pPr>
              <w:pStyle w:val="SingleTxt"/>
              <w:spacing w:before="80" w:after="80" w:line="200" w:lineRule="exact"/>
              <w:ind w:left="0" w:right="0"/>
              <w:jc w:val="left"/>
              <w:rPr>
                <w:i/>
                <w:iCs/>
                <w:spacing w:val="0"/>
                <w:w w:val="100"/>
                <w:sz w:val="16"/>
                <w:szCs w:val="16"/>
                <w:lang w:val="fr-CH"/>
              </w:rPr>
            </w:pPr>
            <w:r w:rsidRPr="00065A5D">
              <w:rPr>
                <w:i/>
                <w:iCs/>
                <w:spacing w:val="0"/>
                <w:w w:val="100"/>
                <w:sz w:val="16"/>
                <w:szCs w:val="16"/>
                <w:lang w:val="fr-CH"/>
              </w:rPr>
              <w:t>Mandat</w:t>
            </w:r>
          </w:p>
        </w:tc>
        <w:tc>
          <w:tcPr>
            <w:tcW w:w="981" w:type="dxa"/>
            <w:tcBorders>
              <w:top w:val="single" w:sz="12" w:space="0" w:color="auto"/>
              <w:left w:val="dotted" w:sz="4" w:space="0" w:color="auto"/>
              <w:bottom w:val="single" w:sz="4" w:space="0" w:color="auto"/>
              <w:right w:val="dotted" w:sz="4" w:space="0" w:color="auto"/>
            </w:tcBorders>
            <w:hideMark/>
          </w:tcPr>
          <w:p w14:paraId="3BC6B619" w14:textId="77777777" w:rsidR="00366913" w:rsidRPr="00065A5D" w:rsidRDefault="00366913" w:rsidP="00AF5984">
            <w:pPr>
              <w:pStyle w:val="SingleTxt"/>
              <w:spacing w:before="80" w:after="80" w:line="200" w:lineRule="exact"/>
              <w:ind w:left="0" w:right="0"/>
              <w:jc w:val="left"/>
              <w:rPr>
                <w:i/>
                <w:iCs/>
                <w:spacing w:val="0"/>
                <w:w w:val="100"/>
                <w:sz w:val="16"/>
                <w:szCs w:val="16"/>
                <w:lang w:val="fr-CH"/>
              </w:rPr>
            </w:pPr>
            <w:r w:rsidRPr="00065A5D">
              <w:rPr>
                <w:i/>
                <w:iCs/>
                <w:spacing w:val="0"/>
                <w:w w:val="100"/>
                <w:sz w:val="16"/>
                <w:szCs w:val="16"/>
                <w:lang w:val="fr-CH"/>
              </w:rPr>
              <w:t>Version papier ou électronique</w:t>
            </w:r>
          </w:p>
        </w:tc>
        <w:tc>
          <w:tcPr>
            <w:tcW w:w="720" w:type="dxa"/>
            <w:tcBorders>
              <w:top w:val="single" w:sz="12" w:space="0" w:color="auto"/>
              <w:left w:val="dotted" w:sz="4" w:space="0" w:color="auto"/>
              <w:bottom w:val="single" w:sz="4" w:space="0" w:color="auto"/>
              <w:right w:val="dotted" w:sz="4" w:space="0" w:color="auto"/>
            </w:tcBorders>
            <w:hideMark/>
          </w:tcPr>
          <w:p w14:paraId="51449E0B" w14:textId="77777777" w:rsidR="00366913" w:rsidRPr="00065A5D" w:rsidRDefault="00366913" w:rsidP="00AF5984">
            <w:pPr>
              <w:pStyle w:val="SingleTxt"/>
              <w:spacing w:before="80" w:after="80" w:line="200" w:lineRule="exact"/>
              <w:ind w:left="0" w:right="0"/>
              <w:jc w:val="left"/>
              <w:rPr>
                <w:i/>
                <w:iCs/>
                <w:spacing w:val="0"/>
                <w:w w:val="100"/>
                <w:sz w:val="16"/>
                <w:szCs w:val="16"/>
                <w:lang w:val="fr-CH"/>
              </w:rPr>
            </w:pPr>
            <w:r w:rsidRPr="00065A5D">
              <w:rPr>
                <w:i/>
                <w:iCs/>
                <w:spacing w:val="0"/>
                <w:w w:val="100"/>
                <w:sz w:val="16"/>
                <w:szCs w:val="16"/>
                <w:lang w:val="fr-CH"/>
              </w:rPr>
              <w:t>Format</w:t>
            </w:r>
          </w:p>
        </w:tc>
        <w:tc>
          <w:tcPr>
            <w:tcW w:w="992" w:type="dxa"/>
            <w:tcBorders>
              <w:top w:val="single" w:sz="12" w:space="0" w:color="auto"/>
              <w:left w:val="dotted" w:sz="4" w:space="0" w:color="auto"/>
              <w:bottom w:val="single" w:sz="4" w:space="0" w:color="auto"/>
              <w:right w:val="dotted" w:sz="4" w:space="0" w:color="auto"/>
            </w:tcBorders>
            <w:hideMark/>
          </w:tcPr>
          <w:p w14:paraId="506FF857" w14:textId="77777777" w:rsidR="00366913" w:rsidRPr="00065A5D" w:rsidRDefault="00366913" w:rsidP="00AF5984">
            <w:pPr>
              <w:pStyle w:val="SingleTxt"/>
              <w:spacing w:before="80" w:after="80" w:line="200" w:lineRule="exact"/>
              <w:ind w:left="0" w:right="0"/>
              <w:jc w:val="left"/>
              <w:rPr>
                <w:i/>
                <w:iCs/>
                <w:spacing w:val="0"/>
                <w:w w:val="100"/>
                <w:sz w:val="16"/>
                <w:szCs w:val="16"/>
                <w:lang w:val="fr-CH"/>
              </w:rPr>
            </w:pPr>
            <w:r w:rsidRPr="00065A5D">
              <w:rPr>
                <w:i/>
                <w:iCs/>
                <w:spacing w:val="0"/>
                <w:w w:val="100"/>
                <w:sz w:val="16"/>
                <w:szCs w:val="16"/>
                <w:lang w:val="fr-CH"/>
              </w:rPr>
              <w:t>Nombre de</w:t>
            </w:r>
            <w:r w:rsidR="00A301FE">
              <w:rPr>
                <w:i/>
                <w:iCs/>
                <w:spacing w:val="0"/>
                <w:w w:val="100"/>
                <w:sz w:val="16"/>
                <w:szCs w:val="16"/>
                <w:lang w:val="fr-CH"/>
              </w:rPr>
              <w:t> </w:t>
            </w:r>
            <w:r w:rsidRPr="00065A5D">
              <w:rPr>
                <w:i/>
                <w:iCs/>
                <w:spacing w:val="0"/>
                <w:w w:val="100"/>
                <w:sz w:val="16"/>
                <w:szCs w:val="16"/>
                <w:lang w:val="fr-CH"/>
              </w:rPr>
              <w:t>pages</w:t>
            </w:r>
          </w:p>
        </w:tc>
        <w:tc>
          <w:tcPr>
            <w:tcW w:w="992" w:type="dxa"/>
            <w:tcBorders>
              <w:top w:val="single" w:sz="12" w:space="0" w:color="auto"/>
              <w:left w:val="dotted" w:sz="4" w:space="0" w:color="auto"/>
              <w:bottom w:val="single" w:sz="4" w:space="0" w:color="auto"/>
              <w:right w:val="dotted" w:sz="4" w:space="0" w:color="auto"/>
            </w:tcBorders>
            <w:hideMark/>
          </w:tcPr>
          <w:p w14:paraId="72971478" w14:textId="77777777" w:rsidR="00366913" w:rsidRPr="00065A5D" w:rsidRDefault="00366913" w:rsidP="00AF5984">
            <w:pPr>
              <w:pStyle w:val="SingleTxt"/>
              <w:spacing w:before="80" w:after="80" w:line="200" w:lineRule="exact"/>
              <w:ind w:left="0" w:right="0"/>
              <w:jc w:val="left"/>
              <w:rPr>
                <w:i/>
                <w:iCs/>
                <w:spacing w:val="0"/>
                <w:w w:val="100"/>
                <w:sz w:val="16"/>
                <w:szCs w:val="16"/>
                <w:lang w:val="fr-CH"/>
              </w:rPr>
            </w:pPr>
            <w:r w:rsidRPr="00065A5D">
              <w:rPr>
                <w:i/>
                <w:iCs/>
                <w:spacing w:val="0"/>
                <w:w w:val="100"/>
                <w:sz w:val="16"/>
                <w:szCs w:val="16"/>
                <w:lang w:val="fr-CH"/>
              </w:rPr>
              <w:t>Langue(s) originale(s)</w:t>
            </w:r>
          </w:p>
        </w:tc>
        <w:tc>
          <w:tcPr>
            <w:tcW w:w="1565" w:type="dxa"/>
            <w:tcBorders>
              <w:top w:val="single" w:sz="12" w:space="0" w:color="auto"/>
              <w:left w:val="dotted" w:sz="4" w:space="0" w:color="auto"/>
              <w:bottom w:val="single" w:sz="4" w:space="0" w:color="auto"/>
              <w:right w:val="dotted" w:sz="4" w:space="0" w:color="auto"/>
            </w:tcBorders>
            <w:hideMark/>
          </w:tcPr>
          <w:p w14:paraId="28F92AE5" w14:textId="77777777" w:rsidR="00366913" w:rsidRPr="00065A5D" w:rsidRDefault="00366913" w:rsidP="00AF5984">
            <w:pPr>
              <w:pStyle w:val="SingleTxt"/>
              <w:spacing w:before="80" w:after="80" w:line="200" w:lineRule="exact"/>
              <w:ind w:left="0" w:right="0"/>
              <w:jc w:val="left"/>
              <w:rPr>
                <w:i/>
                <w:iCs/>
                <w:spacing w:val="0"/>
                <w:w w:val="100"/>
                <w:sz w:val="16"/>
                <w:szCs w:val="16"/>
                <w:lang w:val="fr-CH"/>
              </w:rPr>
            </w:pPr>
            <w:r w:rsidRPr="00065A5D">
              <w:rPr>
                <w:i/>
                <w:iCs/>
                <w:spacing w:val="0"/>
                <w:w w:val="100"/>
                <w:sz w:val="16"/>
                <w:szCs w:val="16"/>
                <w:lang w:val="fr-CH"/>
              </w:rPr>
              <w:t xml:space="preserve">Traduction(s) </w:t>
            </w:r>
          </w:p>
        </w:tc>
        <w:tc>
          <w:tcPr>
            <w:tcW w:w="1133" w:type="dxa"/>
            <w:tcBorders>
              <w:top w:val="single" w:sz="12" w:space="0" w:color="auto"/>
              <w:left w:val="dotted" w:sz="4" w:space="0" w:color="auto"/>
              <w:bottom w:val="single" w:sz="4" w:space="0" w:color="auto"/>
              <w:right w:val="dotted" w:sz="4" w:space="0" w:color="auto"/>
            </w:tcBorders>
            <w:hideMark/>
          </w:tcPr>
          <w:p w14:paraId="79EF4ADC" w14:textId="77777777" w:rsidR="00366913" w:rsidRPr="00065A5D" w:rsidRDefault="00366913" w:rsidP="00AF5984">
            <w:pPr>
              <w:pStyle w:val="SingleTxt"/>
              <w:spacing w:before="80" w:after="80" w:line="200" w:lineRule="exact"/>
              <w:ind w:left="0" w:right="0"/>
              <w:jc w:val="left"/>
              <w:rPr>
                <w:i/>
                <w:iCs/>
                <w:spacing w:val="0"/>
                <w:w w:val="100"/>
                <w:sz w:val="16"/>
                <w:szCs w:val="16"/>
                <w:lang w:val="fr-CH"/>
              </w:rPr>
            </w:pPr>
            <w:r w:rsidRPr="00065A5D">
              <w:rPr>
                <w:i/>
                <w:iCs/>
                <w:spacing w:val="0"/>
                <w:w w:val="100"/>
                <w:sz w:val="16"/>
                <w:szCs w:val="16"/>
                <w:lang w:val="fr-CH"/>
              </w:rPr>
              <w:t>Nombre d</w:t>
            </w:r>
            <w:r w:rsidR="00455787">
              <w:rPr>
                <w:i/>
                <w:iCs/>
                <w:spacing w:val="0"/>
                <w:w w:val="100"/>
                <w:sz w:val="16"/>
                <w:szCs w:val="16"/>
                <w:lang w:val="fr-CH"/>
              </w:rPr>
              <w:t>’</w:t>
            </w:r>
            <w:r w:rsidRPr="00065A5D">
              <w:rPr>
                <w:i/>
                <w:iCs/>
                <w:spacing w:val="0"/>
                <w:w w:val="100"/>
                <w:sz w:val="16"/>
                <w:szCs w:val="16"/>
                <w:lang w:val="fr-CH"/>
              </w:rPr>
              <w:t>exemplaires par langue(s)</w:t>
            </w:r>
          </w:p>
        </w:tc>
      </w:tr>
      <w:tr w:rsidR="00366913" w:rsidRPr="00065A5D" w14:paraId="19030062" w14:textId="77777777" w:rsidTr="00366913">
        <w:tc>
          <w:tcPr>
            <w:tcW w:w="421" w:type="dxa"/>
            <w:tcBorders>
              <w:top w:val="single" w:sz="4" w:space="0" w:color="auto"/>
              <w:left w:val="dotted" w:sz="4" w:space="0" w:color="auto"/>
              <w:bottom w:val="single" w:sz="4" w:space="0" w:color="auto"/>
              <w:right w:val="dotted" w:sz="4" w:space="0" w:color="auto"/>
            </w:tcBorders>
            <w:hideMark/>
          </w:tcPr>
          <w:p w14:paraId="69DB7229" w14:textId="77777777" w:rsidR="00366913" w:rsidRPr="00065A5D" w:rsidRDefault="00366913" w:rsidP="00AF5984">
            <w:pPr>
              <w:pStyle w:val="SingleTxt"/>
              <w:keepNext/>
              <w:keepLines/>
              <w:spacing w:before="80" w:after="80" w:line="200" w:lineRule="exact"/>
              <w:ind w:left="0" w:right="113"/>
              <w:jc w:val="left"/>
              <w:rPr>
                <w:iCs/>
                <w:spacing w:val="0"/>
                <w:w w:val="100"/>
                <w:sz w:val="16"/>
                <w:szCs w:val="16"/>
                <w:lang w:val="fr-CH"/>
              </w:rPr>
            </w:pPr>
            <w:r w:rsidRPr="00065A5D">
              <w:rPr>
                <w:spacing w:val="0"/>
                <w:w w:val="100"/>
                <w:sz w:val="16"/>
                <w:szCs w:val="16"/>
                <w:lang w:val="fr-CH"/>
              </w:rPr>
              <w:t>1</w:t>
            </w:r>
          </w:p>
        </w:tc>
        <w:tc>
          <w:tcPr>
            <w:tcW w:w="1408" w:type="dxa"/>
            <w:tcBorders>
              <w:top w:val="single" w:sz="4" w:space="0" w:color="auto"/>
              <w:left w:val="dotted" w:sz="4" w:space="0" w:color="auto"/>
              <w:bottom w:val="single" w:sz="4" w:space="0" w:color="auto"/>
              <w:right w:val="dotted" w:sz="4" w:space="0" w:color="auto"/>
            </w:tcBorders>
            <w:hideMark/>
          </w:tcPr>
          <w:p w14:paraId="22B7801D" w14:textId="77777777" w:rsidR="00366913" w:rsidRPr="00065A5D" w:rsidRDefault="00366913" w:rsidP="00AF5984">
            <w:pPr>
              <w:pStyle w:val="SingleTxt"/>
              <w:spacing w:before="80" w:after="80" w:line="200" w:lineRule="exact"/>
              <w:ind w:left="0" w:right="0"/>
              <w:jc w:val="left"/>
              <w:rPr>
                <w:iCs/>
                <w:spacing w:val="0"/>
                <w:w w:val="100"/>
                <w:sz w:val="16"/>
                <w:szCs w:val="16"/>
                <w:lang w:val="fr-CH"/>
              </w:rPr>
            </w:pPr>
            <w:r w:rsidRPr="00065A5D">
              <w:rPr>
                <w:iCs/>
                <w:spacing w:val="0"/>
                <w:w w:val="100"/>
                <w:sz w:val="16"/>
                <w:szCs w:val="16"/>
                <w:lang w:val="fr-CH"/>
              </w:rPr>
              <w:t>Fiche d</w:t>
            </w:r>
            <w:r w:rsidR="00455787">
              <w:rPr>
                <w:iCs/>
                <w:spacing w:val="0"/>
                <w:w w:val="100"/>
                <w:sz w:val="16"/>
                <w:szCs w:val="16"/>
                <w:lang w:val="fr-CH"/>
              </w:rPr>
              <w:t>’</w:t>
            </w:r>
            <w:r w:rsidRPr="00065A5D">
              <w:rPr>
                <w:iCs/>
                <w:spacing w:val="0"/>
                <w:w w:val="100"/>
                <w:sz w:val="16"/>
                <w:szCs w:val="16"/>
                <w:lang w:val="fr-CH"/>
              </w:rPr>
              <w:t>information : ce qu</w:t>
            </w:r>
            <w:r w:rsidR="00455787">
              <w:rPr>
                <w:iCs/>
                <w:spacing w:val="0"/>
                <w:w w:val="100"/>
                <w:sz w:val="16"/>
                <w:szCs w:val="16"/>
                <w:lang w:val="fr-CH"/>
              </w:rPr>
              <w:t>’</w:t>
            </w:r>
            <w:r w:rsidRPr="00065A5D">
              <w:rPr>
                <w:iCs/>
                <w:spacing w:val="0"/>
                <w:w w:val="100"/>
                <w:sz w:val="16"/>
                <w:szCs w:val="16"/>
                <w:lang w:val="fr-CH"/>
              </w:rPr>
              <w:t>il faut savoir sur les systèmes actifs d</w:t>
            </w:r>
            <w:r w:rsidR="00455787">
              <w:rPr>
                <w:iCs/>
                <w:spacing w:val="0"/>
                <w:w w:val="100"/>
                <w:sz w:val="16"/>
                <w:szCs w:val="16"/>
                <w:lang w:val="fr-CH"/>
              </w:rPr>
              <w:t>’</w:t>
            </w:r>
            <w:r w:rsidRPr="00065A5D">
              <w:rPr>
                <w:iCs/>
                <w:spacing w:val="0"/>
                <w:w w:val="100"/>
                <w:sz w:val="16"/>
                <w:szCs w:val="16"/>
                <w:lang w:val="fr-CH"/>
              </w:rPr>
              <w:t>aide à la conduite</w:t>
            </w:r>
          </w:p>
        </w:tc>
        <w:tc>
          <w:tcPr>
            <w:tcW w:w="1427" w:type="dxa"/>
            <w:tcBorders>
              <w:top w:val="single" w:sz="4" w:space="0" w:color="auto"/>
              <w:left w:val="dotted" w:sz="4" w:space="0" w:color="auto"/>
              <w:bottom w:val="single" w:sz="4" w:space="0" w:color="auto"/>
              <w:right w:val="dotted" w:sz="4" w:space="0" w:color="auto"/>
            </w:tcBorders>
            <w:hideMark/>
          </w:tcPr>
          <w:p w14:paraId="74BA9D9E" w14:textId="77777777" w:rsidR="00366913" w:rsidRPr="00065A5D" w:rsidRDefault="00366913" w:rsidP="00AF5984">
            <w:pPr>
              <w:pStyle w:val="SingleTxt"/>
              <w:spacing w:before="80" w:after="80" w:line="200" w:lineRule="exact"/>
              <w:ind w:left="0" w:right="0"/>
              <w:jc w:val="left"/>
              <w:rPr>
                <w:iCs/>
                <w:spacing w:val="0"/>
                <w:w w:val="100"/>
                <w:sz w:val="16"/>
                <w:szCs w:val="16"/>
                <w:lang w:val="fr-CH"/>
              </w:rPr>
            </w:pPr>
            <w:r w:rsidRPr="00065A5D">
              <w:rPr>
                <w:iCs/>
                <w:spacing w:val="0"/>
                <w:w w:val="100"/>
                <w:sz w:val="16"/>
                <w:szCs w:val="16"/>
                <w:lang w:val="fr-CH"/>
              </w:rPr>
              <w:t>ECE/TRANS/294, par. 138</w:t>
            </w:r>
          </w:p>
        </w:tc>
        <w:tc>
          <w:tcPr>
            <w:tcW w:w="981" w:type="dxa"/>
            <w:tcBorders>
              <w:top w:val="single" w:sz="4" w:space="0" w:color="auto"/>
              <w:left w:val="dotted" w:sz="4" w:space="0" w:color="auto"/>
              <w:bottom w:val="single" w:sz="4" w:space="0" w:color="auto"/>
              <w:right w:val="dotted" w:sz="4" w:space="0" w:color="auto"/>
            </w:tcBorders>
            <w:hideMark/>
          </w:tcPr>
          <w:p w14:paraId="363DA25F" w14:textId="77777777" w:rsidR="00366913" w:rsidRPr="00065A5D" w:rsidRDefault="00366913" w:rsidP="00AF5984">
            <w:pPr>
              <w:pStyle w:val="SingleTxt"/>
              <w:spacing w:before="80" w:after="80" w:line="200" w:lineRule="exact"/>
              <w:ind w:left="0" w:right="0"/>
              <w:jc w:val="left"/>
              <w:rPr>
                <w:iCs/>
                <w:spacing w:val="0"/>
                <w:w w:val="100"/>
                <w:sz w:val="16"/>
                <w:szCs w:val="16"/>
                <w:lang w:val="fr-CH"/>
              </w:rPr>
            </w:pPr>
            <w:r w:rsidRPr="00065A5D">
              <w:rPr>
                <w:iCs/>
                <w:spacing w:val="0"/>
                <w:w w:val="100"/>
                <w:sz w:val="16"/>
                <w:szCs w:val="16"/>
                <w:lang w:val="fr-CH"/>
              </w:rPr>
              <w:t>Versions papier et électronique</w:t>
            </w:r>
          </w:p>
        </w:tc>
        <w:tc>
          <w:tcPr>
            <w:tcW w:w="720" w:type="dxa"/>
            <w:tcBorders>
              <w:top w:val="single" w:sz="4" w:space="0" w:color="auto"/>
              <w:left w:val="dotted" w:sz="4" w:space="0" w:color="auto"/>
              <w:bottom w:val="single" w:sz="4" w:space="0" w:color="auto"/>
              <w:right w:val="dotted" w:sz="4" w:space="0" w:color="auto"/>
            </w:tcBorders>
            <w:hideMark/>
          </w:tcPr>
          <w:p w14:paraId="758AE69B" w14:textId="77777777" w:rsidR="00366913" w:rsidRPr="00065A5D" w:rsidRDefault="00366913" w:rsidP="00AF5984">
            <w:pPr>
              <w:pStyle w:val="SingleTxt"/>
              <w:spacing w:before="80" w:after="80" w:line="200" w:lineRule="exact"/>
              <w:ind w:left="0" w:right="0"/>
              <w:jc w:val="left"/>
              <w:rPr>
                <w:iCs/>
                <w:spacing w:val="0"/>
                <w:w w:val="100"/>
                <w:sz w:val="16"/>
                <w:szCs w:val="16"/>
                <w:lang w:val="fr-CH"/>
              </w:rPr>
            </w:pPr>
            <w:r w:rsidRPr="00065A5D">
              <w:rPr>
                <w:iCs/>
                <w:spacing w:val="0"/>
                <w:w w:val="100"/>
                <w:sz w:val="16"/>
                <w:szCs w:val="16"/>
                <w:lang w:val="fr-CH"/>
              </w:rPr>
              <w:t>A4</w:t>
            </w:r>
          </w:p>
        </w:tc>
        <w:tc>
          <w:tcPr>
            <w:tcW w:w="992" w:type="dxa"/>
            <w:tcBorders>
              <w:top w:val="single" w:sz="4" w:space="0" w:color="auto"/>
              <w:left w:val="dotted" w:sz="4" w:space="0" w:color="auto"/>
              <w:bottom w:val="single" w:sz="4" w:space="0" w:color="auto"/>
              <w:right w:val="dotted" w:sz="4" w:space="0" w:color="auto"/>
            </w:tcBorders>
            <w:hideMark/>
          </w:tcPr>
          <w:p w14:paraId="6CBDCF2D" w14:textId="77777777" w:rsidR="00366913" w:rsidRPr="00065A5D" w:rsidRDefault="00366913" w:rsidP="00AF5984">
            <w:pPr>
              <w:pStyle w:val="SingleTxt"/>
              <w:spacing w:before="80" w:after="80" w:line="200" w:lineRule="exact"/>
              <w:ind w:left="0" w:right="0"/>
              <w:jc w:val="left"/>
              <w:rPr>
                <w:iCs/>
                <w:spacing w:val="0"/>
                <w:w w:val="100"/>
                <w:sz w:val="16"/>
                <w:szCs w:val="16"/>
                <w:lang w:val="fr-CH"/>
              </w:rPr>
            </w:pPr>
            <w:r w:rsidRPr="00065A5D">
              <w:rPr>
                <w:spacing w:val="0"/>
                <w:w w:val="100"/>
                <w:sz w:val="16"/>
                <w:szCs w:val="16"/>
                <w:lang w:val="fr-CH"/>
              </w:rPr>
              <w:t>20</w:t>
            </w:r>
          </w:p>
        </w:tc>
        <w:tc>
          <w:tcPr>
            <w:tcW w:w="992" w:type="dxa"/>
            <w:tcBorders>
              <w:top w:val="single" w:sz="4" w:space="0" w:color="auto"/>
              <w:left w:val="dotted" w:sz="4" w:space="0" w:color="auto"/>
              <w:bottom w:val="single" w:sz="4" w:space="0" w:color="auto"/>
              <w:right w:val="dotted" w:sz="4" w:space="0" w:color="auto"/>
            </w:tcBorders>
            <w:hideMark/>
          </w:tcPr>
          <w:p w14:paraId="48C1EFC0" w14:textId="77777777" w:rsidR="00366913" w:rsidRPr="00065A5D" w:rsidRDefault="00366913" w:rsidP="00AF5984">
            <w:pPr>
              <w:pStyle w:val="SingleTxt"/>
              <w:spacing w:before="80" w:after="80" w:line="200" w:lineRule="exact"/>
              <w:ind w:left="0" w:right="0"/>
              <w:jc w:val="left"/>
              <w:rPr>
                <w:iCs/>
                <w:spacing w:val="0"/>
                <w:w w:val="100"/>
                <w:sz w:val="16"/>
                <w:szCs w:val="16"/>
                <w:lang w:val="fr-CH"/>
              </w:rPr>
            </w:pPr>
            <w:r w:rsidRPr="00065A5D">
              <w:rPr>
                <w:iCs/>
                <w:spacing w:val="0"/>
                <w:w w:val="100"/>
                <w:sz w:val="16"/>
                <w:szCs w:val="16"/>
                <w:lang w:val="fr-CH"/>
              </w:rPr>
              <w:t>Anglais</w:t>
            </w:r>
          </w:p>
        </w:tc>
        <w:tc>
          <w:tcPr>
            <w:tcW w:w="1565" w:type="dxa"/>
            <w:tcBorders>
              <w:top w:val="single" w:sz="4" w:space="0" w:color="auto"/>
              <w:left w:val="dotted" w:sz="4" w:space="0" w:color="auto"/>
              <w:bottom w:val="single" w:sz="4" w:space="0" w:color="auto"/>
              <w:right w:val="dotted" w:sz="4" w:space="0" w:color="auto"/>
            </w:tcBorders>
            <w:hideMark/>
          </w:tcPr>
          <w:p w14:paraId="53178313" w14:textId="77777777" w:rsidR="00366913" w:rsidRPr="00065A5D" w:rsidRDefault="00366913" w:rsidP="00AF5984">
            <w:pPr>
              <w:pStyle w:val="SingleTxt"/>
              <w:spacing w:before="80" w:after="80" w:line="200" w:lineRule="exact"/>
              <w:ind w:left="0" w:right="0"/>
              <w:jc w:val="left"/>
              <w:rPr>
                <w:iCs/>
                <w:spacing w:val="0"/>
                <w:w w:val="100"/>
                <w:sz w:val="16"/>
                <w:szCs w:val="16"/>
                <w:lang w:val="fr-CH"/>
              </w:rPr>
            </w:pPr>
            <w:r w:rsidRPr="00065A5D">
              <w:rPr>
                <w:iCs/>
                <w:spacing w:val="0"/>
                <w:w w:val="100"/>
                <w:sz w:val="16"/>
                <w:szCs w:val="16"/>
                <w:lang w:val="fr-CH"/>
              </w:rPr>
              <w:t>Français et russe</w:t>
            </w:r>
          </w:p>
        </w:tc>
        <w:tc>
          <w:tcPr>
            <w:tcW w:w="1133" w:type="dxa"/>
            <w:tcBorders>
              <w:top w:val="single" w:sz="4" w:space="0" w:color="auto"/>
              <w:left w:val="dotted" w:sz="4" w:space="0" w:color="auto"/>
              <w:bottom w:val="single" w:sz="4" w:space="0" w:color="auto"/>
              <w:right w:val="dotted" w:sz="4" w:space="0" w:color="auto"/>
            </w:tcBorders>
            <w:hideMark/>
          </w:tcPr>
          <w:p w14:paraId="480C4013" w14:textId="77777777" w:rsidR="00366913" w:rsidRPr="00065A5D" w:rsidRDefault="00366913" w:rsidP="00AF5984">
            <w:pPr>
              <w:pStyle w:val="SingleTxt"/>
              <w:spacing w:before="80" w:after="80" w:line="200" w:lineRule="exact"/>
              <w:ind w:left="0" w:right="0"/>
              <w:jc w:val="left"/>
              <w:rPr>
                <w:iCs/>
                <w:spacing w:val="0"/>
                <w:w w:val="100"/>
                <w:sz w:val="16"/>
                <w:szCs w:val="16"/>
                <w:lang w:val="fr-CH"/>
              </w:rPr>
            </w:pPr>
            <w:r w:rsidRPr="00065A5D">
              <w:rPr>
                <w:iCs/>
                <w:spacing w:val="0"/>
                <w:w w:val="100"/>
                <w:sz w:val="16"/>
                <w:szCs w:val="16"/>
                <w:lang w:val="fr-CH"/>
              </w:rPr>
              <w:t>200 (anglais), 100 (français), 100 (russe)</w:t>
            </w:r>
          </w:p>
        </w:tc>
      </w:tr>
      <w:tr w:rsidR="00366913" w:rsidRPr="00065A5D" w14:paraId="0B9B962A" w14:textId="77777777" w:rsidTr="00366913">
        <w:tc>
          <w:tcPr>
            <w:tcW w:w="421" w:type="dxa"/>
            <w:tcBorders>
              <w:top w:val="single" w:sz="4" w:space="0" w:color="auto"/>
              <w:left w:val="dotted" w:sz="4" w:space="0" w:color="auto"/>
              <w:bottom w:val="single" w:sz="12" w:space="0" w:color="auto"/>
              <w:right w:val="dotted" w:sz="4" w:space="0" w:color="auto"/>
            </w:tcBorders>
            <w:hideMark/>
          </w:tcPr>
          <w:p w14:paraId="23325D29" w14:textId="77777777" w:rsidR="00366913" w:rsidRPr="00065A5D" w:rsidRDefault="00366913" w:rsidP="00AF5984">
            <w:pPr>
              <w:pStyle w:val="SingleTxt"/>
              <w:keepNext/>
              <w:keepLines/>
              <w:spacing w:before="80" w:after="80" w:line="200" w:lineRule="exact"/>
              <w:ind w:left="0" w:right="113"/>
              <w:jc w:val="left"/>
              <w:rPr>
                <w:iCs/>
                <w:spacing w:val="0"/>
                <w:w w:val="100"/>
                <w:sz w:val="16"/>
                <w:szCs w:val="16"/>
                <w:lang w:val="fr-CH"/>
              </w:rPr>
            </w:pPr>
            <w:r w:rsidRPr="00065A5D">
              <w:rPr>
                <w:spacing w:val="0"/>
                <w:w w:val="100"/>
                <w:sz w:val="16"/>
                <w:szCs w:val="16"/>
                <w:lang w:val="fr-CH"/>
              </w:rPr>
              <w:t>2</w:t>
            </w:r>
          </w:p>
        </w:tc>
        <w:tc>
          <w:tcPr>
            <w:tcW w:w="1408" w:type="dxa"/>
            <w:tcBorders>
              <w:top w:val="single" w:sz="4" w:space="0" w:color="auto"/>
              <w:left w:val="dotted" w:sz="4" w:space="0" w:color="auto"/>
              <w:bottom w:val="single" w:sz="12" w:space="0" w:color="auto"/>
              <w:right w:val="dotted" w:sz="4" w:space="0" w:color="auto"/>
            </w:tcBorders>
            <w:hideMark/>
          </w:tcPr>
          <w:p w14:paraId="5E2CB227" w14:textId="77777777" w:rsidR="00366913" w:rsidRPr="00065A5D" w:rsidRDefault="00366913" w:rsidP="00AF5984">
            <w:pPr>
              <w:pStyle w:val="SingleTxt"/>
              <w:spacing w:before="80" w:after="80" w:line="200" w:lineRule="exact"/>
              <w:ind w:left="0" w:right="0"/>
              <w:jc w:val="left"/>
              <w:rPr>
                <w:iCs/>
                <w:spacing w:val="0"/>
                <w:w w:val="100"/>
                <w:sz w:val="16"/>
                <w:szCs w:val="16"/>
                <w:lang w:val="fr-CH"/>
              </w:rPr>
            </w:pPr>
            <w:r w:rsidRPr="00065A5D">
              <w:rPr>
                <w:iCs/>
                <w:spacing w:val="0"/>
                <w:w w:val="100"/>
                <w:sz w:val="16"/>
                <w:szCs w:val="16"/>
                <w:lang w:val="fr-CH"/>
              </w:rPr>
              <w:t>Statistiques des transports − profils de pays</w:t>
            </w:r>
          </w:p>
        </w:tc>
        <w:tc>
          <w:tcPr>
            <w:tcW w:w="1427" w:type="dxa"/>
            <w:tcBorders>
              <w:top w:val="single" w:sz="4" w:space="0" w:color="auto"/>
              <w:left w:val="dotted" w:sz="4" w:space="0" w:color="auto"/>
              <w:bottom w:val="single" w:sz="12" w:space="0" w:color="auto"/>
              <w:right w:val="dotted" w:sz="4" w:space="0" w:color="auto"/>
            </w:tcBorders>
            <w:hideMark/>
          </w:tcPr>
          <w:p w14:paraId="73BB6E36" w14:textId="77777777" w:rsidR="00366913" w:rsidRPr="00065A5D" w:rsidRDefault="00366913" w:rsidP="00AF5984">
            <w:pPr>
              <w:pStyle w:val="SingleTxt"/>
              <w:spacing w:before="80" w:after="80" w:line="200" w:lineRule="exact"/>
              <w:ind w:left="0" w:right="0"/>
              <w:jc w:val="left"/>
              <w:rPr>
                <w:iCs/>
                <w:spacing w:val="0"/>
                <w:w w:val="100"/>
                <w:sz w:val="16"/>
                <w:szCs w:val="16"/>
                <w:lang w:val="fr-CH"/>
              </w:rPr>
            </w:pPr>
            <w:r w:rsidRPr="00065A5D">
              <w:rPr>
                <w:iCs/>
                <w:spacing w:val="0"/>
                <w:w w:val="100"/>
                <w:sz w:val="16"/>
                <w:szCs w:val="16"/>
                <w:lang w:val="fr-CH"/>
              </w:rPr>
              <w:t>ECE/TRANS/294, par. 138</w:t>
            </w:r>
          </w:p>
        </w:tc>
        <w:tc>
          <w:tcPr>
            <w:tcW w:w="981" w:type="dxa"/>
            <w:tcBorders>
              <w:top w:val="single" w:sz="4" w:space="0" w:color="auto"/>
              <w:left w:val="dotted" w:sz="4" w:space="0" w:color="auto"/>
              <w:bottom w:val="single" w:sz="12" w:space="0" w:color="auto"/>
              <w:right w:val="dotted" w:sz="4" w:space="0" w:color="auto"/>
            </w:tcBorders>
            <w:hideMark/>
          </w:tcPr>
          <w:p w14:paraId="78800AF8" w14:textId="77777777" w:rsidR="00366913" w:rsidRPr="00065A5D" w:rsidRDefault="00366913" w:rsidP="00AF5984">
            <w:pPr>
              <w:pStyle w:val="SingleTxt"/>
              <w:spacing w:before="80" w:after="80" w:line="200" w:lineRule="exact"/>
              <w:ind w:left="0" w:right="0"/>
              <w:jc w:val="left"/>
              <w:rPr>
                <w:iCs/>
                <w:spacing w:val="0"/>
                <w:w w:val="100"/>
                <w:sz w:val="16"/>
                <w:szCs w:val="16"/>
                <w:lang w:val="fr-CH"/>
              </w:rPr>
            </w:pPr>
            <w:r w:rsidRPr="00065A5D">
              <w:rPr>
                <w:iCs/>
                <w:spacing w:val="0"/>
                <w:w w:val="100"/>
                <w:sz w:val="16"/>
                <w:szCs w:val="16"/>
                <w:lang w:val="fr-CH"/>
              </w:rPr>
              <w:t>Versions papier et électronique</w:t>
            </w:r>
          </w:p>
        </w:tc>
        <w:tc>
          <w:tcPr>
            <w:tcW w:w="720" w:type="dxa"/>
            <w:tcBorders>
              <w:top w:val="single" w:sz="4" w:space="0" w:color="auto"/>
              <w:left w:val="dotted" w:sz="4" w:space="0" w:color="auto"/>
              <w:bottom w:val="single" w:sz="12" w:space="0" w:color="auto"/>
              <w:right w:val="dotted" w:sz="4" w:space="0" w:color="auto"/>
            </w:tcBorders>
            <w:hideMark/>
          </w:tcPr>
          <w:p w14:paraId="6331C7F3" w14:textId="77777777" w:rsidR="00366913" w:rsidRPr="00065A5D" w:rsidRDefault="00366913" w:rsidP="00AF5984">
            <w:pPr>
              <w:pStyle w:val="SingleTxt"/>
              <w:spacing w:before="80" w:after="80" w:line="200" w:lineRule="exact"/>
              <w:ind w:left="0" w:right="0"/>
              <w:jc w:val="left"/>
              <w:rPr>
                <w:iCs/>
                <w:spacing w:val="0"/>
                <w:w w:val="100"/>
                <w:sz w:val="16"/>
                <w:szCs w:val="16"/>
                <w:lang w:val="fr-CH"/>
              </w:rPr>
            </w:pPr>
            <w:r w:rsidRPr="00065A5D">
              <w:rPr>
                <w:iCs/>
                <w:spacing w:val="0"/>
                <w:w w:val="100"/>
                <w:sz w:val="16"/>
                <w:szCs w:val="16"/>
                <w:lang w:val="fr-CH"/>
              </w:rPr>
              <w:t>A4</w:t>
            </w:r>
          </w:p>
        </w:tc>
        <w:tc>
          <w:tcPr>
            <w:tcW w:w="992" w:type="dxa"/>
            <w:tcBorders>
              <w:top w:val="single" w:sz="4" w:space="0" w:color="auto"/>
              <w:left w:val="dotted" w:sz="4" w:space="0" w:color="auto"/>
              <w:bottom w:val="single" w:sz="12" w:space="0" w:color="auto"/>
              <w:right w:val="dotted" w:sz="4" w:space="0" w:color="auto"/>
            </w:tcBorders>
            <w:hideMark/>
          </w:tcPr>
          <w:p w14:paraId="07D098DC" w14:textId="77777777" w:rsidR="00366913" w:rsidRPr="00065A5D" w:rsidRDefault="00366913" w:rsidP="00AF5984">
            <w:pPr>
              <w:pStyle w:val="SingleTxt"/>
              <w:spacing w:before="80" w:after="80" w:line="200" w:lineRule="exact"/>
              <w:ind w:left="0" w:right="0"/>
              <w:jc w:val="left"/>
              <w:rPr>
                <w:iCs/>
                <w:spacing w:val="0"/>
                <w:w w:val="100"/>
                <w:sz w:val="16"/>
                <w:szCs w:val="16"/>
                <w:lang w:val="fr-CH"/>
              </w:rPr>
            </w:pPr>
            <w:r w:rsidRPr="00065A5D">
              <w:rPr>
                <w:spacing w:val="0"/>
                <w:w w:val="100"/>
                <w:sz w:val="16"/>
                <w:szCs w:val="16"/>
                <w:lang w:val="fr-CH"/>
              </w:rPr>
              <w:t>20</w:t>
            </w:r>
          </w:p>
        </w:tc>
        <w:tc>
          <w:tcPr>
            <w:tcW w:w="992" w:type="dxa"/>
            <w:tcBorders>
              <w:top w:val="single" w:sz="4" w:space="0" w:color="auto"/>
              <w:left w:val="dotted" w:sz="4" w:space="0" w:color="auto"/>
              <w:bottom w:val="single" w:sz="12" w:space="0" w:color="auto"/>
              <w:right w:val="dotted" w:sz="4" w:space="0" w:color="auto"/>
            </w:tcBorders>
            <w:hideMark/>
          </w:tcPr>
          <w:p w14:paraId="6884F2C1" w14:textId="77777777" w:rsidR="00366913" w:rsidRPr="00065A5D" w:rsidRDefault="00366913" w:rsidP="00AF5984">
            <w:pPr>
              <w:pStyle w:val="SingleTxt"/>
              <w:spacing w:before="80" w:after="80" w:line="200" w:lineRule="exact"/>
              <w:ind w:left="0" w:right="0"/>
              <w:jc w:val="left"/>
              <w:rPr>
                <w:iCs/>
                <w:spacing w:val="0"/>
                <w:w w:val="100"/>
                <w:sz w:val="16"/>
                <w:szCs w:val="16"/>
                <w:lang w:val="fr-CH"/>
              </w:rPr>
            </w:pPr>
            <w:r w:rsidRPr="00065A5D">
              <w:rPr>
                <w:iCs/>
                <w:spacing w:val="0"/>
                <w:w w:val="100"/>
                <w:sz w:val="16"/>
                <w:szCs w:val="16"/>
                <w:lang w:val="fr-CH"/>
              </w:rPr>
              <w:t>Anglais</w:t>
            </w:r>
          </w:p>
        </w:tc>
        <w:tc>
          <w:tcPr>
            <w:tcW w:w="1565" w:type="dxa"/>
            <w:tcBorders>
              <w:top w:val="single" w:sz="4" w:space="0" w:color="auto"/>
              <w:left w:val="dotted" w:sz="4" w:space="0" w:color="auto"/>
              <w:bottom w:val="single" w:sz="12" w:space="0" w:color="auto"/>
              <w:right w:val="dotted" w:sz="4" w:space="0" w:color="auto"/>
            </w:tcBorders>
            <w:hideMark/>
          </w:tcPr>
          <w:p w14:paraId="4F61D737" w14:textId="77777777" w:rsidR="00366913" w:rsidRPr="00065A5D" w:rsidRDefault="00366913" w:rsidP="00AF5984">
            <w:pPr>
              <w:pStyle w:val="SingleTxt"/>
              <w:spacing w:before="80" w:after="80" w:line="200" w:lineRule="exact"/>
              <w:ind w:left="0" w:right="0"/>
              <w:jc w:val="left"/>
              <w:rPr>
                <w:iCs/>
                <w:spacing w:val="0"/>
                <w:w w:val="100"/>
                <w:sz w:val="16"/>
                <w:szCs w:val="16"/>
                <w:lang w:val="fr-CH"/>
              </w:rPr>
            </w:pPr>
            <w:r w:rsidRPr="00065A5D">
              <w:rPr>
                <w:iCs/>
                <w:spacing w:val="0"/>
                <w:w w:val="100"/>
                <w:sz w:val="16"/>
                <w:szCs w:val="16"/>
                <w:lang w:val="fr-CH"/>
              </w:rPr>
              <w:t>Français et russe</w:t>
            </w:r>
          </w:p>
        </w:tc>
        <w:tc>
          <w:tcPr>
            <w:tcW w:w="1133" w:type="dxa"/>
            <w:tcBorders>
              <w:top w:val="single" w:sz="4" w:space="0" w:color="auto"/>
              <w:left w:val="dotted" w:sz="4" w:space="0" w:color="auto"/>
              <w:bottom w:val="single" w:sz="12" w:space="0" w:color="auto"/>
              <w:right w:val="dotted" w:sz="4" w:space="0" w:color="auto"/>
            </w:tcBorders>
            <w:hideMark/>
          </w:tcPr>
          <w:p w14:paraId="778A318B" w14:textId="77777777" w:rsidR="00366913" w:rsidRPr="00065A5D" w:rsidRDefault="00366913" w:rsidP="00AF5984">
            <w:pPr>
              <w:pStyle w:val="SingleTxt"/>
              <w:spacing w:before="80" w:after="80" w:line="200" w:lineRule="exact"/>
              <w:ind w:left="0" w:right="0"/>
              <w:jc w:val="left"/>
              <w:rPr>
                <w:iCs/>
                <w:spacing w:val="0"/>
                <w:w w:val="100"/>
                <w:sz w:val="16"/>
                <w:szCs w:val="16"/>
                <w:lang w:val="fr-CH"/>
              </w:rPr>
            </w:pPr>
            <w:r w:rsidRPr="00065A5D">
              <w:rPr>
                <w:iCs/>
                <w:spacing w:val="0"/>
                <w:w w:val="100"/>
                <w:sz w:val="16"/>
                <w:szCs w:val="16"/>
                <w:lang w:val="fr-CH"/>
              </w:rPr>
              <w:t>200 (anglais), 100 (français), 100 (russe)</w:t>
            </w:r>
          </w:p>
        </w:tc>
      </w:tr>
    </w:tbl>
    <w:p w14:paraId="6ADC75B0" w14:textId="77777777" w:rsidR="004D6315" w:rsidRPr="002274DC" w:rsidRDefault="004D6315" w:rsidP="004D6315">
      <w:pPr>
        <w:rPr>
          <w:b/>
          <w:sz w:val="28"/>
        </w:rPr>
      </w:pPr>
      <w:r w:rsidRPr="002274DC">
        <w:br w:type="page"/>
      </w:r>
    </w:p>
    <w:p w14:paraId="269BD621" w14:textId="77777777" w:rsidR="004D6315" w:rsidRPr="002274DC" w:rsidRDefault="004D6315" w:rsidP="006E54E7">
      <w:pPr>
        <w:pStyle w:val="HChG"/>
      </w:pPr>
      <w:r w:rsidRPr="002274DC">
        <w:lastRenderedPageBreak/>
        <w:t>Annexe II</w:t>
      </w:r>
    </w:p>
    <w:p w14:paraId="437266C3" w14:textId="77777777" w:rsidR="004D6315" w:rsidRPr="002274DC" w:rsidRDefault="004D6315" w:rsidP="006E54E7">
      <w:pPr>
        <w:pStyle w:val="HChG"/>
        <w:rPr>
          <w:i/>
        </w:rPr>
      </w:pPr>
      <w:r w:rsidRPr="002274DC">
        <w:tab/>
      </w:r>
      <w:r w:rsidRPr="002274DC">
        <w:tab/>
        <w:t>Textes des organes délibérants définissant les mandats</w:t>
      </w:r>
    </w:p>
    <w:p w14:paraId="16DD1837" w14:textId="77777777" w:rsidR="004D6315" w:rsidRPr="002274DC" w:rsidRDefault="004D6315" w:rsidP="006E54E7">
      <w:pPr>
        <w:pStyle w:val="H1G"/>
      </w:pPr>
      <w:r w:rsidRPr="002274DC">
        <w:tab/>
        <w:t>A.</w:t>
      </w:r>
      <w:r w:rsidRPr="002274DC">
        <w:tab/>
        <w:t>Textes des organes délibérants définissant les mandats de la CEE</w:t>
      </w:r>
    </w:p>
    <w:p w14:paraId="3AF6B37F" w14:textId="77777777" w:rsidR="004D6315" w:rsidRDefault="006E54E7" w:rsidP="006E54E7">
      <w:pPr>
        <w:pStyle w:val="H4G"/>
      </w:pPr>
      <w:r w:rsidRPr="006E54E7">
        <w:tab/>
      </w:r>
      <w:r w:rsidRPr="006E54E7">
        <w:tab/>
      </w:r>
      <w:r w:rsidR="004D6315" w:rsidRPr="002274DC">
        <w:t>Résolutions de l</w:t>
      </w:r>
      <w:r w:rsidR="00455787">
        <w:t>’</w:t>
      </w:r>
      <w:r w:rsidR="004D6315" w:rsidRPr="002274DC">
        <w:t>Assemblée générale</w:t>
      </w:r>
    </w:p>
    <w:tbl>
      <w:tblPr>
        <w:tblW w:w="0" w:type="auto"/>
        <w:tblInd w:w="1134" w:type="dxa"/>
        <w:tblLayout w:type="fixed"/>
        <w:tblCellMar>
          <w:left w:w="0" w:type="dxa"/>
          <w:right w:w="0" w:type="dxa"/>
        </w:tblCellMar>
        <w:tblLook w:val="04A0" w:firstRow="1" w:lastRow="0" w:firstColumn="1" w:lastColumn="0" w:noHBand="0" w:noVBand="1"/>
      </w:tblPr>
      <w:tblGrid>
        <w:gridCol w:w="1548"/>
        <w:gridCol w:w="5905"/>
      </w:tblGrid>
      <w:tr w:rsidR="006E54E7" w:rsidRPr="002274DC" w14:paraId="12C2EE0F" w14:textId="77777777" w:rsidTr="00A301FE">
        <w:tc>
          <w:tcPr>
            <w:tcW w:w="1548" w:type="dxa"/>
            <w:hideMark/>
          </w:tcPr>
          <w:p w14:paraId="2550EDD9" w14:textId="1B250E07" w:rsidR="006E54E7" w:rsidRPr="00065A5D" w:rsidRDefault="00D643E9" w:rsidP="00AF5984">
            <w:pPr>
              <w:pStyle w:val="SingleTxt"/>
              <w:tabs>
                <w:tab w:val="left" w:pos="288"/>
                <w:tab w:val="left" w:pos="576"/>
                <w:tab w:val="left" w:pos="864"/>
                <w:tab w:val="left" w:pos="1152"/>
              </w:tabs>
              <w:spacing w:before="40"/>
              <w:ind w:left="0" w:right="43"/>
              <w:rPr>
                <w:rStyle w:val="Lienhypertexte"/>
                <w:spacing w:val="0"/>
                <w:w w:val="100"/>
                <w:lang w:val="fr-CH"/>
              </w:rPr>
            </w:pPr>
            <w:hyperlink r:id="rId11" w:history="1">
              <w:r w:rsidR="006E54E7" w:rsidRPr="00065A5D">
                <w:rPr>
                  <w:rStyle w:val="Lienhypertexte"/>
                  <w:spacing w:val="0"/>
                  <w:w w:val="100"/>
                  <w:lang w:val="fr-CH"/>
                </w:rPr>
                <w:t>66/288</w:t>
              </w:r>
            </w:hyperlink>
          </w:p>
        </w:tc>
        <w:tc>
          <w:tcPr>
            <w:tcW w:w="5905" w:type="dxa"/>
            <w:hideMark/>
          </w:tcPr>
          <w:p w14:paraId="2CC16816" w14:textId="77777777" w:rsidR="006E54E7" w:rsidRPr="006E54E7" w:rsidRDefault="006E54E7" w:rsidP="00AF5984">
            <w:pPr>
              <w:pStyle w:val="SingleTxt"/>
              <w:tabs>
                <w:tab w:val="left" w:pos="288"/>
                <w:tab w:val="left" w:pos="576"/>
                <w:tab w:val="left" w:pos="864"/>
                <w:tab w:val="left" w:pos="1152"/>
              </w:tabs>
              <w:spacing w:before="40"/>
              <w:ind w:left="0" w:right="173"/>
              <w:rPr>
                <w:spacing w:val="0"/>
                <w:w w:val="100"/>
                <w:lang w:val="fr-CH"/>
              </w:rPr>
            </w:pPr>
            <w:r w:rsidRPr="006E54E7">
              <w:rPr>
                <w:spacing w:val="0"/>
                <w:w w:val="100"/>
                <w:lang w:val="fr-CH"/>
              </w:rPr>
              <w:t>L</w:t>
            </w:r>
            <w:r w:rsidR="00455787">
              <w:rPr>
                <w:spacing w:val="0"/>
                <w:w w:val="100"/>
                <w:lang w:val="fr-CH"/>
              </w:rPr>
              <w:t>’</w:t>
            </w:r>
            <w:r w:rsidRPr="006E54E7">
              <w:rPr>
                <w:spacing w:val="0"/>
                <w:w w:val="100"/>
                <w:lang w:val="fr-CH"/>
              </w:rPr>
              <w:t xml:space="preserve">avenir que nous voulons </w:t>
            </w:r>
          </w:p>
        </w:tc>
      </w:tr>
      <w:tr w:rsidR="006E54E7" w:rsidRPr="00860746" w14:paraId="0A3E395F" w14:textId="77777777" w:rsidTr="00A301FE">
        <w:tc>
          <w:tcPr>
            <w:tcW w:w="1548" w:type="dxa"/>
            <w:hideMark/>
          </w:tcPr>
          <w:p w14:paraId="5B3375A9" w14:textId="7797F2A3" w:rsidR="006E54E7" w:rsidRPr="00065A5D" w:rsidRDefault="00D643E9" w:rsidP="00AF5984">
            <w:pPr>
              <w:pStyle w:val="SingleTxt"/>
              <w:tabs>
                <w:tab w:val="left" w:pos="288"/>
                <w:tab w:val="left" w:pos="576"/>
                <w:tab w:val="left" w:pos="864"/>
                <w:tab w:val="left" w:pos="1152"/>
              </w:tabs>
              <w:spacing w:before="40"/>
              <w:ind w:left="0" w:right="43"/>
              <w:rPr>
                <w:rStyle w:val="Lienhypertexte"/>
                <w:spacing w:val="0"/>
                <w:w w:val="100"/>
                <w:lang w:val="fr-CH"/>
              </w:rPr>
            </w:pPr>
            <w:hyperlink r:id="rId12" w:history="1">
              <w:r w:rsidR="006E54E7" w:rsidRPr="00065A5D">
                <w:rPr>
                  <w:rStyle w:val="Lienhypertexte"/>
                  <w:spacing w:val="0"/>
                  <w:w w:val="100"/>
                  <w:lang w:val="fr-CH"/>
                </w:rPr>
                <w:t>67/10</w:t>
              </w:r>
            </w:hyperlink>
          </w:p>
        </w:tc>
        <w:tc>
          <w:tcPr>
            <w:tcW w:w="5905" w:type="dxa"/>
            <w:hideMark/>
          </w:tcPr>
          <w:p w14:paraId="6035C7C8" w14:textId="77777777" w:rsidR="006E54E7" w:rsidRPr="006E54E7" w:rsidRDefault="006E54E7" w:rsidP="00AF5984">
            <w:pPr>
              <w:pStyle w:val="SingleTxt"/>
              <w:tabs>
                <w:tab w:val="left" w:pos="288"/>
                <w:tab w:val="left" w:pos="576"/>
                <w:tab w:val="left" w:pos="864"/>
                <w:tab w:val="left" w:pos="1152"/>
              </w:tabs>
              <w:spacing w:before="40"/>
              <w:ind w:left="0" w:right="173"/>
              <w:rPr>
                <w:spacing w:val="0"/>
                <w:w w:val="100"/>
                <w:lang w:val="fr-CH"/>
              </w:rPr>
            </w:pPr>
            <w:r w:rsidRPr="006E54E7">
              <w:rPr>
                <w:spacing w:val="0"/>
                <w:w w:val="100"/>
                <w:lang w:val="fr-CH"/>
              </w:rPr>
              <w:t>Coopération entre l</w:t>
            </w:r>
            <w:r w:rsidR="00455787">
              <w:rPr>
                <w:spacing w:val="0"/>
                <w:w w:val="100"/>
                <w:lang w:val="fr-CH"/>
              </w:rPr>
              <w:t>’</w:t>
            </w:r>
            <w:r w:rsidRPr="006E54E7">
              <w:rPr>
                <w:spacing w:val="0"/>
                <w:w w:val="100"/>
                <w:lang w:val="fr-CH"/>
              </w:rPr>
              <w:t>Organisation des Nations Unies et la Communauté économique eurasienne</w:t>
            </w:r>
          </w:p>
        </w:tc>
      </w:tr>
      <w:tr w:rsidR="006E54E7" w:rsidRPr="00860746" w14:paraId="1F009283" w14:textId="77777777" w:rsidTr="00A301FE">
        <w:tc>
          <w:tcPr>
            <w:tcW w:w="1548" w:type="dxa"/>
            <w:hideMark/>
          </w:tcPr>
          <w:p w14:paraId="102BB2B4" w14:textId="1B445E17" w:rsidR="006E54E7" w:rsidRPr="00065A5D" w:rsidRDefault="00D643E9" w:rsidP="00AF5984">
            <w:pPr>
              <w:pStyle w:val="SingleTxt"/>
              <w:tabs>
                <w:tab w:val="left" w:pos="288"/>
                <w:tab w:val="left" w:pos="576"/>
                <w:tab w:val="left" w:pos="864"/>
                <w:tab w:val="left" w:pos="1152"/>
              </w:tabs>
              <w:spacing w:before="40"/>
              <w:ind w:left="0" w:right="43"/>
              <w:rPr>
                <w:rStyle w:val="Lienhypertexte"/>
                <w:spacing w:val="0"/>
                <w:w w:val="100"/>
                <w:lang w:val="fr-CH"/>
              </w:rPr>
            </w:pPr>
            <w:hyperlink r:id="rId13" w:history="1">
              <w:r w:rsidR="006E54E7" w:rsidRPr="00065A5D">
                <w:rPr>
                  <w:rStyle w:val="Lienhypertexte"/>
                  <w:spacing w:val="0"/>
                  <w:w w:val="100"/>
                  <w:lang w:val="fr-CH"/>
                </w:rPr>
                <w:t>67/290</w:t>
              </w:r>
            </w:hyperlink>
          </w:p>
        </w:tc>
        <w:tc>
          <w:tcPr>
            <w:tcW w:w="5905" w:type="dxa"/>
            <w:hideMark/>
          </w:tcPr>
          <w:p w14:paraId="777357EA" w14:textId="77777777" w:rsidR="006E54E7" w:rsidRPr="006E54E7" w:rsidRDefault="006E54E7" w:rsidP="00AF5984">
            <w:pPr>
              <w:pStyle w:val="SingleTxt"/>
              <w:tabs>
                <w:tab w:val="left" w:pos="288"/>
                <w:tab w:val="left" w:pos="576"/>
                <w:tab w:val="left" w:pos="864"/>
                <w:tab w:val="left" w:pos="1152"/>
              </w:tabs>
              <w:spacing w:before="40"/>
              <w:ind w:left="0" w:right="173"/>
              <w:rPr>
                <w:spacing w:val="0"/>
                <w:w w:val="100"/>
                <w:lang w:val="fr-CH"/>
              </w:rPr>
            </w:pPr>
            <w:r w:rsidRPr="006E54E7">
              <w:rPr>
                <w:spacing w:val="0"/>
                <w:w w:val="100"/>
                <w:lang w:val="fr-CH"/>
              </w:rPr>
              <w:t>Structure et modalités de fonctionnement du forum politique de haut niveau pour le développement durable</w:t>
            </w:r>
          </w:p>
        </w:tc>
      </w:tr>
      <w:tr w:rsidR="006E54E7" w:rsidRPr="00860746" w14:paraId="04FD5342" w14:textId="77777777" w:rsidTr="00A301FE">
        <w:tc>
          <w:tcPr>
            <w:tcW w:w="1548" w:type="dxa"/>
            <w:hideMark/>
          </w:tcPr>
          <w:p w14:paraId="740171A5" w14:textId="28DA4A09" w:rsidR="006E54E7" w:rsidRPr="00065A5D" w:rsidRDefault="00D643E9" w:rsidP="00AF5984">
            <w:pPr>
              <w:pStyle w:val="SingleTxt"/>
              <w:tabs>
                <w:tab w:val="left" w:pos="288"/>
                <w:tab w:val="left" w:pos="576"/>
                <w:tab w:val="left" w:pos="864"/>
                <w:tab w:val="left" w:pos="1152"/>
              </w:tabs>
              <w:spacing w:before="40"/>
              <w:ind w:left="0" w:right="43"/>
              <w:rPr>
                <w:rStyle w:val="Lienhypertexte"/>
                <w:spacing w:val="0"/>
                <w:w w:val="100"/>
                <w:lang w:val="fr-CH"/>
              </w:rPr>
            </w:pPr>
            <w:hyperlink r:id="rId14" w:history="1">
              <w:r w:rsidR="006E54E7" w:rsidRPr="00065A5D">
                <w:rPr>
                  <w:rStyle w:val="Lienhypertexte"/>
                  <w:spacing w:val="0"/>
                  <w:w w:val="100"/>
                  <w:lang w:val="fr-CH"/>
                </w:rPr>
                <w:t>69/277</w:t>
              </w:r>
            </w:hyperlink>
          </w:p>
        </w:tc>
        <w:tc>
          <w:tcPr>
            <w:tcW w:w="5905" w:type="dxa"/>
            <w:hideMark/>
          </w:tcPr>
          <w:p w14:paraId="7671C0C6" w14:textId="77777777" w:rsidR="006E54E7" w:rsidRPr="006E54E7" w:rsidRDefault="006E54E7" w:rsidP="00AF5984">
            <w:pPr>
              <w:pStyle w:val="SingleTxt"/>
              <w:tabs>
                <w:tab w:val="left" w:pos="288"/>
                <w:tab w:val="left" w:pos="576"/>
                <w:tab w:val="left" w:pos="864"/>
                <w:tab w:val="left" w:pos="1152"/>
              </w:tabs>
              <w:spacing w:before="40"/>
              <w:ind w:left="0" w:right="173"/>
              <w:rPr>
                <w:spacing w:val="0"/>
                <w:w w:val="100"/>
                <w:lang w:val="fr-CH"/>
              </w:rPr>
            </w:pPr>
            <w:r w:rsidRPr="006E54E7">
              <w:rPr>
                <w:spacing w:val="0"/>
                <w:w w:val="100"/>
                <w:lang w:val="fr-CH"/>
              </w:rPr>
              <w:t>Déclaration politique sur le renforcement de la coopération entre l</w:t>
            </w:r>
            <w:r w:rsidR="00455787">
              <w:rPr>
                <w:spacing w:val="0"/>
                <w:w w:val="100"/>
                <w:lang w:val="fr-CH"/>
              </w:rPr>
              <w:t>’</w:t>
            </w:r>
            <w:r w:rsidRPr="006E54E7">
              <w:rPr>
                <w:spacing w:val="0"/>
                <w:w w:val="100"/>
                <w:lang w:val="fr-CH"/>
              </w:rPr>
              <w:t>Organisation des Nations Unies et les organisations régionales et sous-régionales</w:t>
            </w:r>
          </w:p>
        </w:tc>
      </w:tr>
      <w:tr w:rsidR="006E54E7" w:rsidRPr="00860746" w14:paraId="4AEF4ED6" w14:textId="77777777" w:rsidTr="00A301FE">
        <w:tc>
          <w:tcPr>
            <w:tcW w:w="1548" w:type="dxa"/>
            <w:hideMark/>
          </w:tcPr>
          <w:p w14:paraId="056FD10A" w14:textId="5956FF27" w:rsidR="006E54E7" w:rsidRPr="00065A5D" w:rsidRDefault="00D643E9" w:rsidP="00AF5984">
            <w:pPr>
              <w:pStyle w:val="SingleTxt"/>
              <w:tabs>
                <w:tab w:val="left" w:pos="288"/>
                <w:tab w:val="left" w:pos="576"/>
                <w:tab w:val="left" w:pos="864"/>
                <w:tab w:val="left" w:pos="1152"/>
              </w:tabs>
              <w:spacing w:before="40"/>
              <w:ind w:left="0" w:right="43"/>
              <w:rPr>
                <w:rStyle w:val="Lienhypertexte"/>
                <w:spacing w:val="0"/>
                <w:w w:val="100"/>
                <w:lang w:val="fr-CH"/>
              </w:rPr>
            </w:pPr>
            <w:hyperlink r:id="rId15" w:history="1">
              <w:r w:rsidR="006E54E7" w:rsidRPr="00065A5D">
                <w:rPr>
                  <w:rStyle w:val="Lienhypertexte"/>
                  <w:spacing w:val="0"/>
                  <w:w w:val="100"/>
                  <w:lang w:val="fr-CH"/>
                </w:rPr>
                <w:t>69/313</w:t>
              </w:r>
            </w:hyperlink>
          </w:p>
        </w:tc>
        <w:tc>
          <w:tcPr>
            <w:tcW w:w="5905" w:type="dxa"/>
            <w:hideMark/>
          </w:tcPr>
          <w:p w14:paraId="2DB319BE" w14:textId="77777777" w:rsidR="006E54E7" w:rsidRPr="006E54E7" w:rsidRDefault="006E54E7" w:rsidP="00AF5984">
            <w:pPr>
              <w:pStyle w:val="SingleTxt"/>
              <w:tabs>
                <w:tab w:val="left" w:pos="288"/>
                <w:tab w:val="left" w:pos="576"/>
                <w:tab w:val="left" w:pos="864"/>
                <w:tab w:val="left" w:pos="1152"/>
              </w:tabs>
              <w:spacing w:before="40"/>
              <w:ind w:left="0" w:right="173"/>
              <w:rPr>
                <w:spacing w:val="0"/>
                <w:w w:val="100"/>
                <w:lang w:val="fr-CH"/>
              </w:rPr>
            </w:pPr>
            <w:r w:rsidRPr="006E54E7">
              <w:rPr>
                <w:spacing w:val="0"/>
                <w:w w:val="100"/>
                <w:lang w:val="fr-CH"/>
              </w:rPr>
              <w:t>Programme d</w:t>
            </w:r>
            <w:r w:rsidR="00455787">
              <w:rPr>
                <w:spacing w:val="0"/>
                <w:w w:val="100"/>
                <w:lang w:val="fr-CH"/>
              </w:rPr>
              <w:t>’</w:t>
            </w:r>
            <w:r w:rsidRPr="006E54E7">
              <w:rPr>
                <w:spacing w:val="0"/>
                <w:w w:val="100"/>
                <w:lang w:val="fr-CH"/>
              </w:rPr>
              <w:t>action d</w:t>
            </w:r>
            <w:r w:rsidR="00455787">
              <w:rPr>
                <w:spacing w:val="0"/>
                <w:w w:val="100"/>
                <w:lang w:val="fr-CH"/>
              </w:rPr>
              <w:t>’</w:t>
            </w:r>
            <w:r w:rsidRPr="006E54E7">
              <w:rPr>
                <w:spacing w:val="0"/>
                <w:w w:val="100"/>
                <w:lang w:val="fr-CH"/>
              </w:rPr>
              <w:t>Addis-Abeba issu de la troisième Conférence internationale sur le financement du développement (Programme d</w:t>
            </w:r>
            <w:r w:rsidR="00455787">
              <w:rPr>
                <w:spacing w:val="0"/>
                <w:w w:val="100"/>
                <w:lang w:val="fr-CH"/>
              </w:rPr>
              <w:t>’</w:t>
            </w:r>
            <w:r w:rsidRPr="006E54E7">
              <w:rPr>
                <w:spacing w:val="0"/>
                <w:w w:val="100"/>
                <w:lang w:val="fr-CH"/>
              </w:rPr>
              <w:t>action d</w:t>
            </w:r>
            <w:r w:rsidR="00455787">
              <w:rPr>
                <w:spacing w:val="0"/>
                <w:w w:val="100"/>
                <w:lang w:val="fr-CH"/>
              </w:rPr>
              <w:t>’</w:t>
            </w:r>
            <w:r w:rsidRPr="006E54E7">
              <w:rPr>
                <w:spacing w:val="0"/>
                <w:w w:val="100"/>
                <w:lang w:val="fr-CH"/>
              </w:rPr>
              <w:t>Addis-Abeba)</w:t>
            </w:r>
          </w:p>
        </w:tc>
      </w:tr>
      <w:tr w:rsidR="006E54E7" w:rsidRPr="00860746" w14:paraId="7F954730" w14:textId="77777777" w:rsidTr="00A301FE">
        <w:tc>
          <w:tcPr>
            <w:tcW w:w="1548" w:type="dxa"/>
            <w:hideMark/>
          </w:tcPr>
          <w:p w14:paraId="59B04627" w14:textId="79876ABC" w:rsidR="006E54E7" w:rsidRPr="00065A5D" w:rsidRDefault="00D643E9" w:rsidP="00AF5984">
            <w:pPr>
              <w:pStyle w:val="SingleTxt"/>
              <w:tabs>
                <w:tab w:val="left" w:pos="288"/>
                <w:tab w:val="left" w:pos="576"/>
                <w:tab w:val="left" w:pos="864"/>
                <w:tab w:val="left" w:pos="1152"/>
              </w:tabs>
              <w:spacing w:before="40"/>
              <w:ind w:left="0" w:right="43"/>
              <w:rPr>
                <w:rStyle w:val="Lienhypertexte"/>
                <w:spacing w:val="0"/>
                <w:w w:val="100"/>
                <w:lang w:val="fr-CH"/>
              </w:rPr>
            </w:pPr>
            <w:hyperlink r:id="rId16" w:history="1">
              <w:r w:rsidR="006E54E7" w:rsidRPr="00065A5D">
                <w:rPr>
                  <w:rStyle w:val="Lienhypertexte"/>
                  <w:spacing w:val="0"/>
                  <w:w w:val="100"/>
                  <w:lang w:val="fr-CH"/>
                </w:rPr>
                <w:t>70/1</w:t>
              </w:r>
            </w:hyperlink>
          </w:p>
        </w:tc>
        <w:tc>
          <w:tcPr>
            <w:tcW w:w="5905" w:type="dxa"/>
            <w:hideMark/>
          </w:tcPr>
          <w:p w14:paraId="5A801AE9" w14:textId="77777777" w:rsidR="006E54E7" w:rsidRPr="006E54E7" w:rsidRDefault="006E54E7" w:rsidP="00AF5984">
            <w:pPr>
              <w:pStyle w:val="SingleTxt"/>
              <w:tabs>
                <w:tab w:val="left" w:pos="288"/>
                <w:tab w:val="left" w:pos="576"/>
                <w:tab w:val="left" w:pos="864"/>
                <w:tab w:val="left" w:pos="1152"/>
              </w:tabs>
              <w:spacing w:before="40"/>
              <w:ind w:left="0" w:right="173"/>
              <w:rPr>
                <w:spacing w:val="0"/>
                <w:w w:val="100"/>
                <w:lang w:val="fr-CH"/>
              </w:rPr>
            </w:pPr>
            <w:r w:rsidRPr="006E54E7">
              <w:rPr>
                <w:spacing w:val="0"/>
                <w:w w:val="100"/>
                <w:lang w:val="fr-CH"/>
              </w:rPr>
              <w:t>Transformer notre monde : le Programme de développement durable à l</w:t>
            </w:r>
            <w:r w:rsidR="00455787">
              <w:rPr>
                <w:spacing w:val="0"/>
                <w:w w:val="100"/>
                <w:lang w:val="fr-CH"/>
              </w:rPr>
              <w:t>’</w:t>
            </w:r>
            <w:r w:rsidRPr="006E54E7">
              <w:rPr>
                <w:spacing w:val="0"/>
                <w:w w:val="100"/>
                <w:lang w:val="fr-CH"/>
              </w:rPr>
              <w:t>horizon 2030</w:t>
            </w:r>
          </w:p>
        </w:tc>
      </w:tr>
      <w:tr w:rsidR="006E54E7" w:rsidRPr="00860746" w14:paraId="7E58E91B" w14:textId="77777777" w:rsidTr="00A301FE">
        <w:tc>
          <w:tcPr>
            <w:tcW w:w="1548" w:type="dxa"/>
            <w:hideMark/>
          </w:tcPr>
          <w:p w14:paraId="1CD907E2" w14:textId="5B1699E4" w:rsidR="006E54E7" w:rsidRPr="00065A5D" w:rsidRDefault="00D643E9" w:rsidP="00AF5984">
            <w:pPr>
              <w:pStyle w:val="SingleTxt"/>
              <w:tabs>
                <w:tab w:val="left" w:pos="288"/>
                <w:tab w:val="left" w:pos="576"/>
                <w:tab w:val="left" w:pos="864"/>
                <w:tab w:val="left" w:pos="1152"/>
              </w:tabs>
              <w:spacing w:before="40"/>
              <w:ind w:left="0" w:right="43"/>
              <w:rPr>
                <w:rStyle w:val="Lienhypertexte"/>
                <w:spacing w:val="0"/>
                <w:w w:val="100"/>
                <w:lang w:val="fr-CH"/>
              </w:rPr>
            </w:pPr>
            <w:hyperlink r:id="rId17" w:history="1">
              <w:r w:rsidR="006E54E7" w:rsidRPr="00065A5D">
                <w:rPr>
                  <w:rStyle w:val="Lienhypertexte"/>
                  <w:spacing w:val="0"/>
                  <w:w w:val="100"/>
                  <w:lang w:val="fr-CH"/>
                </w:rPr>
                <w:t>70/133</w:t>
              </w:r>
            </w:hyperlink>
          </w:p>
        </w:tc>
        <w:tc>
          <w:tcPr>
            <w:tcW w:w="5905" w:type="dxa"/>
            <w:hideMark/>
          </w:tcPr>
          <w:p w14:paraId="4D101DED" w14:textId="77777777" w:rsidR="006E54E7" w:rsidRPr="006E54E7" w:rsidRDefault="006E54E7" w:rsidP="00AF5984">
            <w:pPr>
              <w:pStyle w:val="SingleTxt"/>
              <w:tabs>
                <w:tab w:val="left" w:pos="288"/>
                <w:tab w:val="left" w:pos="576"/>
                <w:tab w:val="left" w:pos="864"/>
                <w:tab w:val="left" w:pos="1152"/>
              </w:tabs>
              <w:spacing w:before="40"/>
              <w:ind w:left="0" w:right="173"/>
              <w:rPr>
                <w:spacing w:val="0"/>
                <w:w w:val="100"/>
                <w:lang w:val="fr-CH"/>
              </w:rPr>
            </w:pPr>
            <w:r w:rsidRPr="006E54E7">
              <w:rPr>
                <w:spacing w:val="0"/>
                <w:w w:val="100"/>
                <w:lang w:val="fr-CH"/>
              </w:rPr>
              <w:t>Suite donnée à la quatrième Conférence mondiale sur les femmes et application intégrale de la Déclaration et du Programme d</w:t>
            </w:r>
            <w:r w:rsidR="00455787">
              <w:rPr>
                <w:spacing w:val="0"/>
                <w:w w:val="100"/>
                <w:lang w:val="fr-CH"/>
              </w:rPr>
              <w:t>’</w:t>
            </w:r>
            <w:r w:rsidRPr="006E54E7">
              <w:rPr>
                <w:spacing w:val="0"/>
                <w:w w:val="100"/>
                <w:lang w:val="fr-CH"/>
              </w:rPr>
              <w:t>action de Beijing et des textes issus de la vingt-troisième session extraordinaire de l</w:t>
            </w:r>
            <w:r w:rsidR="00455787">
              <w:rPr>
                <w:spacing w:val="0"/>
                <w:w w:val="100"/>
                <w:lang w:val="fr-CH"/>
              </w:rPr>
              <w:t>’</w:t>
            </w:r>
            <w:r w:rsidRPr="006E54E7">
              <w:rPr>
                <w:spacing w:val="0"/>
                <w:w w:val="100"/>
                <w:lang w:val="fr-CH"/>
              </w:rPr>
              <w:t>Assemblée générale</w:t>
            </w:r>
          </w:p>
        </w:tc>
      </w:tr>
      <w:tr w:rsidR="006E54E7" w:rsidRPr="00860746" w14:paraId="39CD340A" w14:textId="77777777" w:rsidTr="00A301FE">
        <w:tc>
          <w:tcPr>
            <w:tcW w:w="1548" w:type="dxa"/>
            <w:hideMark/>
          </w:tcPr>
          <w:p w14:paraId="33F3B31C" w14:textId="0D1AB9BD" w:rsidR="006E54E7" w:rsidRPr="00065A5D" w:rsidRDefault="00D643E9" w:rsidP="00AF5984">
            <w:pPr>
              <w:pStyle w:val="SingleTxt"/>
              <w:tabs>
                <w:tab w:val="left" w:pos="288"/>
                <w:tab w:val="left" w:pos="576"/>
                <w:tab w:val="left" w:pos="864"/>
                <w:tab w:val="left" w:pos="1152"/>
              </w:tabs>
              <w:spacing w:before="40"/>
              <w:ind w:left="0" w:right="43"/>
              <w:rPr>
                <w:rStyle w:val="Lienhypertexte"/>
                <w:spacing w:val="0"/>
                <w:w w:val="100"/>
                <w:lang w:val="fr-CH"/>
              </w:rPr>
            </w:pPr>
            <w:hyperlink r:id="rId18" w:history="1">
              <w:r w:rsidR="006E54E7" w:rsidRPr="00065A5D">
                <w:rPr>
                  <w:rStyle w:val="Lienhypertexte"/>
                  <w:spacing w:val="0"/>
                  <w:w w:val="100"/>
                  <w:lang w:val="fr-CH"/>
                </w:rPr>
                <w:t>70/221</w:t>
              </w:r>
            </w:hyperlink>
          </w:p>
        </w:tc>
        <w:tc>
          <w:tcPr>
            <w:tcW w:w="5905" w:type="dxa"/>
            <w:hideMark/>
          </w:tcPr>
          <w:p w14:paraId="272B0E38" w14:textId="77777777" w:rsidR="006E54E7" w:rsidRPr="006E54E7" w:rsidRDefault="006E54E7" w:rsidP="00AF5984">
            <w:pPr>
              <w:pStyle w:val="SingleTxt"/>
              <w:tabs>
                <w:tab w:val="left" w:pos="288"/>
                <w:tab w:val="left" w:pos="576"/>
                <w:tab w:val="left" w:pos="864"/>
                <w:tab w:val="left" w:pos="1152"/>
              </w:tabs>
              <w:spacing w:before="40"/>
              <w:ind w:left="0" w:right="173"/>
              <w:rPr>
                <w:spacing w:val="0"/>
                <w:w w:val="100"/>
                <w:lang w:val="fr-CH"/>
              </w:rPr>
            </w:pPr>
            <w:r w:rsidRPr="006E54E7">
              <w:rPr>
                <w:spacing w:val="0"/>
                <w:w w:val="100"/>
                <w:lang w:val="fr-CH"/>
              </w:rPr>
              <w:t>Activités opérationnelles de développement du système des Nations Unies</w:t>
            </w:r>
          </w:p>
        </w:tc>
      </w:tr>
      <w:tr w:rsidR="006E54E7" w:rsidRPr="00860746" w14:paraId="70CF3187" w14:textId="77777777" w:rsidTr="00A301FE">
        <w:tc>
          <w:tcPr>
            <w:tcW w:w="1548" w:type="dxa"/>
            <w:hideMark/>
          </w:tcPr>
          <w:p w14:paraId="1052383B" w14:textId="55544F71" w:rsidR="006E54E7" w:rsidRPr="00065A5D" w:rsidRDefault="00D643E9" w:rsidP="00AF5984">
            <w:pPr>
              <w:pStyle w:val="SingleTxt"/>
              <w:tabs>
                <w:tab w:val="left" w:pos="288"/>
                <w:tab w:val="left" w:pos="576"/>
                <w:tab w:val="left" w:pos="864"/>
                <w:tab w:val="left" w:pos="1152"/>
              </w:tabs>
              <w:spacing w:before="40"/>
              <w:ind w:left="0" w:right="43"/>
              <w:rPr>
                <w:rStyle w:val="Lienhypertexte"/>
                <w:spacing w:val="0"/>
                <w:w w:val="100"/>
                <w:lang w:val="fr-CH"/>
              </w:rPr>
            </w:pPr>
            <w:hyperlink r:id="rId19" w:history="1">
              <w:r w:rsidR="006E54E7" w:rsidRPr="00065A5D">
                <w:rPr>
                  <w:rStyle w:val="Lienhypertexte"/>
                  <w:spacing w:val="0"/>
                  <w:w w:val="100"/>
                  <w:lang w:val="fr-CH"/>
                </w:rPr>
                <w:t>71/14</w:t>
              </w:r>
            </w:hyperlink>
          </w:p>
        </w:tc>
        <w:tc>
          <w:tcPr>
            <w:tcW w:w="5905" w:type="dxa"/>
            <w:hideMark/>
          </w:tcPr>
          <w:p w14:paraId="3D43E5AF" w14:textId="77777777" w:rsidR="006E54E7" w:rsidRPr="006E54E7" w:rsidRDefault="006E54E7" w:rsidP="00AF5984">
            <w:pPr>
              <w:pStyle w:val="SingleTxt"/>
              <w:tabs>
                <w:tab w:val="left" w:pos="288"/>
                <w:tab w:val="left" w:pos="576"/>
                <w:tab w:val="left" w:pos="864"/>
                <w:tab w:val="left" w:pos="1152"/>
              </w:tabs>
              <w:spacing w:before="40"/>
              <w:ind w:left="0" w:right="173"/>
              <w:rPr>
                <w:spacing w:val="0"/>
                <w:w w:val="100"/>
                <w:lang w:val="fr-CH"/>
              </w:rPr>
            </w:pPr>
            <w:r w:rsidRPr="006E54E7">
              <w:rPr>
                <w:spacing w:val="0"/>
                <w:w w:val="100"/>
                <w:lang w:val="fr-CH"/>
              </w:rPr>
              <w:t>Coopération entre l</w:t>
            </w:r>
            <w:r w:rsidR="00455787">
              <w:rPr>
                <w:spacing w:val="0"/>
                <w:w w:val="100"/>
                <w:lang w:val="fr-CH"/>
              </w:rPr>
              <w:t>’</w:t>
            </w:r>
            <w:r w:rsidRPr="006E54E7">
              <w:rPr>
                <w:spacing w:val="0"/>
                <w:w w:val="100"/>
                <w:lang w:val="fr-CH"/>
              </w:rPr>
              <w:t>Organisation des Nations Unies et l</w:t>
            </w:r>
            <w:r w:rsidR="00455787">
              <w:rPr>
                <w:spacing w:val="0"/>
                <w:w w:val="100"/>
                <w:lang w:val="fr-CH"/>
              </w:rPr>
              <w:t>’</w:t>
            </w:r>
            <w:r w:rsidRPr="006E54E7">
              <w:rPr>
                <w:spacing w:val="0"/>
                <w:w w:val="100"/>
                <w:lang w:val="fr-CH"/>
              </w:rPr>
              <w:t>Organisation de Shanghai pour la coopération</w:t>
            </w:r>
          </w:p>
        </w:tc>
      </w:tr>
      <w:tr w:rsidR="006E54E7" w:rsidRPr="00860746" w14:paraId="13F12E51" w14:textId="77777777" w:rsidTr="00A301FE">
        <w:tc>
          <w:tcPr>
            <w:tcW w:w="1548" w:type="dxa"/>
            <w:hideMark/>
          </w:tcPr>
          <w:p w14:paraId="57AC08C5" w14:textId="1E787C57" w:rsidR="006E54E7" w:rsidRPr="00065A5D" w:rsidRDefault="00D643E9" w:rsidP="00AF5984">
            <w:pPr>
              <w:pStyle w:val="SingleTxt"/>
              <w:tabs>
                <w:tab w:val="left" w:pos="288"/>
                <w:tab w:val="left" w:pos="576"/>
                <w:tab w:val="left" w:pos="864"/>
                <w:tab w:val="left" w:pos="1152"/>
              </w:tabs>
              <w:spacing w:before="40"/>
              <w:ind w:left="0" w:right="43"/>
              <w:rPr>
                <w:rStyle w:val="Lienhypertexte"/>
                <w:spacing w:val="0"/>
                <w:w w:val="100"/>
                <w:lang w:val="fr-CH"/>
              </w:rPr>
            </w:pPr>
            <w:hyperlink r:id="rId20" w:history="1">
              <w:r w:rsidR="006E54E7" w:rsidRPr="00065A5D">
                <w:rPr>
                  <w:rStyle w:val="Lienhypertexte"/>
                  <w:spacing w:val="0"/>
                  <w:w w:val="100"/>
                  <w:lang w:val="fr-CH"/>
                </w:rPr>
                <w:t>71/16</w:t>
              </w:r>
            </w:hyperlink>
          </w:p>
        </w:tc>
        <w:tc>
          <w:tcPr>
            <w:tcW w:w="5905" w:type="dxa"/>
            <w:hideMark/>
          </w:tcPr>
          <w:p w14:paraId="7DD949CD" w14:textId="77777777" w:rsidR="006E54E7" w:rsidRPr="006E54E7" w:rsidRDefault="006E54E7" w:rsidP="00AF5984">
            <w:pPr>
              <w:pStyle w:val="SingleTxt"/>
              <w:tabs>
                <w:tab w:val="left" w:pos="288"/>
                <w:tab w:val="left" w:pos="576"/>
                <w:tab w:val="left" w:pos="864"/>
                <w:tab w:val="left" w:pos="1152"/>
              </w:tabs>
              <w:spacing w:before="40"/>
              <w:ind w:left="0" w:right="173"/>
              <w:rPr>
                <w:spacing w:val="0"/>
                <w:w w:val="100"/>
                <w:lang w:val="fr-CH"/>
              </w:rPr>
            </w:pPr>
            <w:r w:rsidRPr="006E54E7">
              <w:rPr>
                <w:spacing w:val="0"/>
                <w:w w:val="100"/>
                <w:lang w:val="fr-CH"/>
              </w:rPr>
              <w:t>Coopération entre l</w:t>
            </w:r>
            <w:r w:rsidR="00455787">
              <w:rPr>
                <w:spacing w:val="0"/>
                <w:w w:val="100"/>
                <w:lang w:val="fr-CH"/>
              </w:rPr>
              <w:t>’</w:t>
            </w:r>
            <w:r w:rsidRPr="006E54E7">
              <w:rPr>
                <w:spacing w:val="0"/>
                <w:w w:val="100"/>
                <w:lang w:val="fr-CH"/>
              </w:rPr>
              <w:t>Organisation des Nations Unies et l</w:t>
            </w:r>
            <w:r w:rsidR="00455787">
              <w:rPr>
                <w:spacing w:val="0"/>
                <w:w w:val="100"/>
                <w:lang w:val="fr-CH"/>
              </w:rPr>
              <w:t>’</w:t>
            </w:r>
            <w:r w:rsidRPr="006E54E7">
              <w:rPr>
                <w:spacing w:val="0"/>
                <w:w w:val="100"/>
                <w:lang w:val="fr-CH"/>
              </w:rPr>
              <w:t>Organisation de coopération économique</w:t>
            </w:r>
          </w:p>
        </w:tc>
      </w:tr>
      <w:tr w:rsidR="006E54E7" w:rsidRPr="00860746" w14:paraId="5C1A3231" w14:textId="77777777" w:rsidTr="00A301FE">
        <w:tc>
          <w:tcPr>
            <w:tcW w:w="1548" w:type="dxa"/>
            <w:hideMark/>
          </w:tcPr>
          <w:p w14:paraId="268AA22F" w14:textId="0F46EABA" w:rsidR="006E54E7" w:rsidRPr="00065A5D" w:rsidRDefault="00D643E9" w:rsidP="00AF5984">
            <w:pPr>
              <w:pStyle w:val="SingleTxt"/>
              <w:tabs>
                <w:tab w:val="left" w:pos="288"/>
                <w:tab w:val="left" w:pos="576"/>
                <w:tab w:val="left" w:pos="864"/>
                <w:tab w:val="left" w:pos="1152"/>
              </w:tabs>
              <w:spacing w:before="40"/>
              <w:ind w:left="0" w:right="43"/>
              <w:rPr>
                <w:rStyle w:val="Lienhypertexte"/>
                <w:spacing w:val="0"/>
                <w:w w:val="100"/>
                <w:lang w:val="fr-CH"/>
              </w:rPr>
            </w:pPr>
            <w:hyperlink r:id="rId21" w:history="1">
              <w:r w:rsidR="006E54E7" w:rsidRPr="00065A5D">
                <w:rPr>
                  <w:rStyle w:val="Lienhypertexte"/>
                  <w:spacing w:val="0"/>
                  <w:w w:val="100"/>
                  <w:lang w:val="fr-CH"/>
                </w:rPr>
                <w:t>71/162</w:t>
              </w:r>
            </w:hyperlink>
          </w:p>
        </w:tc>
        <w:tc>
          <w:tcPr>
            <w:tcW w:w="5905" w:type="dxa"/>
            <w:hideMark/>
          </w:tcPr>
          <w:p w14:paraId="2F7CA6DD" w14:textId="77777777" w:rsidR="006E54E7" w:rsidRPr="006E54E7" w:rsidRDefault="006E54E7" w:rsidP="00AF5984">
            <w:pPr>
              <w:pStyle w:val="SingleTxt"/>
              <w:tabs>
                <w:tab w:val="left" w:pos="288"/>
                <w:tab w:val="left" w:pos="576"/>
                <w:tab w:val="left" w:pos="864"/>
                <w:tab w:val="left" w:pos="1152"/>
              </w:tabs>
              <w:spacing w:before="40"/>
              <w:ind w:left="0" w:right="173"/>
              <w:rPr>
                <w:spacing w:val="0"/>
                <w:w w:val="100"/>
                <w:lang w:val="fr-CH"/>
              </w:rPr>
            </w:pPr>
            <w:r w:rsidRPr="006E54E7">
              <w:rPr>
                <w:spacing w:val="0"/>
                <w:w w:val="100"/>
                <w:lang w:val="fr-CH"/>
              </w:rPr>
              <w:t>Suite donnée au Sommet mondial pour le développement social et à la vingt-quatrième session extraordinaire de l</w:t>
            </w:r>
            <w:r w:rsidR="00455787">
              <w:rPr>
                <w:spacing w:val="0"/>
                <w:w w:val="100"/>
                <w:lang w:val="fr-CH"/>
              </w:rPr>
              <w:t>’</w:t>
            </w:r>
            <w:r w:rsidRPr="006E54E7">
              <w:rPr>
                <w:spacing w:val="0"/>
                <w:w w:val="100"/>
                <w:lang w:val="fr-CH"/>
              </w:rPr>
              <w:t>Assemblée générale</w:t>
            </w:r>
          </w:p>
        </w:tc>
      </w:tr>
      <w:tr w:rsidR="006E54E7" w:rsidRPr="00860746" w14:paraId="088E445E" w14:textId="77777777" w:rsidTr="00A301FE">
        <w:tc>
          <w:tcPr>
            <w:tcW w:w="1548" w:type="dxa"/>
            <w:hideMark/>
          </w:tcPr>
          <w:p w14:paraId="74046DB2" w14:textId="2EA7A23C" w:rsidR="006E54E7" w:rsidRPr="00065A5D" w:rsidRDefault="00D643E9" w:rsidP="00AF5984">
            <w:pPr>
              <w:pStyle w:val="SingleTxt"/>
              <w:tabs>
                <w:tab w:val="left" w:pos="288"/>
                <w:tab w:val="left" w:pos="576"/>
                <w:tab w:val="left" w:pos="864"/>
                <w:tab w:val="left" w:pos="1152"/>
              </w:tabs>
              <w:spacing w:before="40"/>
              <w:ind w:left="0" w:right="43"/>
              <w:rPr>
                <w:rStyle w:val="Lienhypertexte"/>
                <w:spacing w:val="0"/>
                <w:w w:val="100"/>
                <w:lang w:val="fr-CH"/>
              </w:rPr>
            </w:pPr>
            <w:hyperlink r:id="rId22" w:history="1">
              <w:r w:rsidR="006E54E7" w:rsidRPr="00065A5D">
                <w:rPr>
                  <w:rStyle w:val="Lienhypertexte"/>
                  <w:spacing w:val="0"/>
                  <w:w w:val="100"/>
                  <w:lang w:val="fr-CH"/>
                </w:rPr>
                <w:t>71/243</w:t>
              </w:r>
            </w:hyperlink>
          </w:p>
        </w:tc>
        <w:tc>
          <w:tcPr>
            <w:tcW w:w="5905" w:type="dxa"/>
            <w:hideMark/>
          </w:tcPr>
          <w:p w14:paraId="68F13515" w14:textId="77777777" w:rsidR="006E54E7" w:rsidRPr="006E54E7" w:rsidRDefault="006E54E7" w:rsidP="006E54E7">
            <w:pPr>
              <w:pStyle w:val="SingleTxt"/>
              <w:tabs>
                <w:tab w:val="left" w:pos="288"/>
                <w:tab w:val="left" w:pos="576"/>
                <w:tab w:val="left" w:pos="864"/>
                <w:tab w:val="left" w:pos="1152"/>
              </w:tabs>
              <w:spacing w:before="40"/>
              <w:ind w:left="0" w:right="173"/>
              <w:rPr>
                <w:spacing w:val="0"/>
                <w:w w:val="100"/>
                <w:lang w:val="fr-CH"/>
              </w:rPr>
            </w:pPr>
            <w:r w:rsidRPr="006E54E7">
              <w:rPr>
                <w:spacing w:val="0"/>
                <w:w w:val="100"/>
                <w:lang w:val="fr-CH"/>
              </w:rPr>
              <w:t>Examen quadriennal complet des activités opérationnelles de développement du système des Nations Unies</w:t>
            </w:r>
          </w:p>
        </w:tc>
      </w:tr>
      <w:tr w:rsidR="006E54E7" w:rsidRPr="00860746" w14:paraId="11BA887E" w14:textId="77777777" w:rsidTr="00A301FE">
        <w:tc>
          <w:tcPr>
            <w:tcW w:w="1548" w:type="dxa"/>
            <w:hideMark/>
          </w:tcPr>
          <w:p w14:paraId="54E1868A" w14:textId="7007A844" w:rsidR="006E54E7" w:rsidRPr="00065A5D" w:rsidRDefault="00D643E9" w:rsidP="00AF5984">
            <w:pPr>
              <w:pStyle w:val="SingleTxt"/>
              <w:tabs>
                <w:tab w:val="left" w:pos="288"/>
                <w:tab w:val="left" w:pos="576"/>
                <w:tab w:val="left" w:pos="864"/>
                <w:tab w:val="left" w:pos="1152"/>
              </w:tabs>
              <w:spacing w:before="40"/>
              <w:ind w:left="0" w:right="43"/>
              <w:rPr>
                <w:rStyle w:val="Lienhypertexte"/>
                <w:spacing w:val="0"/>
                <w:w w:val="100"/>
                <w:lang w:val="fr-CH"/>
              </w:rPr>
            </w:pPr>
            <w:hyperlink r:id="rId23" w:history="1">
              <w:r w:rsidR="006E54E7" w:rsidRPr="00065A5D">
                <w:rPr>
                  <w:rStyle w:val="Lienhypertexte"/>
                  <w:spacing w:val="0"/>
                  <w:w w:val="100"/>
                  <w:lang w:val="fr-CH"/>
                </w:rPr>
                <w:t>72/230</w:t>
              </w:r>
            </w:hyperlink>
          </w:p>
        </w:tc>
        <w:tc>
          <w:tcPr>
            <w:tcW w:w="5905" w:type="dxa"/>
            <w:hideMark/>
          </w:tcPr>
          <w:p w14:paraId="6AF34568" w14:textId="77777777" w:rsidR="006E54E7" w:rsidRPr="006E54E7" w:rsidRDefault="006E54E7" w:rsidP="006E54E7">
            <w:pPr>
              <w:pStyle w:val="SingleTxt"/>
              <w:tabs>
                <w:tab w:val="left" w:pos="288"/>
                <w:tab w:val="left" w:pos="576"/>
                <w:tab w:val="left" w:pos="864"/>
                <w:tab w:val="left" w:pos="1152"/>
              </w:tabs>
              <w:spacing w:before="40"/>
              <w:ind w:left="0" w:right="173"/>
              <w:rPr>
                <w:spacing w:val="0"/>
                <w:w w:val="100"/>
                <w:lang w:val="fr-CH"/>
              </w:rPr>
            </w:pPr>
            <w:r w:rsidRPr="006E54E7">
              <w:rPr>
                <w:spacing w:val="0"/>
                <w:w w:val="100"/>
                <w:lang w:val="fr-CH"/>
              </w:rPr>
              <w:t>Coopération pour le développement des pays à revenu intermédiaire</w:t>
            </w:r>
          </w:p>
        </w:tc>
      </w:tr>
      <w:tr w:rsidR="006E54E7" w:rsidRPr="00860746" w14:paraId="34A7DBFF" w14:textId="77777777" w:rsidTr="00A301FE">
        <w:tc>
          <w:tcPr>
            <w:tcW w:w="1548" w:type="dxa"/>
            <w:hideMark/>
          </w:tcPr>
          <w:p w14:paraId="3C12F7DB" w14:textId="70CF3C0D" w:rsidR="006E54E7" w:rsidRPr="00065A5D" w:rsidRDefault="00D643E9" w:rsidP="00AF5984">
            <w:pPr>
              <w:pStyle w:val="SingleTxt"/>
              <w:tabs>
                <w:tab w:val="left" w:pos="288"/>
                <w:tab w:val="left" w:pos="576"/>
                <w:tab w:val="left" w:pos="864"/>
                <w:tab w:val="left" w:pos="1152"/>
              </w:tabs>
              <w:spacing w:before="40"/>
              <w:ind w:left="0" w:right="43"/>
              <w:rPr>
                <w:rStyle w:val="Lienhypertexte"/>
                <w:spacing w:val="0"/>
                <w:w w:val="100"/>
                <w:lang w:val="fr-CH"/>
              </w:rPr>
            </w:pPr>
            <w:hyperlink r:id="rId24" w:history="1">
              <w:r w:rsidR="006E54E7" w:rsidRPr="00065A5D">
                <w:rPr>
                  <w:rStyle w:val="Lienhypertexte"/>
                  <w:spacing w:val="0"/>
                  <w:w w:val="100"/>
                  <w:lang w:val="fr-CH"/>
                </w:rPr>
                <w:t>72/234</w:t>
              </w:r>
            </w:hyperlink>
          </w:p>
        </w:tc>
        <w:tc>
          <w:tcPr>
            <w:tcW w:w="5905" w:type="dxa"/>
            <w:hideMark/>
          </w:tcPr>
          <w:p w14:paraId="3EBB5B3C" w14:textId="77777777" w:rsidR="006E54E7" w:rsidRPr="006E54E7" w:rsidRDefault="006E54E7" w:rsidP="006E54E7">
            <w:pPr>
              <w:pStyle w:val="SingleTxt"/>
              <w:tabs>
                <w:tab w:val="left" w:pos="288"/>
                <w:tab w:val="left" w:pos="576"/>
                <w:tab w:val="left" w:pos="864"/>
                <w:tab w:val="left" w:pos="1152"/>
              </w:tabs>
              <w:spacing w:before="40"/>
              <w:ind w:left="0" w:right="173"/>
              <w:rPr>
                <w:spacing w:val="0"/>
                <w:w w:val="100"/>
                <w:lang w:val="fr-CH"/>
              </w:rPr>
            </w:pPr>
            <w:r w:rsidRPr="006E54E7">
              <w:rPr>
                <w:spacing w:val="0"/>
                <w:w w:val="100"/>
                <w:lang w:val="fr-CH"/>
              </w:rPr>
              <w:t>Participation des femmes au développement</w:t>
            </w:r>
          </w:p>
        </w:tc>
      </w:tr>
      <w:tr w:rsidR="006E54E7" w:rsidRPr="002274DC" w14:paraId="71A897FD" w14:textId="77777777" w:rsidTr="00A301FE">
        <w:tc>
          <w:tcPr>
            <w:tcW w:w="1548" w:type="dxa"/>
            <w:hideMark/>
          </w:tcPr>
          <w:p w14:paraId="26AF9F41" w14:textId="593FA898" w:rsidR="006E54E7" w:rsidRPr="00065A5D" w:rsidRDefault="00D643E9" w:rsidP="00AF5984">
            <w:pPr>
              <w:pStyle w:val="SingleTxt"/>
              <w:tabs>
                <w:tab w:val="left" w:pos="288"/>
                <w:tab w:val="left" w:pos="576"/>
                <w:tab w:val="left" w:pos="864"/>
                <w:tab w:val="left" w:pos="1152"/>
              </w:tabs>
              <w:spacing w:before="40"/>
              <w:ind w:left="0" w:right="43"/>
              <w:rPr>
                <w:rStyle w:val="Lienhypertexte"/>
                <w:spacing w:val="0"/>
                <w:w w:val="100"/>
                <w:lang w:val="fr-CH"/>
              </w:rPr>
            </w:pPr>
            <w:hyperlink r:id="rId25" w:history="1">
              <w:r w:rsidR="006E54E7" w:rsidRPr="00065A5D">
                <w:rPr>
                  <w:rStyle w:val="Lienhypertexte"/>
                  <w:spacing w:val="0"/>
                  <w:w w:val="100"/>
                  <w:lang w:val="fr-CH"/>
                </w:rPr>
                <w:t>72/237</w:t>
              </w:r>
            </w:hyperlink>
          </w:p>
        </w:tc>
        <w:tc>
          <w:tcPr>
            <w:tcW w:w="5905" w:type="dxa"/>
            <w:hideMark/>
          </w:tcPr>
          <w:p w14:paraId="3A7D3D61" w14:textId="77777777" w:rsidR="006E54E7" w:rsidRPr="006E54E7" w:rsidRDefault="006E54E7" w:rsidP="006E54E7">
            <w:pPr>
              <w:pStyle w:val="SingleTxt"/>
              <w:tabs>
                <w:tab w:val="left" w:pos="288"/>
                <w:tab w:val="left" w:pos="576"/>
                <w:tab w:val="left" w:pos="864"/>
                <w:tab w:val="left" w:pos="1152"/>
              </w:tabs>
              <w:spacing w:before="40"/>
              <w:ind w:left="0" w:right="173"/>
              <w:rPr>
                <w:spacing w:val="0"/>
                <w:w w:val="100"/>
                <w:lang w:val="fr-CH"/>
              </w:rPr>
            </w:pPr>
            <w:r w:rsidRPr="006E54E7">
              <w:rPr>
                <w:spacing w:val="0"/>
                <w:w w:val="100"/>
                <w:lang w:val="fr-CH"/>
              </w:rPr>
              <w:t>Coopération Sud-Sud</w:t>
            </w:r>
          </w:p>
        </w:tc>
      </w:tr>
      <w:tr w:rsidR="006E54E7" w:rsidRPr="00860746" w14:paraId="2CCC482D" w14:textId="77777777" w:rsidTr="00A301FE">
        <w:tc>
          <w:tcPr>
            <w:tcW w:w="1548" w:type="dxa"/>
          </w:tcPr>
          <w:p w14:paraId="6BDBB85F" w14:textId="7A33C261" w:rsidR="006E54E7" w:rsidRPr="00065A5D" w:rsidRDefault="00D643E9" w:rsidP="00AF5984">
            <w:pPr>
              <w:pStyle w:val="SingleTxt"/>
              <w:tabs>
                <w:tab w:val="left" w:pos="288"/>
                <w:tab w:val="left" w:pos="576"/>
                <w:tab w:val="left" w:pos="864"/>
                <w:tab w:val="left" w:pos="1152"/>
              </w:tabs>
              <w:spacing w:before="40"/>
              <w:ind w:left="0" w:right="43"/>
              <w:rPr>
                <w:rStyle w:val="Lienhypertexte"/>
                <w:spacing w:val="0"/>
                <w:w w:val="100"/>
                <w:lang w:val="fr-CH"/>
              </w:rPr>
            </w:pPr>
            <w:hyperlink r:id="rId26" w:history="1">
              <w:r w:rsidR="006E54E7" w:rsidRPr="00065A5D">
                <w:rPr>
                  <w:rStyle w:val="Lienhypertexte"/>
                  <w:spacing w:val="0"/>
                  <w:w w:val="100"/>
                  <w:lang w:val="fr-CH"/>
                </w:rPr>
                <w:t>72/279</w:t>
              </w:r>
            </w:hyperlink>
          </w:p>
        </w:tc>
        <w:tc>
          <w:tcPr>
            <w:tcW w:w="5905" w:type="dxa"/>
          </w:tcPr>
          <w:p w14:paraId="673D1144" w14:textId="77777777" w:rsidR="006E54E7" w:rsidRPr="006E54E7" w:rsidRDefault="006E54E7" w:rsidP="006E54E7">
            <w:pPr>
              <w:pStyle w:val="SingleTxt"/>
              <w:tabs>
                <w:tab w:val="left" w:pos="288"/>
                <w:tab w:val="left" w:pos="576"/>
                <w:tab w:val="left" w:pos="864"/>
                <w:tab w:val="left" w:pos="1152"/>
              </w:tabs>
              <w:spacing w:before="40"/>
              <w:ind w:left="0" w:right="173"/>
              <w:rPr>
                <w:spacing w:val="0"/>
                <w:w w:val="100"/>
                <w:lang w:val="fr-CH"/>
              </w:rPr>
            </w:pPr>
            <w:r w:rsidRPr="006E54E7">
              <w:rPr>
                <w:spacing w:val="0"/>
                <w:w w:val="100"/>
                <w:lang w:val="fr-CH"/>
              </w:rPr>
              <w:t>Repositionnement du système des Nations Unies pour le développement dans le cadre de l</w:t>
            </w:r>
            <w:r w:rsidR="00455787">
              <w:rPr>
                <w:spacing w:val="0"/>
                <w:w w:val="100"/>
                <w:lang w:val="fr-CH"/>
              </w:rPr>
              <w:t>’</w:t>
            </w:r>
            <w:r w:rsidRPr="006E54E7">
              <w:rPr>
                <w:spacing w:val="0"/>
                <w:w w:val="100"/>
                <w:lang w:val="fr-CH"/>
              </w:rPr>
              <w:t>examen quadriennal complet des activités opérationnelles de développement du système des Nations Unies</w:t>
            </w:r>
          </w:p>
        </w:tc>
      </w:tr>
      <w:tr w:rsidR="006E54E7" w:rsidRPr="00860746" w14:paraId="694D7654" w14:textId="77777777" w:rsidTr="00A301FE">
        <w:tc>
          <w:tcPr>
            <w:tcW w:w="1548" w:type="dxa"/>
            <w:hideMark/>
          </w:tcPr>
          <w:p w14:paraId="33F9C475" w14:textId="2EB50A69" w:rsidR="006E54E7" w:rsidRPr="00065A5D" w:rsidRDefault="00D643E9" w:rsidP="00AF5984">
            <w:pPr>
              <w:pStyle w:val="SingleTxt"/>
              <w:tabs>
                <w:tab w:val="left" w:pos="288"/>
                <w:tab w:val="left" w:pos="576"/>
                <w:tab w:val="left" w:pos="864"/>
                <w:tab w:val="left" w:pos="1152"/>
              </w:tabs>
              <w:spacing w:before="40"/>
              <w:ind w:left="0" w:right="43"/>
              <w:rPr>
                <w:rStyle w:val="Lienhypertexte"/>
                <w:spacing w:val="0"/>
                <w:w w:val="100"/>
                <w:lang w:val="fr-CH"/>
              </w:rPr>
            </w:pPr>
            <w:hyperlink r:id="rId27" w:history="1">
              <w:r w:rsidR="006E54E7" w:rsidRPr="00065A5D">
                <w:rPr>
                  <w:rStyle w:val="Lienhypertexte"/>
                  <w:spacing w:val="0"/>
                  <w:w w:val="100"/>
                  <w:lang w:val="fr-CH"/>
                </w:rPr>
                <w:t>73/10</w:t>
              </w:r>
            </w:hyperlink>
          </w:p>
        </w:tc>
        <w:tc>
          <w:tcPr>
            <w:tcW w:w="5905" w:type="dxa"/>
            <w:hideMark/>
          </w:tcPr>
          <w:p w14:paraId="0FF29BBE" w14:textId="77777777" w:rsidR="006E54E7" w:rsidRPr="006E54E7" w:rsidRDefault="006E54E7" w:rsidP="006E54E7">
            <w:pPr>
              <w:pStyle w:val="SingleTxt"/>
              <w:tabs>
                <w:tab w:val="left" w:pos="288"/>
                <w:tab w:val="left" w:pos="576"/>
                <w:tab w:val="left" w:pos="864"/>
                <w:tab w:val="left" w:pos="1152"/>
              </w:tabs>
              <w:spacing w:before="40"/>
              <w:ind w:left="0" w:right="173"/>
              <w:rPr>
                <w:spacing w:val="0"/>
                <w:w w:val="100"/>
                <w:lang w:val="fr-CH"/>
              </w:rPr>
            </w:pPr>
            <w:r w:rsidRPr="006E54E7">
              <w:rPr>
                <w:spacing w:val="0"/>
                <w:w w:val="100"/>
                <w:lang w:val="fr-CH"/>
              </w:rPr>
              <w:t>Coopération entre l</w:t>
            </w:r>
            <w:r w:rsidR="00455787">
              <w:rPr>
                <w:spacing w:val="0"/>
                <w:w w:val="100"/>
                <w:lang w:val="fr-CH"/>
              </w:rPr>
              <w:t>’</w:t>
            </w:r>
            <w:r w:rsidRPr="006E54E7">
              <w:rPr>
                <w:spacing w:val="0"/>
                <w:w w:val="100"/>
                <w:lang w:val="fr-CH"/>
              </w:rPr>
              <w:t>Organisation des Nations Unies et l</w:t>
            </w:r>
            <w:r w:rsidR="00455787">
              <w:rPr>
                <w:spacing w:val="0"/>
                <w:w w:val="100"/>
                <w:lang w:val="fr-CH"/>
              </w:rPr>
              <w:t>’</w:t>
            </w:r>
            <w:r w:rsidRPr="006E54E7">
              <w:rPr>
                <w:spacing w:val="0"/>
                <w:w w:val="100"/>
                <w:lang w:val="fr-CH"/>
              </w:rPr>
              <w:t>Initiative de l</w:t>
            </w:r>
            <w:r w:rsidR="00455787">
              <w:rPr>
                <w:spacing w:val="0"/>
                <w:w w:val="100"/>
                <w:lang w:val="fr-CH"/>
              </w:rPr>
              <w:t>’</w:t>
            </w:r>
            <w:r w:rsidRPr="006E54E7">
              <w:rPr>
                <w:spacing w:val="0"/>
                <w:w w:val="100"/>
                <w:lang w:val="fr-CH"/>
              </w:rPr>
              <w:t>Europe centrale</w:t>
            </w:r>
          </w:p>
        </w:tc>
      </w:tr>
      <w:tr w:rsidR="006E54E7" w:rsidRPr="00860746" w14:paraId="541B071C" w14:textId="77777777" w:rsidTr="00A301FE">
        <w:tc>
          <w:tcPr>
            <w:tcW w:w="1548" w:type="dxa"/>
            <w:hideMark/>
          </w:tcPr>
          <w:p w14:paraId="5BC15818" w14:textId="725D2BB1" w:rsidR="006E54E7" w:rsidRPr="00065A5D" w:rsidRDefault="00D643E9" w:rsidP="00AF5984">
            <w:pPr>
              <w:pStyle w:val="SingleTxt"/>
              <w:tabs>
                <w:tab w:val="left" w:pos="288"/>
                <w:tab w:val="left" w:pos="576"/>
                <w:tab w:val="left" w:pos="864"/>
                <w:tab w:val="left" w:pos="1152"/>
              </w:tabs>
              <w:spacing w:before="40"/>
              <w:ind w:left="0" w:right="43"/>
              <w:rPr>
                <w:rStyle w:val="Lienhypertexte"/>
                <w:spacing w:val="0"/>
                <w:w w:val="100"/>
                <w:lang w:val="fr-CH"/>
              </w:rPr>
            </w:pPr>
            <w:hyperlink r:id="rId28" w:history="1">
              <w:r w:rsidR="006E54E7" w:rsidRPr="00065A5D">
                <w:rPr>
                  <w:rStyle w:val="Lienhypertexte"/>
                  <w:spacing w:val="0"/>
                  <w:w w:val="100"/>
                  <w:lang w:val="fr-CH"/>
                </w:rPr>
                <w:t>73/13</w:t>
              </w:r>
            </w:hyperlink>
          </w:p>
        </w:tc>
        <w:tc>
          <w:tcPr>
            <w:tcW w:w="5905" w:type="dxa"/>
            <w:hideMark/>
          </w:tcPr>
          <w:p w14:paraId="235D79EC" w14:textId="77777777" w:rsidR="006E54E7" w:rsidRPr="006E54E7" w:rsidRDefault="006E54E7" w:rsidP="006E54E7">
            <w:pPr>
              <w:pStyle w:val="SingleTxt"/>
              <w:tabs>
                <w:tab w:val="left" w:pos="288"/>
                <w:tab w:val="left" w:pos="576"/>
                <w:tab w:val="left" w:pos="864"/>
                <w:tab w:val="left" w:pos="1152"/>
              </w:tabs>
              <w:spacing w:before="40"/>
              <w:ind w:left="0" w:right="173"/>
              <w:rPr>
                <w:spacing w:val="0"/>
                <w:w w:val="100"/>
                <w:lang w:val="fr-CH"/>
              </w:rPr>
            </w:pPr>
            <w:r w:rsidRPr="006E54E7">
              <w:rPr>
                <w:spacing w:val="0"/>
                <w:w w:val="100"/>
                <w:lang w:val="fr-CH"/>
              </w:rPr>
              <w:t>Coopération entre l</w:t>
            </w:r>
            <w:r w:rsidR="00455787">
              <w:rPr>
                <w:spacing w:val="0"/>
                <w:w w:val="100"/>
                <w:lang w:val="fr-CH"/>
              </w:rPr>
              <w:t>’</w:t>
            </w:r>
            <w:r w:rsidRPr="006E54E7">
              <w:rPr>
                <w:spacing w:val="0"/>
                <w:w w:val="100"/>
                <w:lang w:val="fr-CH"/>
              </w:rPr>
              <w:t>Organisation des Nations Unies et l</w:t>
            </w:r>
            <w:r w:rsidR="00455787">
              <w:rPr>
                <w:spacing w:val="0"/>
                <w:w w:val="100"/>
                <w:lang w:val="fr-CH"/>
              </w:rPr>
              <w:t>’</w:t>
            </w:r>
            <w:r w:rsidRPr="006E54E7">
              <w:rPr>
                <w:spacing w:val="0"/>
                <w:w w:val="100"/>
                <w:lang w:val="fr-CH"/>
              </w:rPr>
              <w:t>Organisation de coopération économique de la mer Noire</w:t>
            </w:r>
          </w:p>
        </w:tc>
      </w:tr>
      <w:tr w:rsidR="006E54E7" w:rsidRPr="00860746" w14:paraId="65A44D16" w14:textId="77777777" w:rsidTr="00A301FE">
        <w:tc>
          <w:tcPr>
            <w:tcW w:w="1548" w:type="dxa"/>
            <w:hideMark/>
          </w:tcPr>
          <w:p w14:paraId="2BEC95BD" w14:textId="7B62256D" w:rsidR="006E54E7" w:rsidRPr="002274DC" w:rsidRDefault="00D643E9" w:rsidP="00AF5984">
            <w:pPr>
              <w:pStyle w:val="SingleTxt"/>
              <w:tabs>
                <w:tab w:val="left" w:pos="288"/>
                <w:tab w:val="left" w:pos="576"/>
                <w:tab w:val="left" w:pos="864"/>
                <w:tab w:val="left" w:pos="1152"/>
              </w:tabs>
              <w:spacing w:before="40"/>
              <w:ind w:left="0" w:right="43"/>
              <w:rPr>
                <w:lang w:val="fr-CH"/>
              </w:rPr>
            </w:pPr>
            <w:hyperlink r:id="rId29" w:history="1">
              <w:r w:rsidR="006E54E7" w:rsidRPr="00065A5D">
                <w:rPr>
                  <w:rStyle w:val="Lienhypertexte"/>
                  <w:spacing w:val="0"/>
                  <w:w w:val="100"/>
                  <w:lang w:val="fr-CH"/>
                </w:rPr>
                <w:t>73/14</w:t>
              </w:r>
            </w:hyperlink>
          </w:p>
        </w:tc>
        <w:tc>
          <w:tcPr>
            <w:tcW w:w="5905" w:type="dxa"/>
            <w:hideMark/>
          </w:tcPr>
          <w:p w14:paraId="2E3941F6" w14:textId="77777777" w:rsidR="006E54E7" w:rsidRPr="006E54E7" w:rsidRDefault="006E54E7" w:rsidP="006E54E7">
            <w:pPr>
              <w:pStyle w:val="SingleTxt"/>
              <w:tabs>
                <w:tab w:val="left" w:pos="288"/>
                <w:tab w:val="left" w:pos="576"/>
                <w:tab w:val="left" w:pos="864"/>
                <w:tab w:val="left" w:pos="1152"/>
              </w:tabs>
              <w:spacing w:before="40"/>
              <w:ind w:left="0" w:right="173"/>
              <w:rPr>
                <w:spacing w:val="0"/>
                <w:w w:val="100"/>
                <w:lang w:val="fr-CH"/>
              </w:rPr>
            </w:pPr>
            <w:r w:rsidRPr="006E54E7">
              <w:rPr>
                <w:spacing w:val="0"/>
                <w:w w:val="100"/>
                <w:lang w:val="fr-CH"/>
              </w:rPr>
              <w:t>Coopération entre l</w:t>
            </w:r>
            <w:r w:rsidR="00455787">
              <w:rPr>
                <w:spacing w:val="0"/>
                <w:w w:val="100"/>
                <w:lang w:val="fr-CH"/>
              </w:rPr>
              <w:t>’</w:t>
            </w:r>
            <w:r w:rsidRPr="006E54E7">
              <w:rPr>
                <w:spacing w:val="0"/>
                <w:w w:val="100"/>
                <w:lang w:val="fr-CH"/>
              </w:rPr>
              <w:t>Organisation des Nations Unies et l</w:t>
            </w:r>
            <w:r w:rsidR="00455787">
              <w:rPr>
                <w:spacing w:val="0"/>
                <w:w w:val="100"/>
                <w:lang w:val="fr-CH"/>
              </w:rPr>
              <w:t>’</w:t>
            </w:r>
            <w:r w:rsidRPr="006E54E7">
              <w:rPr>
                <w:spacing w:val="0"/>
                <w:w w:val="100"/>
                <w:lang w:val="fr-CH"/>
              </w:rPr>
              <w:t>Organisation pour la démocratie et le développement économique – GUAM</w:t>
            </w:r>
          </w:p>
        </w:tc>
      </w:tr>
      <w:tr w:rsidR="006E54E7" w:rsidRPr="00860746" w14:paraId="5E898585" w14:textId="77777777" w:rsidTr="00A301FE">
        <w:tc>
          <w:tcPr>
            <w:tcW w:w="1548" w:type="dxa"/>
            <w:hideMark/>
          </w:tcPr>
          <w:p w14:paraId="6B2E3336" w14:textId="7F42B7D0" w:rsidR="006E54E7" w:rsidRPr="002274DC" w:rsidRDefault="00D643E9" w:rsidP="00AF5984">
            <w:pPr>
              <w:pStyle w:val="SingleTxt"/>
              <w:tabs>
                <w:tab w:val="left" w:pos="288"/>
                <w:tab w:val="left" w:pos="576"/>
                <w:tab w:val="left" w:pos="864"/>
                <w:tab w:val="left" w:pos="1152"/>
              </w:tabs>
              <w:spacing w:before="40"/>
              <w:ind w:left="0" w:right="43"/>
              <w:rPr>
                <w:lang w:val="fr-CH"/>
              </w:rPr>
            </w:pPr>
            <w:hyperlink r:id="rId30" w:history="1">
              <w:r w:rsidR="006E54E7" w:rsidRPr="00065A5D">
                <w:rPr>
                  <w:rStyle w:val="Lienhypertexte"/>
                  <w:spacing w:val="0"/>
                  <w:w w:val="100"/>
                  <w:lang w:val="fr-CH"/>
                </w:rPr>
                <w:t>73/16</w:t>
              </w:r>
            </w:hyperlink>
          </w:p>
        </w:tc>
        <w:tc>
          <w:tcPr>
            <w:tcW w:w="5905" w:type="dxa"/>
            <w:hideMark/>
          </w:tcPr>
          <w:p w14:paraId="666F7FDF" w14:textId="77777777" w:rsidR="006E54E7" w:rsidRPr="006E54E7" w:rsidRDefault="006E54E7" w:rsidP="006E54E7">
            <w:pPr>
              <w:pStyle w:val="SingleTxt"/>
              <w:tabs>
                <w:tab w:val="left" w:pos="288"/>
                <w:tab w:val="left" w:pos="576"/>
                <w:tab w:val="left" w:pos="864"/>
                <w:tab w:val="left" w:pos="1152"/>
              </w:tabs>
              <w:spacing w:before="40"/>
              <w:ind w:left="0" w:right="173"/>
              <w:rPr>
                <w:spacing w:val="0"/>
                <w:w w:val="100"/>
                <w:lang w:val="fr-CH"/>
              </w:rPr>
            </w:pPr>
            <w:r w:rsidRPr="006E54E7">
              <w:rPr>
                <w:spacing w:val="0"/>
                <w:w w:val="100"/>
                <w:lang w:val="fr-CH"/>
              </w:rPr>
              <w:t>Coopération entre l</w:t>
            </w:r>
            <w:r w:rsidR="00455787">
              <w:rPr>
                <w:spacing w:val="0"/>
                <w:w w:val="100"/>
                <w:lang w:val="fr-CH"/>
              </w:rPr>
              <w:t>’</w:t>
            </w:r>
            <w:r w:rsidRPr="006E54E7">
              <w:rPr>
                <w:spacing w:val="0"/>
                <w:w w:val="100"/>
                <w:lang w:val="fr-CH"/>
              </w:rPr>
              <w:t>Organisation des Nations Unies et la Communauté d</w:t>
            </w:r>
            <w:r w:rsidR="00455787">
              <w:rPr>
                <w:spacing w:val="0"/>
                <w:w w:val="100"/>
                <w:lang w:val="fr-CH"/>
              </w:rPr>
              <w:t>’</w:t>
            </w:r>
            <w:r w:rsidRPr="006E54E7">
              <w:rPr>
                <w:spacing w:val="0"/>
                <w:w w:val="100"/>
                <w:lang w:val="fr-CH"/>
              </w:rPr>
              <w:t>États indépendants</w:t>
            </w:r>
          </w:p>
        </w:tc>
      </w:tr>
      <w:tr w:rsidR="006E54E7" w:rsidRPr="00860746" w14:paraId="72B8A327" w14:textId="77777777" w:rsidTr="00A301FE">
        <w:tc>
          <w:tcPr>
            <w:tcW w:w="1548" w:type="dxa"/>
            <w:hideMark/>
          </w:tcPr>
          <w:p w14:paraId="5CD434A7" w14:textId="3D929216" w:rsidR="006E54E7" w:rsidRPr="002274DC" w:rsidRDefault="00D643E9" w:rsidP="00AF5984">
            <w:pPr>
              <w:pStyle w:val="SingleTxt"/>
              <w:tabs>
                <w:tab w:val="left" w:pos="288"/>
                <w:tab w:val="left" w:pos="576"/>
                <w:tab w:val="left" w:pos="864"/>
                <w:tab w:val="left" w:pos="1152"/>
              </w:tabs>
              <w:spacing w:before="40"/>
              <w:ind w:left="0" w:right="43"/>
              <w:rPr>
                <w:lang w:val="fr-CH"/>
              </w:rPr>
            </w:pPr>
            <w:hyperlink r:id="rId31" w:history="1">
              <w:r w:rsidR="006E54E7" w:rsidRPr="00065A5D">
                <w:rPr>
                  <w:rStyle w:val="Lienhypertexte"/>
                  <w:spacing w:val="0"/>
                  <w:w w:val="100"/>
                  <w:lang w:val="fr-CH"/>
                </w:rPr>
                <w:t>73/195</w:t>
              </w:r>
            </w:hyperlink>
          </w:p>
        </w:tc>
        <w:tc>
          <w:tcPr>
            <w:tcW w:w="5905" w:type="dxa"/>
            <w:hideMark/>
          </w:tcPr>
          <w:p w14:paraId="53F4D5BD" w14:textId="77777777" w:rsidR="006E54E7" w:rsidRPr="006E54E7" w:rsidRDefault="006E54E7" w:rsidP="006E54E7">
            <w:pPr>
              <w:pStyle w:val="SingleTxt"/>
              <w:tabs>
                <w:tab w:val="left" w:pos="288"/>
                <w:tab w:val="left" w:pos="576"/>
                <w:tab w:val="left" w:pos="864"/>
                <w:tab w:val="left" w:pos="1152"/>
              </w:tabs>
              <w:spacing w:before="40"/>
              <w:ind w:left="0" w:right="173"/>
              <w:rPr>
                <w:spacing w:val="0"/>
                <w:w w:val="100"/>
                <w:lang w:val="fr-CH"/>
              </w:rPr>
            </w:pPr>
            <w:r w:rsidRPr="006E54E7">
              <w:rPr>
                <w:spacing w:val="0"/>
                <w:w w:val="100"/>
                <w:lang w:val="fr-CH"/>
              </w:rPr>
              <w:t>Pacte mondial pour des migrations sûres, ordonnées et régulières</w:t>
            </w:r>
          </w:p>
        </w:tc>
      </w:tr>
      <w:tr w:rsidR="006E54E7" w:rsidRPr="00860746" w14:paraId="1BFD6993" w14:textId="77777777" w:rsidTr="00A301FE">
        <w:tc>
          <w:tcPr>
            <w:tcW w:w="1548" w:type="dxa"/>
            <w:hideMark/>
          </w:tcPr>
          <w:p w14:paraId="3057F3CC" w14:textId="3AFB22A5" w:rsidR="006E54E7" w:rsidRPr="002274DC" w:rsidRDefault="00D643E9" w:rsidP="00AF5984">
            <w:pPr>
              <w:pStyle w:val="SingleTxt"/>
              <w:tabs>
                <w:tab w:val="left" w:pos="288"/>
                <w:tab w:val="left" w:pos="576"/>
                <w:tab w:val="left" w:pos="864"/>
                <w:tab w:val="left" w:pos="1152"/>
              </w:tabs>
              <w:spacing w:before="40"/>
              <w:ind w:left="0" w:right="43"/>
              <w:rPr>
                <w:lang w:val="fr-CH"/>
              </w:rPr>
            </w:pPr>
            <w:hyperlink r:id="rId32" w:history="1">
              <w:r w:rsidR="006E54E7" w:rsidRPr="00065A5D">
                <w:rPr>
                  <w:rStyle w:val="Lienhypertexte"/>
                  <w:spacing w:val="0"/>
                  <w:w w:val="100"/>
                  <w:lang w:val="fr-CH"/>
                </w:rPr>
                <w:t>73/231</w:t>
              </w:r>
            </w:hyperlink>
          </w:p>
        </w:tc>
        <w:tc>
          <w:tcPr>
            <w:tcW w:w="5905" w:type="dxa"/>
            <w:hideMark/>
          </w:tcPr>
          <w:p w14:paraId="3930B0DA" w14:textId="77777777" w:rsidR="006E54E7" w:rsidRPr="006E54E7" w:rsidRDefault="006E54E7" w:rsidP="006E54E7">
            <w:pPr>
              <w:pStyle w:val="SingleTxt"/>
              <w:tabs>
                <w:tab w:val="left" w:pos="288"/>
                <w:tab w:val="left" w:pos="576"/>
                <w:tab w:val="left" w:pos="864"/>
                <w:tab w:val="left" w:pos="1152"/>
              </w:tabs>
              <w:spacing w:before="40"/>
              <w:ind w:left="0" w:right="173"/>
              <w:rPr>
                <w:spacing w:val="0"/>
                <w:w w:val="100"/>
                <w:lang w:val="fr-CH"/>
              </w:rPr>
            </w:pPr>
            <w:r w:rsidRPr="006E54E7">
              <w:rPr>
                <w:spacing w:val="0"/>
                <w:w w:val="100"/>
                <w:lang w:val="fr-CH"/>
              </w:rPr>
              <w:t>Réduction des risques de catastrophe</w:t>
            </w:r>
          </w:p>
        </w:tc>
      </w:tr>
      <w:tr w:rsidR="006E54E7" w:rsidRPr="00860746" w14:paraId="4F5E9DC1" w14:textId="77777777" w:rsidTr="00A301FE">
        <w:tc>
          <w:tcPr>
            <w:tcW w:w="1548" w:type="dxa"/>
            <w:hideMark/>
          </w:tcPr>
          <w:p w14:paraId="63C7DFBA" w14:textId="4F6CE6D0" w:rsidR="006E54E7" w:rsidRPr="002274DC" w:rsidRDefault="00D643E9" w:rsidP="00AF5984">
            <w:pPr>
              <w:pStyle w:val="SingleTxt"/>
              <w:tabs>
                <w:tab w:val="left" w:pos="288"/>
                <w:tab w:val="left" w:pos="576"/>
                <w:tab w:val="left" w:pos="864"/>
                <w:tab w:val="left" w:pos="1152"/>
              </w:tabs>
              <w:spacing w:before="40"/>
              <w:ind w:left="0" w:right="43"/>
              <w:rPr>
                <w:lang w:val="fr-CH"/>
              </w:rPr>
            </w:pPr>
            <w:hyperlink r:id="rId33" w:history="1">
              <w:r w:rsidR="006E54E7" w:rsidRPr="00065A5D">
                <w:rPr>
                  <w:rStyle w:val="Lienhypertexte"/>
                  <w:spacing w:val="0"/>
                  <w:w w:val="100"/>
                  <w:lang w:val="fr-CH"/>
                </w:rPr>
                <w:t>73/236</w:t>
              </w:r>
            </w:hyperlink>
          </w:p>
        </w:tc>
        <w:tc>
          <w:tcPr>
            <w:tcW w:w="5905" w:type="dxa"/>
            <w:hideMark/>
          </w:tcPr>
          <w:p w14:paraId="05DECCAC" w14:textId="77777777" w:rsidR="006E54E7" w:rsidRPr="006E54E7" w:rsidRDefault="006E54E7" w:rsidP="006E54E7">
            <w:pPr>
              <w:pStyle w:val="SingleTxt"/>
              <w:tabs>
                <w:tab w:val="left" w:pos="288"/>
                <w:tab w:val="left" w:pos="576"/>
                <w:tab w:val="left" w:pos="864"/>
                <w:tab w:val="left" w:pos="1152"/>
              </w:tabs>
              <w:spacing w:before="40"/>
              <w:ind w:left="0" w:right="173"/>
              <w:rPr>
                <w:spacing w:val="0"/>
                <w:w w:val="100"/>
                <w:lang w:val="fr-CH"/>
              </w:rPr>
            </w:pPr>
            <w:r w:rsidRPr="006E54E7">
              <w:rPr>
                <w:spacing w:val="0"/>
                <w:w w:val="100"/>
                <w:lang w:val="fr-CH"/>
              </w:rPr>
              <w:t>Garantir l</w:t>
            </w:r>
            <w:r w:rsidR="00455787">
              <w:rPr>
                <w:spacing w:val="0"/>
                <w:w w:val="100"/>
                <w:lang w:val="fr-CH"/>
              </w:rPr>
              <w:t>’</w:t>
            </w:r>
            <w:r w:rsidRPr="006E54E7">
              <w:rPr>
                <w:spacing w:val="0"/>
                <w:w w:val="100"/>
                <w:lang w:val="fr-CH"/>
              </w:rPr>
              <w:t>accès de tous à des services énergétiques fiables, durables et modernes, à un coût abordable</w:t>
            </w:r>
          </w:p>
        </w:tc>
      </w:tr>
      <w:tr w:rsidR="006E54E7" w:rsidRPr="00860746" w14:paraId="40F0EE91" w14:textId="77777777" w:rsidTr="00A301FE">
        <w:tc>
          <w:tcPr>
            <w:tcW w:w="1548" w:type="dxa"/>
          </w:tcPr>
          <w:p w14:paraId="7BD6C296" w14:textId="1FDF8F5C" w:rsidR="006E54E7" w:rsidRPr="002274DC" w:rsidRDefault="00D643E9" w:rsidP="00AF5984">
            <w:pPr>
              <w:pStyle w:val="SingleTxt"/>
              <w:tabs>
                <w:tab w:val="left" w:pos="288"/>
                <w:tab w:val="left" w:pos="576"/>
                <w:tab w:val="left" w:pos="864"/>
                <w:tab w:val="left" w:pos="1152"/>
              </w:tabs>
              <w:spacing w:before="40"/>
              <w:ind w:left="0" w:right="43"/>
              <w:rPr>
                <w:lang w:val="fr-CH"/>
              </w:rPr>
            </w:pPr>
            <w:hyperlink r:id="rId34" w:history="1">
              <w:r w:rsidR="006E54E7" w:rsidRPr="00065A5D">
                <w:rPr>
                  <w:rStyle w:val="Lienhypertexte"/>
                  <w:spacing w:val="0"/>
                  <w:w w:val="100"/>
                  <w:lang w:val="fr-CH"/>
                </w:rPr>
                <w:t>74/216</w:t>
              </w:r>
            </w:hyperlink>
          </w:p>
        </w:tc>
        <w:tc>
          <w:tcPr>
            <w:tcW w:w="5905" w:type="dxa"/>
          </w:tcPr>
          <w:p w14:paraId="78F3EDA6" w14:textId="77777777" w:rsidR="006E54E7" w:rsidRPr="006E54E7" w:rsidRDefault="006E54E7" w:rsidP="006E54E7">
            <w:pPr>
              <w:pStyle w:val="SingleTxt"/>
              <w:tabs>
                <w:tab w:val="left" w:pos="288"/>
                <w:tab w:val="left" w:pos="576"/>
                <w:tab w:val="left" w:pos="864"/>
                <w:tab w:val="left" w:pos="1152"/>
              </w:tabs>
              <w:spacing w:before="40"/>
              <w:ind w:left="0" w:right="173"/>
              <w:rPr>
                <w:spacing w:val="0"/>
                <w:w w:val="100"/>
                <w:lang w:val="fr-CH"/>
              </w:rPr>
            </w:pPr>
            <w:r w:rsidRPr="006E54E7">
              <w:rPr>
                <w:spacing w:val="0"/>
                <w:w w:val="100"/>
                <w:lang w:val="fr-CH"/>
              </w:rPr>
              <w:t>Mise en œuvre d</w:t>
            </w:r>
            <w:r w:rsidR="00455787">
              <w:rPr>
                <w:spacing w:val="0"/>
                <w:w w:val="100"/>
                <w:lang w:val="fr-CH"/>
              </w:rPr>
              <w:t>’</w:t>
            </w:r>
            <w:r w:rsidRPr="006E54E7">
              <w:rPr>
                <w:spacing w:val="0"/>
                <w:w w:val="100"/>
                <w:lang w:val="fr-CH"/>
              </w:rPr>
              <w:t>Action 21, du Programme relatif à la poursuite de la mise en œuvre d</w:t>
            </w:r>
            <w:r w:rsidR="00455787">
              <w:rPr>
                <w:spacing w:val="0"/>
                <w:w w:val="100"/>
                <w:lang w:val="fr-CH"/>
              </w:rPr>
              <w:t>’</w:t>
            </w:r>
            <w:r w:rsidRPr="006E54E7">
              <w:rPr>
                <w:spacing w:val="0"/>
                <w:w w:val="100"/>
                <w:lang w:val="fr-CH"/>
              </w:rPr>
              <w:t>Action 21 et des textes issus du Sommet mondial pour le développement durable et de la Conférence des Nations Unies sur le développement durable</w:t>
            </w:r>
          </w:p>
        </w:tc>
      </w:tr>
      <w:tr w:rsidR="006E54E7" w:rsidRPr="00860746" w14:paraId="0915E9C8" w14:textId="77777777" w:rsidTr="00A301FE">
        <w:tc>
          <w:tcPr>
            <w:tcW w:w="7453" w:type="dxa"/>
            <w:gridSpan w:val="2"/>
            <w:hideMark/>
          </w:tcPr>
          <w:p w14:paraId="75FD14DA" w14:textId="77777777" w:rsidR="006E54E7" w:rsidRPr="006E54E7" w:rsidRDefault="006E54E7" w:rsidP="00AF5984">
            <w:pPr>
              <w:pStyle w:val="SingleTxt"/>
              <w:tabs>
                <w:tab w:val="left" w:pos="288"/>
                <w:tab w:val="left" w:pos="576"/>
                <w:tab w:val="left" w:pos="864"/>
                <w:tab w:val="left" w:pos="1152"/>
              </w:tabs>
              <w:spacing w:before="40"/>
              <w:ind w:left="0" w:right="173"/>
              <w:jc w:val="left"/>
              <w:rPr>
                <w:spacing w:val="0"/>
                <w:w w:val="100"/>
                <w:lang w:val="fr-CH"/>
              </w:rPr>
            </w:pPr>
            <w:r w:rsidRPr="006E54E7">
              <w:rPr>
                <w:i/>
                <w:iCs/>
                <w:spacing w:val="0"/>
                <w:w w:val="100"/>
                <w:lang w:val="fr-CH"/>
              </w:rPr>
              <w:t>Résolutions du Conseil économique et social</w:t>
            </w:r>
          </w:p>
        </w:tc>
      </w:tr>
      <w:tr w:rsidR="006E54E7" w:rsidRPr="00860746" w14:paraId="48591962" w14:textId="77777777" w:rsidTr="00A301FE">
        <w:tc>
          <w:tcPr>
            <w:tcW w:w="1548" w:type="dxa"/>
            <w:hideMark/>
          </w:tcPr>
          <w:p w14:paraId="28B6576D" w14:textId="77777777" w:rsidR="006E54E7" w:rsidRPr="002274DC" w:rsidRDefault="006E54E7" w:rsidP="00AF5984">
            <w:pPr>
              <w:pStyle w:val="SingleTxt"/>
              <w:tabs>
                <w:tab w:val="left" w:pos="288"/>
                <w:tab w:val="left" w:pos="576"/>
                <w:tab w:val="left" w:pos="864"/>
                <w:tab w:val="left" w:pos="1152"/>
              </w:tabs>
              <w:spacing w:before="40"/>
              <w:ind w:left="0" w:right="43"/>
              <w:rPr>
                <w:lang w:val="fr-CH"/>
              </w:rPr>
            </w:pPr>
            <w:r w:rsidRPr="00065A5D">
              <w:rPr>
                <w:rStyle w:val="Lienhypertexte"/>
                <w:spacing w:val="0"/>
                <w:w w:val="100"/>
                <w:lang w:val="fr-CH"/>
              </w:rPr>
              <w:t>1998/46</w:t>
            </w:r>
          </w:p>
        </w:tc>
        <w:tc>
          <w:tcPr>
            <w:tcW w:w="5905" w:type="dxa"/>
            <w:hideMark/>
          </w:tcPr>
          <w:p w14:paraId="7644CC28" w14:textId="77777777" w:rsidR="006E54E7" w:rsidRPr="006E54E7" w:rsidRDefault="006E54E7" w:rsidP="00AF5984">
            <w:pPr>
              <w:pStyle w:val="SingleTxt"/>
              <w:tabs>
                <w:tab w:val="left" w:pos="288"/>
                <w:tab w:val="left" w:pos="576"/>
                <w:tab w:val="left" w:pos="864"/>
                <w:tab w:val="left" w:pos="1152"/>
              </w:tabs>
              <w:spacing w:before="40"/>
              <w:ind w:left="0" w:right="173"/>
              <w:rPr>
                <w:spacing w:val="0"/>
                <w:w w:val="100"/>
                <w:lang w:val="fr-CH"/>
              </w:rPr>
            </w:pPr>
            <w:r w:rsidRPr="006E54E7">
              <w:rPr>
                <w:spacing w:val="0"/>
                <w:w w:val="100"/>
                <w:lang w:val="fr-CH"/>
              </w:rPr>
              <w:t>Mesures complémentaires pour restructurer et revitaliser l</w:t>
            </w:r>
            <w:r w:rsidR="00455787">
              <w:rPr>
                <w:spacing w:val="0"/>
                <w:w w:val="100"/>
                <w:lang w:val="fr-CH"/>
              </w:rPr>
              <w:t>’</w:t>
            </w:r>
            <w:r w:rsidRPr="006E54E7">
              <w:rPr>
                <w:spacing w:val="0"/>
                <w:w w:val="100"/>
                <w:lang w:val="fr-CH"/>
              </w:rPr>
              <w:t>Organisation des Nations Unies dans les domaines économique et social et les domaines connexes</w:t>
            </w:r>
          </w:p>
        </w:tc>
      </w:tr>
      <w:tr w:rsidR="006E54E7" w:rsidRPr="00860746" w14:paraId="68AA6783" w14:textId="77777777" w:rsidTr="00A301FE">
        <w:tc>
          <w:tcPr>
            <w:tcW w:w="1548" w:type="dxa"/>
            <w:hideMark/>
          </w:tcPr>
          <w:p w14:paraId="1D2FB260" w14:textId="77777777" w:rsidR="006E54E7" w:rsidRPr="002274DC" w:rsidRDefault="006E54E7" w:rsidP="00AF5984">
            <w:pPr>
              <w:pStyle w:val="SingleTxt"/>
              <w:tabs>
                <w:tab w:val="left" w:pos="288"/>
                <w:tab w:val="left" w:pos="576"/>
                <w:tab w:val="left" w:pos="864"/>
                <w:tab w:val="left" w:pos="1152"/>
              </w:tabs>
              <w:spacing w:before="40"/>
              <w:ind w:left="0" w:right="43"/>
              <w:rPr>
                <w:lang w:val="fr-CH"/>
              </w:rPr>
            </w:pPr>
            <w:r w:rsidRPr="00065A5D">
              <w:rPr>
                <w:rStyle w:val="Lienhypertexte"/>
                <w:spacing w:val="0"/>
                <w:w w:val="100"/>
                <w:lang w:val="fr-CH"/>
              </w:rPr>
              <w:t>2006/38</w:t>
            </w:r>
          </w:p>
        </w:tc>
        <w:tc>
          <w:tcPr>
            <w:tcW w:w="5905" w:type="dxa"/>
            <w:hideMark/>
          </w:tcPr>
          <w:p w14:paraId="49DAC452" w14:textId="77777777" w:rsidR="006E54E7" w:rsidRPr="006E54E7" w:rsidRDefault="006E54E7" w:rsidP="006E54E7">
            <w:pPr>
              <w:pStyle w:val="SingleTxt"/>
              <w:tabs>
                <w:tab w:val="left" w:pos="288"/>
                <w:tab w:val="left" w:pos="576"/>
                <w:tab w:val="left" w:pos="864"/>
                <w:tab w:val="left" w:pos="1152"/>
              </w:tabs>
              <w:spacing w:before="40"/>
              <w:ind w:left="0" w:right="173"/>
              <w:rPr>
                <w:spacing w:val="0"/>
                <w:w w:val="100"/>
                <w:lang w:val="fr-CH"/>
              </w:rPr>
            </w:pPr>
            <w:r w:rsidRPr="006E54E7">
              <w:rPr>
                <w:spacing w:val="0"/>
                <w:w w:val="100"/>
                <w:lang w:val="fr-CH"/>
              </w:rPr>
              <w:t>Plan de travail pour la réforme de la Commission économique pour l</w:t>
            </w:r>
            <w:r w:rsidR="00455787">
              <w:rPr>
                <w:spacing w:val="0"/>
                <w:w w:val="100"/>
                <w:lang w:val="fr-CH"/>
              </w:rPr>
              <w:t>’</w:t>
            </w:r>
            <w:r w:rsidRPr="006E54E7">
              <w:rPr>
                <w:spacing w:val="0"/>
                <w:w w:val="100"/>
                <w:lang w:val="fr-CH"/>
              </w:rPr>
              <w:t>Europe et mandat révisé de la Commission</w:t>
            </w:r>
          </w:p>
        </w:tc>
      </w:tr>
      <w:tr w:rsidR="006E54E7" w:rsidRPr="00860746" w14:paraId="76DC24CE" w14:textId="77777777" w:rsidTr="00A301FE">
        <w:tc>
          <w:tcPr>
            <w:tcW w:w="1548" w:type="dxa"/>
            <w:hideMark/>
          </w:tcPr>
          <w:p w14:paraId="6C51F1BE" w14:textId="5E8B6F12" w:rsidR="006E54E7" w:rsidRPr="002274DC" w:rsidRDefault="00D643E9" w:rsidP="00AF5984">
            <w:pPr>
              <w:pStyle w:val="SingleTxt"/>
              <w:tabs>
                <w:tab w:val="left" w:pos="288"/>
                <w:tab w:val="left" w:pos="576"/>
                <w:tab w:val="left" w:pos="864"/>
                <w:tab w:val="left" w:pos="1152"/>
              </w:tabs>
              <w:spacing w:before="40"/>
              <w:ind w:left="0" w:right="43"/>
              <w:rPr>
                <w:lang w:val="fr-CH"/>
              </w:rPr>
            </w:pPr>
            <w:hyperlink r:id="rId35" w:history="1">
              <w:r w:rsidR="006E54E7" w:rsidRPr="00065A5D">
                <w:rPr>
                  <w:rStyle w:val="Lienhypertexte"/>
                  <w:spacing w:val="0"/>
                  <w:w w:val="100"/>
                  <w:lang w:val="fr-CH"/>
                </w:rPr>
                <w:t>2013/1</w:t>
              </w:r>
            </w:hyperlink>
          </w:p>
        </w:tc>
        <w:tc>
          <w:tcPr>
            <w:tcW w:w="5905" w:type="dxa"/>
            <w:hideMark/>
          </w:tcPr>
          <w:p w14:paraId="1EB3E81B" w14:textId="77777777" w:rsidR="006E54E7" w:rsidRPr="006E54E7" w:rsidRDefault="006E54E7" w:rsidP="006E54E7">
            <w:pPr>
              <w:pStyle w:val="SingleTxt"/>
              <w:tabs>
                <w:tab w:val="left" w:pos="288"/>
                <w:tab w:val="left" w:pos="576"/>
                <w:tab w:val="left" w:pos="864"/>
                <w:tab w:val="left" w:pos="1152"/>
              </w:tabs>
              <w:spacing w:before="40"/>
              <w:ind w:left="0" w:right="173"/>
              <w:rPr>
                <w:spacing w:val="0"/>
                <w:w w:val="100"/>
                <w:lang w:val="fr-CH"/>
              </w:rPr>
            </w:pPr>
            <w:r w:rsidRPr="006E54E7">
              <w:rPr>
                <w:spacing w:val="0"/>
                <w:w w:val="100"/>
                <w:lang w:val="fr-CH"/>
              </w:rPr>
              <w:t>Résultat de l</w:t>
            </w:r>
            <w:r w:rsidR="00455787">
              <w:rPr>
                <w:spacing w:val="0"/>
                <w:w w:val="100"/>
                <w:lang w:val="fr-CH"/>
              </w:rPr>
              <w:t>’</w:t>
            </w:r>
            <w:r w:rsidRPr="006E54E7">
              <w:rPr>
                <w:spacing w:val="0"/>
                <w:w w:val="100"/>
                <w:lang w:val="fr-CH"/>
              </w:rPr>
              <w:t>examen de la réforme de 2005 de la Commission économique pour l</w:t>
            </w:r>
            <w:r w:rsidR="00455787">
              <w:rPr>
                <w:spacing w:val="0"/>
                <w:w w:val="100"/>
                <w:lang w:val="fr-CH"/>
              </w:rPr>
              <w:t>’</w:t>
            </w:r>
            <w:r w:rsidRPr="006E54E7">
              <w:rPr>
                <w:spacing w:val="0"/>
                <w:w w:val="100"/>
                <w:lang w:val="fr-CH"/>
              </w:rPr>
              <w:t>Europe</w:t>
            </w:r>
          </w:p>
        </w:tc>
      </w:tr>
      <w:tr w:rsidR="006E54E7" w:rsidRPr="00860746" w14:paraId="0EC8D7FF" w14:textId="77777777" w:rsidTr="00A301FE">
        <w:tc>
          <w:tcPr>
            <w:tcW w:w="1548" w:type="dxa"/>
          </w:tcPr>
          <w:p w14:paraId="767CDA3C" w14:textId="77777777" w:rsidR="006E54E7" w:rsidRPr="002274DC" w:rsidRDefault="006E54E7" w:rsidP="00AF5984">
            <w:pPr>
              <w:pStyle w:val="SingleTxt"/>
              <w:tabs>
                <w:tab w:val="left" w:pos="288"/>
                <w:tab w:val="left" w:pos="576"/>
                <w:tab w:val="left" w:pos="864"/>
                <w:tab w:val="left" w:pos="1152"/>
              </w:tabs>
              <w:spacing w:before="40"/>
              <w:ind w:left="0" w:right="43"/>
              <w:rPr>
                <w:lang w:val="fr-CH"/>
              </w:rPr>
            </w:pPr>
          </w:p>
        </w:tc>
        <w:tc>
          <w:tcPr>
            <w:tcW w:w="5905" w:type="dxa"/>
          </w:tcPr>
          <w:p w14:paraId="2ECD231D" w14:textId="77777777" w:rsidR="006E54E7" w:rsidRPr="002274DC" w:rsidRDefault="006E54E7" w:rsidP="00AF5984">
            <w:pPr>
              <w:pStyle w:val="SingleTxt"/>
              <w:tabs>
                <w:tab w:val="left" w:pos="288"/>
                <w:tab w:val="left" w:pos="576"/>
                <w:tab w:val="left" w:pos="864"/>
                <w:tab w:val="left" w:pos="1152"/>
              </w:tabs>
              <w:spacing w:before="40"/>
              <w:ind w:left="0" w:right="173"/>
              <w:jc w:val="left"/>
              <w:rPr>
                <w:lang w:val="fr-CH"/>
              </w:rPr>
            </w:pPr>
          </w:p>
        </w:tc>
      </w:tr>
      <w:tr w:rsidR="006E54E7" w:rsidRPr="00860746" w14:paraId="54AFB29D" w14:textId="77777777" w:rsidTr="00A301FE">
        <w:tc>
          <w:tcPr>
            <w:tcW w:w="7453" w:type="dxa"/>
            <w:gridSpan w:val="2"/>
            <w:hideMark/>
          </w:tcPr>
          <w:p w14:paraId="4A12F78D" w14:textId="77777777" w:rsidR="006E54E7" w:rsidRPr="002274DC" w:rsidRDefault="006E54E7" w:rsidP="00AF5984">
            <w:pPr>
              <w:pStyle w:val="SingleTxt"/>
              <w:tabs>
                <w:tab w:val="left" w:pos="288"/>
                <w:tab w:val="left" w:pos="576"/>
                <w:tab w:val="left" w:pos="864"/>
                <w:tab w:val="left" w:pos="1152"/>
              </w:tabs>
              <w:spacing w:before="40"/>
              <w:ind w:left="0" w:right="173"/>
              <w:jc w:val="left"/>
              <w:rPr>
                <w:lang w:val="fr-CH"/>
              </w:rPr>
            </w:pPr>
            <w:r w:rsidRPr="006E54E7">
              <w:rPr>
                <w:i/>
                <w:iCs/>
                <w:spacing w:val="0"/>
                <w:w w:val="100"/>
                <w:lang w:val="fr-CH"/>
              </w:rPr>
              <w:t>Décisions de la Commission économique pour l</w:t>
            </w:r>
            <w:r w:rsidR="00455787">
              <w:rPr>
                <w:i/>
                <w:iCs/>
                <w:spacing w:val="0"/>
                <w:w w:val="100"/>
                <w:lang w:val="fr-CH"/>
              </w:rPr>
              <w:t>’</w:t>
            </w:r>
            <w:r w:rsidRPr="006E54E7">
              <w:rPr>
                <w:i/>
                <w:iCs/>
                <w:spacing w:val="0"/>
                <w:w w:val="100"/>
                <w:lang w:val="fr-CH"/>
              </w:rPr>
              <w:t>Europe</w:t>
            </w:r>
            <w:r w:rsidRPr="002274DC">
              <w:rPr>
                <w:i/>
                <w:iCs/>
                <w:lang w:val="fr-CH"/>
              </w:rPr>
              <w:t xml:space="preserve"> </w:t>
            </w:r>
          </w:p>
        </w:tc>
      </w:tr>
      <w:tr w:rsidR="006E54E7" w:rsidRPr="00860746" w14:paraId="7B51E0A8" w14:textId="77777777" w:rsidTr="00A301FE">
        <w:trPr>
          <w:trHeight w:val="306"/>
        </w:trPr>
        <w:tc>
          <w:tcPr>
            <w:tcW w:w="1548" w:type="dxa"/>
            <w:hideMark/>
          </w:tcPr>
          <w:p w14:paraId="73641B6E" w14:textId="2630FDA7" w:rsidR="006E54E7" w:rsidRPr="00065A5D" w:rsidRDefault="00D643E9" w:rsidP="00AF5984">
            <w:pPr>
              <w:pStyle w:val="SingleTxt"/>
              <w:tabs>
                <w:tab w:val="left" w:pos="288"/>
                <w:tab w:val="left" w:pos="576"/>
                <w:tab w:val="left" w:pos="864"/>
                <w:tab w:val="left" w:pos="1152"/>
              </w:tabs>
              <w:spacing w:before="40"/>
              <w:ind w:left="0" w:right="43"/>
              <w:rPr>
                <w:spacing w:val="0"/>
                <w:w w:val="100"/>
                <w:lang w:val="fr-CH"/>
              </w:rPr>
            </w:pPr>
            <w:hyperlink r:id="rId36" w:history="1">
              <w:r w:rsidR="006E54E7" w:rsidRPr="00065A5D">
                <w:rPr>
                  <w:rStyle w:val="Lienhypertexte"/>
                  <w:spacing w:val="0"/>
                  <w:w w:val="100"/>
                  <w:lang w:val="fr-CH"/>
                </w:rPr>
                <w:t>A (64)</w:t>
              </w:r>
            </w:hyperlink>
          </w:p>
        </w:tc>
        <w:tc>
          <w:tcPr>
            <w:tcW w:w="5905" w:type="dxa"/>
            <w:hideMark/>
          </w:tcPr>
          <w:p w14:paraId="627D4877" w14:textId="77777777" w:rsidR="006E54E7" w:rsidRPr="006E54E7" w:rsidRDefault="006E54E7" w:rsidP="006E54E7">
            <w:pPr>
              <w:pStyle w:val="SingleTxt"/>
              <w:tabs>
                <w:tab w:val="left" w:pos="288"/>
                <w:tab w:val="left" w:pos="576"/>
                <w:tab w:val="left" w:pos="864"/>
                <w:tab w:val="left" w:pos="1152"/>
              </w:tabs>
              <w:spacing w:before="40"/>
              <w:ind w:left="0" w:right="173"/>
              <w:rPr>
                <w:spacing w:val="0"/>
                <w:w w:val="100"/>
                <w:lang w:val="fr-CH"/>
              </w:rPr>
            </w:pPr>
            <w:r w:rsidRPr="006E54E7">
              <w:rPr>
                <w:spacing w:val="0"/>
                <w:w w:val="100"/>
                <w:lang w:val="fr-CH"/>
              </w:rPr>
              <w:t>Les travaux de la Commission économique pour l</w:t>
            </w:r>
            <w:r w:rsidR="00455787">
              <w:rPr>
                <w:spacing w:val="0"/>
                <w:w w:val="100"/>
                <w:lang w:val="fr-CH"/>
              </w:rPr>
              <w:t>’</w:t>
            </w:r>
            <w:r w:rsidRPr="006E54E7">
              <w:rPr>
                <w:spacing w:val="0"/>
                <w:w w:val="100"/>
                <w:lang w:val="fr-CH"/>
              </w:rPr>
              <w:t>Europe</w:t>
            </w:r>
          </w:p>
        </w:tc>
      </w:tr>
      <w:tr w:rsidR="006E54E7" w:rsidRPr="00860746" w14:paraId="70D058A5" w14:textId="77777777" w:rsidTr="00A301FE">
        <w:tc>
          <w:tcPr>
            <w:tcW w:w="1548" w:type="dxa"/>
            <w:hideMark/>
          </w:tcPr>
          <w:p w14:paraId="0F248EA9" w14:textId="407FA9AA" w:rsidR="006E54E7" w:rsidRPr="002274DC" w:rsidRDefault="00D643E9" w:rsidP="00AF5984">
            <w:pPr>
              <w:pStyle w:val="SingleTxt"/>
              <w:tabs>
                <w:tab w:val="left" w:pos="288"/>
                <w:tab w:val="left" w:pos="576"/>
                <w:tab w:val="left" w:pos="864"/>
                <w:tab w:val="left" w:pos="1152"/>
              </w:tabs>
              <w:spacing w:before="40"/>
              <w:ind w:left="0" w:right="43"/>
              <w:rPr>
                <w:lang w:val="fr-CH"/>
              </w:rPr>
            </w:pPr>
            <w:hyperlink r:id="rId37" w:history="1">
              <w:r w:rsidR="006E54E7" w:rsidRPr="00065A5D">
                <w:rPr>
                  <w:rStyle w:val="Lienhypertexte"/>
                  <w:spacing w:val="0"/>
                  <w:w w:val="100"/>
                  <w:lang w:val="fr-CH"/>
                </w:rPr>
                <w:t>A (65)</w:t>
              </w:r>
            </w:hyperlink>
          </w:p>
        </w:tc>
        <w:tc>
          <w:tcPr>
            <w:tcW w:w="5905" w:type="dxa"/>
            <w:hideMark/>
          </w:tcPr>
          <w:p w14:paraId="0881A62A" w14:textId="77777777" w:rsidR="006E54E7" w:rsidRPr="006E54E7" w:rsidRDefault="006E54E7" w:rsidP="006E54E7">
            <w:pPr>
              <w:pStyle w:val="SingleTxt"/>
              <w:tabs>
                <w:tab w:val="left" w:pos="288"/>
                <w:tab w:val="left" w:pos="576"/>
                <w:tab w:val="left" w:pos="864"/>
                <w:tab w:val="left" w:pos="1152"/>
              </w:tabs>
              <w:spacing w:before="40"/>
              <w:ind w:left="0" w:right="173"/>
              <w:rPr>
                <w:spacing w:val="0"/>
                <w:w w:val="100"/>
                <w:lang w:val="fr-CH"/>
              </w:rPr>
            </w:pPr>
            <w:r w:rsidRPr="006E54E7">
              <w:rPr>
                <w:spacing w:val="0"/>
                <w:w w:val="100"/>
                <w:lang w:val="fr-CH"/>
              </w:rPr>
              <w:t>Résultat de l</w:t>
            </w:r>
            <w:r w:rsidR="00455787">
              <w:rPr>
                <w:spacing w:val="0"/>
                <w:w w:val="100"/>
                <w:lang w:val="fr-CH"/>
              </w:rPr>
              <w:t>’</w:t>
            </w:r>
            <w:r w:rsidRPr="006E54E7">
              <w:rPr>
                <w:spacing w:val="0"/>
                <w:w w:val="100"/>
                <w:lang w:val="fr-CH"/>
              </w:rPr>
              <w:t>examen de la réforme de 2005 de la CEE</w:t>
            </w:r>
          </w:p>
        </w:tc>
      </w:tr>
      <w:tr w:rsidR="006E54E7" w:rsidRPr="00860746" w14:paraId="618E4B61" w14:textId="77777777" w:rsidTr="00A301FE">
        <w:tc>
          <w:tcPr>
            <w:tcW w:w="1548" w:type="dxa"/>
            <w:hideMark/>
          </w:tcPr>
          <w:p w14:paraId="03E5A569" w14:textId="7C9CA8DC" w:rsidR="006E54E7" w:rsidRPr="002274DC" w:rsidRDefault="00D643E9" w:rsidP="00AF5984">
            <w:pPr>
              <w:pStyle w:val="SingleTxt"/>
              <w:tabs>
                <w:tab w:val="left" w:pos="288"/>
                <w:tab w:val="left" w:pos="576"/>
                <w:tab w:val="left" w:pos="864"/>
                <w:tab w:val="left" w:pos="1152"/>
              </w:tabs>
              <w:spacing w:before="40"/>
              <w:ind w:left="0" w:right="43"/>
              <w:rPr>
                <w:lang w:val="fr-CH"/>
              </w:rPr>
            </w:pPr>
            <w:hyperlink r:id="rId38" w:history="1">
              <w:r w:rsidR="006E54E7" w:rsidRPr="00065A5D">
                <w:rPr>
                  <w:rStyle w:val="Lienhypertexte"/>
                  <w:spacing w:val="0"/>
                  <w:w w:val="100"/>
                  <w:lang w:val="fr-CH"/>
                </w:rPr>
                <w:t>A (66)</w:t>
              </w:r>
            </w:hyperlink>
          </w:p>
        </w:tc>
        <w:tc>
          <w:tcPr>
            <w:tcW w:w="5905" w:type="dxa"/>
            <w:hideMark/>
          </w:tcPr>
          <w:p w14:paraId="1C075D2D" w14:textId="77777777" w:rsidR="006E54E7" w:rsidRPr="006E54E7" w:rsidRDefault="006E54E7" w:rsidP="006E54E7">
            <w:pPr>
              <w:pStyle w:val="SingleTxt"/>
              <w:tabs>
                <w:tab w:val="left" w:pos="288"/>
                <w:tab w:val="left" w:pos="576"/>
                <w:tab w:val="left" w:pos="864"/>
                <w:tab w:val="left" w:pos="1152"/>
              </w:tabs>
              <w:spacing w:before="40"/>
              <w:ind w:left="0" w:right="173"/>
              <w:rPr>
                <w:spacing w:val="0"/>
                <w:w w:val="100"/>
                <w:lang w:val="fr-CH"/>
              </w:rPr>
            </w:pPr>
            <w:r w:rsidRPr="006E54E7">
              <w:rPr>
                <w:spacing w:val="0"/>
                <w:w w:val="100"/>
                <w:lang w:val="fr-CH"/>
              </w:rPr>
              <w:t>Approbation de la Déclaration de haut niveau sur le programme de développement pour l</w:t>
            </w:r>
            <w:r w:rsidR="00455787">
              <w:rPr>
                <w:spacing w:val="0"/>
                <w:w w:val="100"/>
                <w:lang w:val="fr-CH"/>
              </w:rPr>
              <w:t>’</w:t>
            </w:r>
            <w:r w:rsidRPr="006E54E7">
              <w:rPr>
                <w:spacing w:val="0"/>
                <w:w w:val="100"/>
                <w:lang w:val="fr-CH"/>
              </w:rPr>
              <w:t>après-2015 et les objectifs de développement durable envisagés dans la région de la CEE</w:t>
            </w:r>
          </w:p>
        </w:tc>
      </w:tr>
      <w:tr w:rsidR="006E54E7" w:rsidRPr="00860746" w14:paraId="14B37689" w14:textId="77777777" w:rsidTr="00A301FE">
        <w:tc>
          <w:tcPr>
            <w:tcW w:w="1548" w:type="dxa"/>
            <w:hideMark/>
          </w:tcPr>
          <w:p w14:paraId="2AEEC5BF" w14:textId="2106F26A" w:rsidR="006E54E7" w:rsidRPr="002274DC" w:rsidRDefault="00D643E9" w:rsidP="00AF5984">
            <w:pPr>
              <w:pStyle w:val="SingleTxt"/>
              <w:tabs>
                <w:tab w:val="left" w:pos="288"/>
                <w:tab w:val="left" w:pos="576"/>
                <w:tab w:val="left" w:pos="864"/>
                <w:tab w:val="left" w:pos="1152"/>
              </w:tabs>
              <w:spacing w:before="40"/>
              <w:ind w:left="0" w:right="43"/>
              <w:rPr>
                <w:lang w:val="fr-CH"/>
              </w:rPr>
            </w:pPr>
            <w:hyperlink r:id="rId39" w:history="1">
              <w:r w:rsidR="006E54E7" w:rsidRPr="00065A5D">
                <w:rPr>
                  <w:rStyle w:val="Lienhypertexte"/>
                  <w:spacing w:val="0"/>
                  <w:w w:val="100"/>
                  <w:lang w:val="fr-CH"/>
                </w:rPr>
                <w:t>A (68)</w:t>
              </w:r>
            </w:hyperlink>
          </w:p>
        </w:tc>
        <w:tc>
          <w:tcPr>
            <w:tcW w:w="5905" w:type="dxa"/>
            <w:hideMark/>
          </w:tcPr>
          <w:p w14:paraId="2524ED61" w14:textId="77777777" w:rsidR="006E54E7" w:rsidRPr="006E54E7" w:rsidRDefault="006E54E7" w:rsidP="006E54E7">
            <w:pPr>
              <w:pStyle w:val="SingleTxt"/>
              <w:tabs>
                <w:tab w:val="left" w:pos="288"/>
                <w:tab w:val="left" w:pos="576"/>
                <w:tab w:val="left" w:pos="864"/>
                <w:tab w:val="left" w:pos="1152"/>
              </w:tabs>
              <w:spacing w:before="40"/>
              <w:ind w:left="0" w:right="173"/>
              <w:rPr>
                <w:spacing w:val="0"/>
                <w:w w:val="100"/>
                <w:lang w:val="fr-CH"/>
              </w:rPr>
            </w:pPr>
            <w:r w:rsidRPr="006E54E7">
              <w:rPr>
                <w:spacing w:val="0"/>
                <w:w w:val="100"/>
                <w:lang w:val="fr-CH"/>
              </w:rPr>
              <w:t>Adoption de la déclaration de haut niveau</w:t>
            </w:r>
          </w:p>
        </w:tc>
      </w:tr>
      <w:tr w:rsidR="006E54E7" w:rsidRPr="00860746" w14:paraId="370B18FD" w14:textId="77777777" w:rsidTr="00A301FE">
        <w:tc>
          <w:tcPr>
            <w:tcW w:w="1548" w:type="dxa"/>
            <w:hideMark/>
          </w:tcPr>
          <w:p w14:paraId="43D72682" w14:textId="228E94F7" w:rsidR="006E54E7" w:rsidRPr="002274DC" w:rsidRDefault="00D643E9" w:rsidP="00AF5984">
            <w:pPr>
              <w:pStyle w:val="SingleTxt"/>
              <w:tabs>
                <w:tab w:val="left" w:pos="288"/>
                <w:tab w:val="left" w:pos="576"/>
                <w:tab w:val="left" w:pos="864"/>
                <w:tab w:val="left" w:pos="1152"/>
              </w:tabs>
              <w:spacing w:before="40"/>
              <w:ind w:left="0" w:right="43"/>
              <w:rPr>
                <w:lang w:val="fr-CH"/>
              </w:rPr>
            </w:pPr>
            <w:hyperlink r:id="rId40" w:history="1">
              <w:r w:rsidR="006E54E7" w:rsidRPr="00065A5D">
                <w:rPr>
                  <w:rStyle w:val="Lienhypertexte"/>
                  <w:spacing w:val="0"/>
                  <w:w w:val="100"/>
                  <w:lang w:val="fr-CH"/>
                </w:rPr>
                <w:t>B (68)</w:t>
              </w:r>
            </w:hyperlink>
          </w:p>
        </w:tc>
        <w:tc>
          <w:tcPr>
            <w:tcW w:w="5905" w:type="dxa"/>
            <w:hideMark/>
          </w:tcPr>
          <w:p w14:paraId="2FED20AB" w14:textId="77777777" w:rsidR="006E54E7" w:rsidRPr="006E54E7" w:rsidRDefault="006E54E7" w:rsidP="006E54E7">
            <w:pPr>
              <w:pStyle w:val="SingleTxt"/>
              <w:tabs>
                <w:tab w:val="left" w:pos="288"/>
                <w:tab w:val="left" w:pos="576"/>
                <w:tab w:val="left" w:pos="864"/>
                <w:tab w:val="left" w:pos="1152"/>
              </w:tabs>
              <w:spacing w:before="40"/>
              <w:ind w:left="0" w:right="173"/>
              <w:rPr>
                <w:spacing w:val="0"/>
                <w:w w:val="100"/>
                <w:lang w:val="fr-CH"/>
              </w:rPr>
            </w:pPr>
            <w:r w:rsidRPr="006E54E7">
              <w:rPr>
                <w:spacing w:val="0"/>
                <w:w w:val="100"/>
                <w:lang w:val="fr-CH"/>
              </w:rPr>
              <w:t>Prolongation du mandat du Forum régional pour le développement durable</w:t>
            </w:r>
          </w:p>
        </w:tc>
      </w:tr>
    </w:tbl>
    <w:p w14:paraId="3FCA65B8" w14:textId="77777777" w:rsidR="004D6315" w:rsidRPr="002274DC" w:rsidRDefault="004D6315" w:rsidP="006E54E7">
      <w:pPr>
        <w:pStyle w:val="H1G"/>
      </w:pPr>
      <w:r w:rsidRPr="002274DC">
        <w:tab/>
        <w:t>B.</w:t>
      </w:r>
      <w:r w:rsidRPr="002274DC">
        <w:tab/>
        <w:t xml:space="preserve">Textes des organes délibérants définissant </w:t>
      </w:r>
      <w:r w:rsidR="006E54E7">
        <w:br/>
      </w:r>
      <w:r w:rsidRPr="002274DC">
        <w:t>les mandats du sous-programme</w:t>
      </w:r>
    </w:p>
    <w:p w14:paraId="52AD2C71" w14:textId="77777777" w:rsidR="004D6315" w:rsidRPr="002274DC" w:rsidRDefault="00065A5D" w:rsidP="00065A5D">
      <w:pPr>
        <w:pStyle w:val="H1G"/>
      </w:pPr>
      <w:r>
        <w:tab/>
      </w:r>
      <w:r>
        <w:tab/>
      </w:r>
      <w:r w:rsidR="004D6315" w:rsidRPr="002274DC">
        <w:t>Sous-programme 2</w:t>
      </w:r>
      <w:r>
        <w:t xml:space="preserve"> </w:t>
      </w:r>
      <w:r>
        <w:br/>
      </w:r>
      <w:r w:rsidR="004D6315" w:rsidRPr="002274DC">
        <w:t>Transports</w:t>
      </w:r>
    </w:p>
    <w:p w14:paraId="588EDAC5" w14:textId="77777777" w:rsidR="004D6315" w:rsidRDefault="004D6315" w:rsidP="00065A5D">
      <w:pPr>
        <w:pStyle w:val="H23G"/>
      </w:pPr>
      <w:r w:rsidRPr="002274DC">
        <w:tab/>
      </w:r>
      <w:r w:rsidRPr="002274DC">
        <w:tab/>
        <w:t>Textes des organes délibérants définissant les mandats</w:t>
      </w:r>
    </w:p>
    <w:tbl>
      <w:tblPr>
        <w:tblW w:w="0" w:type="auto"/>
        <w:tblInd w:w="1134" w:type="dxa"/>
        <w:tblCellMar>
          <w:left w:w="0" w:type="dxa"/>
          <w:right w:w="0" w:type="dxa"/>
        </w:tblCellMar>
        <w:tblLook w:val="04A0" w:firstRow="1" w:lastRow="0" w:firstColumn="1" w:lastColumn="0" w:noHBand="0" w:noVBand="1"/>
      </w:tblPr>
      <w:tblGrid>
        <w:gridCol w:w="3013"/>
        <w:gridCol w:w="4706"/>
      </w:tblGrid>
      <w:tr w:rsidR="00065A5D" w:rsidRPr="002274DC" w14:paraId="67B63FF6" w14:textId="77777777" w:rsidTr="003B50AA">
        <w:tc>
          <w:tcPr>
            <w:tcW w:w="7719" w:type="dxa"/>
            <w:gridSpan w:val="2"/>
            <w:hideMark/>
          </w:tcPr>
          <w:p w14:paraId="7B6B8ABC" w14:textId="77777777" w:rsidR="00065A5D" w:rsidRPr="00065A5D" w:rsidRDefault="00065A5D" w:rsidP="00AF5984">
            <w:pPr>
              <w:pStyle w:val="SingleTxt"/>
              <w:tabs>
                <w:tab w:val="left" w:pos="288"/>
                <w:tab w:val="left" w:pos="576"/>
                <w:tab w:val="left" w:pos="864"/>
                <w:tab w:val="left" w:pos="1152"/>
              </w:tabs>
              <w:spacing w:before="40"/>
              <w:ind w:left="0" w:right="40"/>
              <w:rPr>
                <w:spacing w:val="0"/>
                <w:w w:val="100"/>
                <w:lang w:val="fr-CH"/>
              </w:rPr>
            </w:pPr>
            <w:r w:rsidRPr="00065A5D">
              <w:rPr>
                <w:i/>
                <w:spacing w:val="0"/>
                <w:w w:val="100"/>
                <w:lang w:val="fr-CH"/>
              </w:rPr>
              <w:t>Résolutions de l</w:t>
            </w:r>
            <w:r w:rsidR="00455787">
              <w:rPr>
                <w:i/>
                <w:spacing w:val="0"/>
                <w:w w:val="100"/>
                <w:lang w:val="fr-CH"/>
              </w:rPr>
              <w:t>’</w:t>
            </w:r>
            <w:r w:rsidRPr="00065A5D">
              <w:rPr>
                <w:i/>
                <w:spacing w:val="0"/>
                <w:w w:val="100"/>
                <w:lang w:val="fr-CH"/>
              </w:rPr>
              <w:t>Assemblée générale</w:t>
            </w:r>
          </w:p>
        </w:tc>
      </w:tr>
      <w:tr w:rsidR="00065A5D" w:rsidRPr="002274DC" w14:paraId="6C0266A7" w14:textId="77777777" w:rsidTr="003B50AA">
        <w:tc>
          <w:tcPr>
            <w:tcW w:w="3013" w:type="dxa"/>
            <w:hideMark/>
          </w:tcPr>
          <w:p w14:paraId="55C0AF56" w14:textId="52F59402" w:rsidR="00065A5D" w:rsidRPr="002274DC" w:rsidRDefault="00D643E9" w:rsidP="00AF5984">
            <w:pPr>
              <w:pStyle w:val="SingleTxt"/>
              <w:tabs>
                <w:tab w:val="left" w:pos="288"/>
                <w:tab w:val="left" w:pos="576"/>
                <w:tab w:val="left" w:pos="864"/>
                <w:tab w:val="left" w:pos="1152"/>
              </w:tabs>
              <w:spacing w:before="40"/>
              <w:ind w:left="0" w:right="40"/>
              <w:rPr>
                <w:lang w:val="fr-CH"/>
              </w:rPr>
            </w:pPr>
            <w:hyperlink r:id="rId41" w:history="1">
              <w:r w:rsidR="00065A5D" w:rsidRPr="00065A5D">
                <w:rPr>
                  <w:rStyle w:val="Lienhypertexte"/>
                  <w:spacing w:val="0"/>
                  <w:w w:val="100"/>
                  <w:lang w:val="fr-CH"/>
                </w:rPr>
                <w:t>58/9</w:t>
              </w:r>
            </w:hyperlink>
          </w:p>
        </w:tc>
        <w:tc>
          <w:tcPr>
            <w:tcW w:w="4706" w:type="dxa"/>
            <w:hideMark/>
          </w:tcPr>
          <w:p w14:paraId="5C135074" w14:textId="77777777" w:rsidR="00065A5D" w:rsidRPr="00065A5D" w:rsidRDefault="00065A5D" w:rsidP="003B50AA">
            <w:pPr>
              <w:pStyle w:val="SingleTxt"/>
              <w:tabs>
                <w:tab w:val="left" w:pos="288"/>
                <w:tab w:val="left" w:pos="576"/>
                <w:tab w:val="left" w:pos="864"/>
                <w:tab w:val="left" w:pos="1152"/>
              </w:tabs>
              <w:spacing w:before="40"/>
              <w:ind w:left="57" w:right="176"/>
              <w:jc w:val="left"/>
              <w:rPr>
                <w:spacing w:val="0"/>
                <w:w w:val="100"/>
                <w:lang w:val="fr-CH"/>
              </w:rPr>
            </w:pPr>
            <w:r w:rsidRPr="00065A5D">
              <w:rPr>
                <w:spacing w:val="0"/>
                <w:w w:val="100"/>
                <w:lang w:val="fr-CH"/>
              </w:rPr>
              <w:t>Crise mondiale de la sécurité routière</w:t>
            </w:r>
          </w:p>
        </w:tc>
      </w:tr>
      <w:tr w:rsidR="00065A5D" w:rsidRPr="002274DC" w14:paraId="379B176E" w14:textId="77777777" w:rsidTr="003B50AA">
        <w:tc>
          <w:tcPr>
            <w:tcW w:w="3013" w:type="dxa"/>
            <w:hideMark/>
          </w:tcPr>
          <w:p w14:paraId="3328FFD1" w14:textId="323BE71F" w:rsidR="00065A5D" w:rsidRPr="002274DC" w:rsidRDefault="00D643E9" w:rsidP="00AF5984">
            <w:pPr>
              <w:pStyle w:val="SingleTxt"/>
              <w:tabs>
                <w:tab w:val="left" w:pos="288"/>
                <w:tab w:val="left" w:pos="576"/>
                <w:tab w:val="left" w:pos="864"/>
                <w:tab w:val="left" w:pos="1152"/>
              </w:tabs>
              <w:spacing w:before="40"/>
              <w:ind w:left="0" w:right="40"/>
              <w:rPr>
                <w:lang w:val="fr-CH"/>
              </w:rPr>
            </w:pPr>
            <w:hyperlink r:id="rId42" w:history="1">
              <w:r w:rsidR="00065A5D" w:rsidRPr="00065A5D">
                <w:rPr>
                  <w:rStyle w:val="Lienhypertexte"/>
                  <w:spacing w:val="0"/>
                  <w:w w:val="100"/>
                  <w:lang w:val="fr-CH"/>
                </w:rPr>
                <w:t>68/269</w:t>
              </w:r>
            </w:hyperlink>
          </w:p>
        </w:tc>
        <w:tc>
          <w:tcPr>
            <w:tcW w:w="4706" w:type="dxa"/>
            <w:hideMark/>
          </w:tcPr>
          <w:p w14:paraId="46EAC52D" w14:textId="77777777" w:rsidR="00065A5D" w:rsidRPr="002274DC" w:rsidRDefault="00065A5D" w:rsidP="003B50AA">
            <w:pPr>
              <w:pStyle w:val="SingleTxt"/>
              <w:tabs>
                <w:tab w:val="left" w:pos="288"/>
                <w:tab w:val="left" w:pos="576"/>
                <w:tab w:val="left" w:pos="864"/>
                <w:tab w:val="left" w:pos="1152"/>
              </w:tabs>
              <w:spacing w:before="40"/>
              <w:ind w:left="57" w:right="176"/>
              <w:jc w:val="left"/>
              <w:rPr>
                <w:lang w:val="fr-CH"/>
              </w:rPr>
            </w:pPr>
            <w:r w:rsidRPr="00065A5D">
              <w:rPr>
                <w:spacing w:val="0"/>
                <w:w w:val="100"/>
                <w:lang w:val="fr-CH"/>
              </w:rPr>
              <w:t>Amélioration de la sécurité routière mondiale</w:t>
            </w:r>
          </w:p>
        </w:tc>
      </w:tr>
      <w:tr w:rsidR="00065A5D" w:rsidRPr="002274DC" w14:paraId="494C497B" w14:textId="77777777" w:rsidTr="003B50AA">
        <w:tc>
          <w:tcPr>
            <w:tcW w:w="3013" w:type="dxa"/>
            <w:hideMark/>
          </w:tcPr>
          <w:p w14:paraId="53DEA6C2" w14:textId="3F1E544C" w:rsidR="00065A5D" w:rsidRPr="002274DC" w:rsidRDefault="00D643E9" w:rsidP="00AF5984">
            <w:pPr>
              <w:pStyle w:val="SingleTxt"/>
              <w:tabs>
                <w:tab w:val="left" w:pos="288"/>
                <w:tab w:val="left" w:pos="576"/>
                <w:tab w:val="left" w:pos="864"/>
                <w:tab w:val="left" w:pos="1152"/>
              </w:tabs>
              <w:spacing w:before="40"/>
              <w:ind w:left="0" w:right="40"/>
              <w:rPr>
                <w:lang w:val="fr-CH"/>
              </w:rPr>
            </w:pPr>
            <w:hyperlink r:id="rId43" w:history="1">
              <w:r w:rsidR="00065A5D" w:rsidRPr="00065A5D">
                <w:rPr>
                  <w:rStyle w:val="Lienhypertexte"/>
                  <w:spacing w:val="0"/>
                  <w:w w:val="100"/>
                  <w:lang w:val="fr-CH"/>
                </w:rPr>
                <w:t>69/137</w:t>
              </w:r>
            </w:hyperlink>
          </w:p>
        </w:tc>
        <w:tc>
          <w:tcPr>
            <w:tcW w:w="4706" w:type="dxa"/>
            <w:hideMark/>
          </w:tcPr>
          <w:p w14:paraId="1FB04B7A" w14:textId="77777777" w:rsidR="00065A5D" w:rsidRPr="002274DC" w:rsidRDefault="00065A5D" w:rsidP="003B50AA">
            <w:pPr>
              <w:pStyle w:val="SingleTxt"/>
              <w:tabs>
                <w:tab w:val="left" w:pos="288"/>
                <w:tab w:val="left" w:pos="576"/>
                <w:tab w:val="left" w:pos="864"/>
                <w:tab w:val="left" w:pos="1152"/>
              </w:tabs>
              <w:spacing w:before="40"/>
              <w:ind w:left="57" w:right="176"/>
              <w:jc w:val="left"/>
              <w:rPr>
                <w:lang w:val="fr-CH"/>
              </w:rPr>
            </w:pPr>
            <w:r w:rsidRPr="00065A5D">
              <w:rPr>
                <w:spacing w:val="0"/>
                <w:w w:val="100"/>
                <w:lang w:val="fr-CH"/>
              </w:rPr>
              <w:t>Programme d</w:t>
            </w:r>
            <w:r w:rsidR="00455787">
              <w:rPr>
                <w:spacing w:val="0"/>
                <w:w w:val="100"/>
                <w:lang w:val="fr-CH"/>
              </w:rPr>
              <w:t>’</w:t>
            </w:r>
            <w:r w:rsidRPr="00065A5D">
              <w:rPr>
                <w:spacing w:val="0"/>
                <w:w w:val="100"/>
                <w:lang w:val="fr-CH"/>
              </w:rPr>
              <w:t>action en faveur des pays en développement sans littoral pour la décennie 2014</w:t>
            </w:r>
            <w:r w:rsidR="003B50AA">
              <w:rPr>
                <w:spacing w:val="0"/>
                <w:w w:val="100"/>
                <w:lang w:val="fr-CH"/>
              </w:rPr>
              <w:noBreakHyphen/>
            </w:r>
            <w:r w:rsidRPr="00065A5D">
              <w:rPr>
                <w:spacing w:val="0"/>
                <w:w w:val="100"/>
                <w:lang w:val="fr-CH"/>
              </w:rPr>
              <w:t>2024</w:t>
            </w:r>
          </w:p>
        </w:tc>
      </w:tr>
      <w:tr w:rsidR="00065A5D" w:rsidRPr="002274DC" w14:paraId="5F2B2953" w14:textId="77777777" w:rsidTr="003B50AA">
        <w:tc>
          <w:tcPr>
            <w:tcW w:w="3013" w:type="dxa"/>
            <w:hideMark/>
          </w:tcPr>
          <w:p w14:paraId="0EABDC70" w14:textId="0994BEC1" w:rsidR="00065A5D" w:rsidRPr="002274DC" w:rsidRDefault="00D643E9" w:rsidP="00AF5984">
            <w:pPr>
              <w:pStyle w:val="SingleTxt"/>
              <w:tabs>
                <w:tab w:val="left" w:pos="288"/>
                <w:tab w:val="left" w:pos="576"/>
                <w:tab w:val="left" w:pos="864"/>
                <w:tab w:val="left" w:pos="1152"/>
              </w:tabs>
              <w:spacing w:before="40"/>
              <w:ind w:left="0" w:right="40"/>
              <w:rPr>
                <w:lang w:val="fr-CH"/>
              </w:rPr>
            </w:pPr>
            <w:hyperlink r:id="rId44" w:history="1">
              <w:r w:rsidR="00065A5D" w:rsidRPr="00065A5D">
                <w:rPr>
                  <w:rStyle w:val="Lienhypertexte"/>
                  <w:spacing w:val="0"/>
                  <w:w w:val="100"/>
                  <w:lang w:val="fr-CH"/>
                </w:rPr>
                <w:t>69/213</w:t>
              </w:r>
            </w:hyperlink>
          </w:p>
        </w:tc>
        <w:tc>
          <w:tcPr>
            <w:tcW w:w="4706" w:type="dxa"/>
            <w:hideMark/>
          </w:tcPr>
          <w:p w14:paraId="7234659D" w14:textId="77777777" w:rsidR="00065A5D" w:rsidRPr="002274DC" w:rsidRDefault="00065A5D" w:rsidP="003B50AA">
            <w:pPr>
              <w:pStyle w:val="SingleTxt"/>
              <w:tabs>
                <w:tab w:val="left" w:pos="288"/>
                <w:tab w:val="left" w:pos="576"/>
                <w:tab w:val="left" w:pos="864"/>
                <w:tab w:val="left" w:pos="1152"/>
              </w:tabs>
              <w:spacing w:before="40"/>
              <w:ind w:left="57" w:right="176"/>
              <w:jc w:val="left"/>
              <w:rPr>
                <w:lang w:val="fr-CH"/>
              </w:rPr>
            </w:pPr>
            <w:r w:rsidRPr="00065A5D">
              <w:rPr>
                <w:spacing w:val="0"/>
                <w:w w:val="100"/>
                <w:lang w:val="fr-CH"/>
              </w:rPr>
              <w:t>Le rôle des couloirs de transport et de transit en matière de coopération internationale et de développement durable</w:t>
            </w:r>
          </w:p>
        </w:tc>
      </w:tr>
      <w:tr w:rsidR="00065A5D" w:rsidRPr="002274DC" w14:paraId="1BE9A472" w14:textId="77777777" w:rsidTr="003B50AA">
        <w:tc>
          <w:tcPr>
            <w:tcW w:w="3013" w:type="dxa"/>
            <w:hideMark/>
          </w:tcPr>
          <w:p w14:paraId="15DD4792" w14:textId="2A66AF1B" w:rsidR="00065A5D" w:rsidRPr="002274DC" w:rsidRDefault="00D643E9" w:rsidP="00AF5984">
            <w:pPr>
              <w:pStyle w:val="SingleTxt"/>
              <w:tabs>
                <w:tab w:val="left" w:pos="288"/>
                <w:tab w:val="left" w:pos="576"/>
                <w:tab w:val="left" w:pos="864"/>
                <w:tab w:val="left" w:pos="1152"/>
              </w:tabs>
              <w:spacing w:before="40"/>
              <w:ind w:left="0" w:right="40"/>
              <w:rPr>
                <w:lang w:val="fr-CH"/>
              </w:rPr>
            </w:pPr>
            <w:hyperlink r:id="rId45" w:history="1">
              <w:r w:rsidR="00065A5D" w:rsidRPr="00065A5D">
                <w:rPr>
                  <w:rStyle w:val="Lienhypertexte"/>
                  <w:spacing w:val="0"/>
                  <w:w w:val="100"/>
                  <w:lang w:val="fr-CH"/>
                </w:rPr>
                <w:t>70/197</w:t>
              </w:r>
            </w:hyperlink>
          </w:p>
        </w:tc>
        <w:tc>
          <w:tcPr>
            <w:tcW w:w="4706" w:type="dxa"/>
            <w:hideMark/>
          </w:tcPr>
          <w:p w14:paraId="650F6D86" w14:textId="77777777" w:rsidR="00065A5D" w:rsidRPr="002274DC" w:rsidRDefault="00065A5D" w:rsidP="003B50AA">
            <w:pPr>
              <w:pStyle w:val="SingleTxt"/>
              <w:tabs>
                <w:tab w:val="left" w:pos="288"/>
                <w:tab w:val="left" w:pos="576"/>
                <w:tab w:val="left" w:pos="864"/>
                <w:tab w:val="left" w:pos="1152"/>
              </w:tabs>
              <w:spacing w:before="40"/>
              <w:ind w:left="57" w:right="176"/>
              <w:jc w:val="left"/>
              <w:rPr>
                <w:lang w:val="fr-CH"/>
              </w:rPr>
            </w:pPr>
            <w:r w:rsidRPr="00065A5D">
              <w:rPr>
                <w:spacing w:val="0"/>
                <w:w w:val="100"/>
                <w:lang w:val="fr-CH"/>
              </w:rPr>
              <w:t>Vers une coopération de tous les acteurs du secteur des transports pour la promotion de couloirs de transit multimodal durables</w:t>
            </w:r>
          </w:p>
        </w:tc>
      </w:tr>
      <w:tr w:rsidR="00065A5D" w:rsidRPr="002274DC" w14:paraId="3B4CB78B" w14:textId="77777777" w:rsidTr="003B50AA">
        <w:tc>
          <w:tcPr>
            <w:tcW w:w="3013" w:type="dxa"/>
            <w:hideMark/>
          </w:tcPr>
          <w:p w14:paraId="6D565911" w14:textId="4058731A" w:rsidR="00065A5D" w:rsidRPr="002274DC" w:rsidRDefault="00D643E9" w:rsidP="00AF5984">
            <w:pPr>
              <w:pStyle w:val="SingleTxt"/>
              <w:tabs>
                <w:tab w:val="left" w:pos="288"/>
                <w:tab w:val="left" w:pos="576"/>
                <w:tab w:val="left" w:pos="864"/>
                <w:tab w:val="left" w:pos="1152"/>
              </w:tabs>
              <w:spacing w:before="40"/>
              <w:ind w:left="0" w:right="40"/>
              <w:rPr>
                <w:lang w:val="fr-CH"/>
              </w:rPr>
            </w:pPr>
            <w:hyperlink r:id="rId46" w:history="1">
              <w:r w:rsidR="00065A5D" w:rsidRPr="00065A5D">
                <w:rPr>
                  <w:rStyle w:val="Lienhypertexte"/>
                  <w:spacing w:val="0"/>
                  <w:w w:val="100"/>
                  <w:lang w:val="fr-CH"/>
                </w:rPr>
                <w:t>70/217</w:t>
              </w:r>
            </w:hyperlink>
          </w:p>
        </w:tc>
        <w:tc>
          <w:tcPr>
            <w:tcW w:w="4706" w:type="dxa"/>
            <w:hideMark/>
          </w:tcPr>
          <w:p w14:paraId="24A3CF19" w14:textId="77777777" w:rsidR="00065A5D" w:rsidRPr="002274DC" w:rsidRDefault="00065A5D" w:rsidP="003B50AA">
            <w:pPr>
              <w:pStyle w:val="SingleTxt"/>
              <w:tabs>
                <w:tab w:val="left" w:pos="288"/>
                <w:tab w:val="left" w:pos="576"/>
                <w:tab w:val="left" w:pos="864"/>
                <w:tab w:val="left" w:pos="1152"/>
              </w:tabs>
              <w:spacing w:before="40"/>
              <w:ind w:left="57" w:right="176"/>
              <w:jc w:val="left"/>
              <w:rPr>
                <w:lang w:val="fr-CH"/>
              </w:rPr>
            </w:pPr>
            <w:r w:rsidRPr="00065A5D">
              <w:rPr>
                <w:spacing w:val="0"/>
                <w:w w:val="100"/>
                <w:lang w:val="fr-CH"/>
              </w:rPr>
              <w:t>Suivi de la deuxième Conférence des Nations Unies sur les pays en développement sans littoral</w:t>
            </w:r>
          </w:p>
        </w:tc>
      </w:tr>
      <w:tr w:rsidR="00065A5D" w:rsidRPr="002274DC" w14:paraId="206C600F" w14:textId="77777777" w:rsidTr="003B50AA">
        <w:tc>
          <w:tcPr>
            <w:tcW w:w="3013" w:type="dxa"/>
            <w:hideMark/>
          </w:tcPr>
          <w:p w14:paraId="092A1196" w14:textId="1C44938D" w:rsidR="00065A5D" w:rsidRPr="002274DC" w:rsidRDefault="00D643E9" w:rsidP="00AF5984">
            <w:pPr>
              <w:pStyle w:val="SingleTxt"/>
              <w:tabs>
                <w:tab w:val="left" w:pos="288"/>
                <w:tab w:val="left" w:pos="576"/>
                <w:tab w:val="left" w:pos="864"/>
                <w:tab w:val="left" w:pos="1152"/>
              </w:tabs>
              <w:spacing w:before="40"/>
              <w:ind w:left="0" w:right="40"/>
              <w:rPr>
                <w:lang w:val="fr-CH"/>
              </w:rPr>
            </w:pPr>
            <w:hyperlink r:id="rId47" w:history="1">
              <w:r w:rsidR="00065A5D" w:rsidRPr="00065A5D">
                <w:rPr>
                  <w:rStyle w:val="Lienhypertexte"/>
                  <w:spacing w:val="0"/>
                  <w:w w:val="100"/>
                  <w:lang w:val="fr-CH"/>
                </w:rPr>
                <w:t>72/212</w:t>
              </w:r>
            </w:hyperlink>
          </w:p>
        </w:tc>
        <w:tc>
          <w:tcPr>
            <w:tcW w:w="4706" w:type="dxa"/>
            <w:hideMark/>
          </w:tcPr>
          <w:p w14:paraId="2DF162E9" w14:textId="77777777" w:rsidR="00065A5D" w:rsidRPr="002274DC" w:rsidRDefault="00065A5D" w:rsidP="003B50AA">
            <w:pPr>
              <w:pStyle w:val="SingleTxt"/>
              <w:tabs>
                <w:tab w:val="left" w:pos="288"/>
                <w:tab w:val="left" w:pos="576"/>
                <w:tab w:val="left" w:pos="864"/>
                <w:tab w:val="left" w:pos="1152"/>
              </w:tabs>
              <w:spacing w:before="40"/>
              <w:ind w:left="57" w:right="176"/>
              <w:jc w:val="left"/>
              <w:rPr>
                <w:lang w:val="fr-CH"/>
              </w:rPr>
            </w:pPr>
            <w:r w:rsidRPr="00065A5D">
              <w:rPr>
                <w:spacing w:val="0"/>
                <w:w w:val="100"/>
                <w:lang w:val="fr-CH"/>
              </w:rPr>
              <w:t>Renforcer les liens entre tous les modes de transport pour atteindre les objectifs de développement durable</w:t>
            </w:r>
          </w:p>
        </w:tc>
      </w:tr>
      <w:tr w:rsidR="00065A5D" w:rsidRPr="002274DC" w14:paraId="1792886F" w14:textId="77777777" w:rsidTr="003B50AA">
        <w:tc>
          <w:tcPr>
            <w:tcW w:w="3013" w:type="dxa"/>
            <w:hideMark/>
          </w:tcPr>
          <w:p w14:paraId="78ADEA00" w14:textId="0DDD394E" w:rsidR="00065A5D" w:rsidRPr="002274DC" w:rsidRDefault="00D643E9" w:rsidP="00AF5984">
            <w:pPr>
              <w:pStyle w:val="SingleTxt"/>
              <w:tabs>
                <w:tab w:val="left" w:pos="288"/>
                <w:tab w:val="left" w:pos="576"/>
                <w:tab w:val="left" w:pos="864"/>
                <w:tab w:val="left" w:pos="1152"/>
              </w:tabs>
              <w:spacing w:before="40"/>
              <w:ind w:left="0" w:right="40"/>
              <w:rPr>
                <w:lang w:val="fr-CH"/>
              </w:rPr>
            </w:pPr>
            <w:hyperlink r:id="rId48" w:history="1">
              <w:r w:rsidR="00065A5D" w:rsidRPr="00065A5D">
                <w:rPr>
                  <w:rStyle w:val="Lienhypertexte"/>
                  <w:spacing w:val="0"/>
                  <w:w w:val="100"/>
                  <w:lang w:val="fr-CH"/>
                </w:rPr>
                <w:t>72/271</w:t>
              </w:r>
            </w:hyperlink>
          </w:p>
        </w:tc>
        <w:tc>
          <w:tcPr>
            <w:tcW w:w="4706" w:type="dxa"/>
            <w:hideMark/>
          </w:tcPr>
          <w:p w14:paraId="42F6F7F0" w14:textId="77777777" w:rsidR="00065A5D" w:rsidRPr="002274DC" w:rsidRDefault="00065A5D" w:rsidP="003B50AA">
            <w:pPr>
              <w:pStyle w:val="SingleTxt"/>
              <w:tabs>
                <w:tab w:val="left" w:pos="288"/>
                <w:tab w:val="left" w:pos="576"/>
                <w:tab w:val="left" w:pos="864"/>
                <w:tab w:val="left" w:pos="1152"/>
              </w:tabs>
              <w:spacing w:before="40"/>
              <w:ind w:left="57" w:right="176"/>
              <w:jc w:val="left"/>
              <w:rPr>
                <w:lang w:val="fr-CH"/>
              </w:rPr>
            </w:pPr>
            <w:r w:rsidRPr="00065A5D">
              <w:rPr>
                <w:spacing w:val="0"/>
                <w:w w:val="100"/>
                <w:lang w:val="fr-CH"/>
              </w:rPr>
              <w:t>Amélioration de la sécurité routière mondiale</w:t>
            </w:r>
          </w:p>
        </w:tc>
      </w:tr>
      <w:tr w:rsidR="00065A5D" w:rsidRPr="002274DC" w14:paraId="68E56614" w14:textId="77777777" w:rsidTr="003B50AA">
        <w:tc>
          <w:tcPr>
            <w:tcW w:w="3013" w:type="dxa"/>
            <w:hideMark/>
          </w:tcPr>
          <w:p w14:paraId="6B88C06C" w14:textId="7AEC17D6" w:rsidR="00065A5D" w:rsidRPr="002274DC" w:rsidRDefault="00D643E9" w:rsidP="00AF5984">
            <w:pPr>
              <w:pStyle w:val="SingleTxt"/>
              <w:tabs>
                <w:tab w:val="left" w:pos="288"/>
                <w:tab w:val="left" w:pos="576"/>
                <w:tab w:val="left" w:pos="864"/>
                <w:tab w:val="left" w:pos="1152"/>
              </w:tabs>
              <w:spacing w:before="40"/>
              <w:ind w:left="0" w:right="40"/>
              <w:rPr>
                <w:rStyle w:val="Lienhypertexte"/>
                <w:highlight w:val="yellow"/>
                <w:lang w:val="fr-CH"/>
              </w:rPr>
            </w:pPr>
            <w:hyperlink r:id="rId49" w:history="1">
              <w:r w:rsidR="00065A5D" w:rsidRPr="00065A5D">
                <w:rPr>
                  <w:rStyle w:val="Lienhypertexte"/>
                  <w:spacing w:val="0"/>
                  <w:w w:val="100"/>
                  <w:lang w:val="fr-CH"/>
                </w:rPr>
                <w:t>73/243</w:t>
              </w:r>
            </w:hyperlink>
          </w:p>
        </w:tc>
        <w:tc>
          <w:tcPr>
            <w:tcW w:w="4706" w:type="dxa"/>
            <w:hideMark/>
          </w:tcPr>
          <w:p w14:paraId="784ACE9D" w14:textId="77777777" w:rsidR="00065A5D" w:rsidRPr="002274DC" w:rsidRDefault="00065A5D" w:rsidP="003B50AA">
            <w:pPr>
              <w:pStyle w:val="SingleTxt"/>
              <w:tabs>
                <w:tab w:val="left" w:pos="288"/>
                <w:tab w:val="left" w:pos="576"/>
                <w:tab w:val="left" w:pos="864"/>
                <w:tab w:val="left" w:pos="1152"/>
              </w:tabs>
              <w:spacing w:before="40"/>
              <w:ind w:left="57" w:right="176"/>
              <w:jc w:val="left"/>
              <w:rPr>
                <w:highlight w:val="yellow"/>
                <w:lang w:val="fr-CH"/>
              </w:rPr>
            </w:pPr>
            <w:r w:rsidRPr="00065A5D">
              <w:rPr>
                <w:spacing w:val="0"/>
                <w:w w:val="100"/>
                <w:lang w:val="fr-CH"/>
              </w:rPr>
              <w:t>Suivi de la deuxième Conférence des Nations Unies sur les pays en développement sans littoral</w:t>
            </w:r>
          </w:p>
        </w:tc>
      </w:tr>
      <w:tr w:rsidR="00065A5D" w:rsidRPr="002274DC" w14:paraId="1DBB79BD" w14:textId="77777777" w:rsidTr="003B50AA">
        <w:tc>
          <w:tcPr>
            <w:tcW w:w="7719" w:type="dxa"/>
            <w:gridSpan w:val="2"/>
            <w:hideMark/>
          </w:tcPr>
          <w:p w14:paraId="4389EFA6" w14:textId="77777777" w:rsidR="00065A5D" w:rsidRPr="002274DC" w:rsidRDefault="00065A5D" w:rsidP="00065A5D">
            <w:pPr>
              <w:pStyle w:val="SingleTxt"/>
              <w:tabs>
                <w:tab w:val="left" w:pos="288"/>
                <w:tab w:val="left" w:pos="576"/>
                <w:tab w:val="left" w:pos="864"/>
                <w:tab w:val="left" w:pos="1152"/>
              </w:tabs>
              <w:spacing w:before="40"/>
              <w:ind w:left="0" w:right="40"/>
              <w:rPr>
                <w:lang w:val="fr-CH"/>
              </w:rPr>
            </w:pPr>
            <w:r w:rsidRPr="00065A5D">
              <w:rPr>
                <w:i/>
                <w:spacing w:val="0"/>
                <w:w w:val="100"/>
                <w:lang w:val="fr-CH"/>
              </w:rPr>
              <w:t>Résolutions du Conseil économique et social</w:t>
            </w:r>
          </w:p>
        </w:tc>
      </w:tr>
      <w:tr w:rsidR="00065A5D" w:rsidRPr="002274DC" w14:paraId="2C65C0CF" w14:textId="77777777" w:rsidTr="003B50AA">
        <w:tc>
          <w:tcPr>
            <w:tcW w:w="3013" w:type="dxa"/>
            <w:hideMark/>
          </w:tcPr>
          <w:p w14:paraId="3C3A179C" w14:textId="4E5B56EA" w:rsidR="00065A5D" w:rsidRPr="002274DC" w:rsidRDefault="00D643E9" w:rsidP="00AF5984">
            <w:pPr>
              <w:pStyle w:val="SingleTxt"/>
              <w:tabs>
                <w:tab w:val="left" w:pos="288"/>
                <w:tab w:val="left" w:pos="576"/>
                <w:tab w:val="left" w:pos="864"/>
                <w:tab w:val="left" w:pos="1152"/>
              </w:tabs>
              <w:spacing w:before="40"/>
              <w:ind w:left="0" w:right="40"/>
              <w:rPr>
                <w:lang w:val="fr-CH"/>
              </w:rPr>
            </w:pPr>
            <w:hyperlink r:id="rId50" w:history="1">
              <w:r w:rsidR="00065A5D" w:rsidRPr="00065A5D">
                <w:rPr>
                  <w:rStyle w:val="Lienhypertexte"/>
                  <w:spacing w:val="0"/>
                  <w:w w:val="100"/>
                  <w:lang w:val="fr-CH"/>
                </w:rPr>
                <w:t>1999/65</w:t>
              </w:r>
            </w:hyperlink>
          </w:p>
        </w:tc>
        <w:tc>
          <w:tcPr>
            <w:tcW w:w="4706" w:type="dxa"/>
            <w:hideMark/>
          </w:tcPr>
          <w:p w14:paraId="1BA88E3F" w14:textId="77777777" w:rsidR="00065A5D" w:rsidRPr="00065A5D" w:rsidRDefault="00065A5D" w:rsidP="003B50AA">
            <w:pPr>
              <w:pStyle w:val="SingleTxt"/>
              <w:tabs>
                <w:tab w:val="left" w:pos="288"/>
                <w:tab w:val="left" w:pos="576"/>
                <w:tab w:val="left" w:pos="864"/>
                <w:tab w:val="left" w:pos="1152"/>
              </w:tabs>
              <w:spacing w:before="40"/>
              <w:ind w:left="57" w:right="176"/>
              <w:jc w:val="left"/>
              <w:rPr>
                <w:spacing w:val="0"/>
                <w:w w:val="100"/>
                <w:lang w:val="fr-CH"/>
              </w:rPr>
            </w:pPr>
            <w:r w:rsidRPr="00065A5D">
              <w:rPr>
                <w:spacing w:val="0"/>
                <w:w w:val="100"/>
                <w:lang w:val="fr-CH"/>
              </w:rPr>
              <w:t>Transformation du Comité d</w:t>
            </w:r>
            <w:r w:rsidR="00455787">
              <w:rPr>
                <w:spacing w:val="0"/>
                <w:w w:val="100"/>
                <w:lang w:val="fr-CH"/>
              </w:rPr>
              <w:t>’</w:t>
            </w:r>
            <w:r w:rsidRPr="00065A5D">
              <w:rPr>
                <w:spacing w:val="0"/>
                <w:w w:val="100"/>
                <w:lang w:val="fr-CH"/>
              </w:rPr>
              <w:t>experts en matière de transport des marchandises dangereuses en Comité d</w:t>
            </w:r>
            <w:r w:rsidR="00455787">
              <w:rPr>
                <w:spacing w:val="0"/>
                <w:w w:val="100"/>
                <w:lang w:val="fr-CH"/>
              </w:rPr>
              <w:t>’</w:t>
            </w:r>
            <w:r w:rsidRPr="00065A5D">
              <w:rPr>
                <w:spacing w:val="0"/>
                <w:w w:val="100"/>
                <w:lang w:val="fr-CH"/>
              </w:rPr>
              <w:t>experts du transport des marchandises dangereuses et du système harmonisé à l</w:t>
            </w:r>
            <w:r w:rsidR="00455787">
              <w:rPr>
                <w:spacing w:val="0"/>
                <w:w w:val="100"/>
                <w:lang w:val="fr-CH"/>
              </w:rPr>
              <w:t>’</w:t>
            </w:r>
            <w:r w:rsidRPr="00065A5D">
              <w:rPr>
                <w:spacing w:val="0"/>
                <w:w w:val="100"/>
                <w:lang w:val="fr-CH"/>
              </w:rPr>
              <w:t>échelle mondiale de classement et d</w:t>
            </w:r>
            <w:r w:rsidR="00455787">
              <w:rPr>
                <w:spacing w:val="0"/>
                <w:w w:val="100"/>
                <w:lang w:val="fr-CH"/>
              </w:rPr>
              <w:t>’</w:t>
            </w:r>
            <w:r w:rsidRPr="00065A5D">
              <w:rPr>
                <w:spacing w:val="0"/>
                <w:w w:val="100"/>
                <w:lang w:val="fr-CH"/>
              </w:rPr>
              <w:t>étiquetage des produits chimiques</w:t>
            </w:r>
          </w:p>
        </w:tc>
      </w:tr>
      <w:tr w:rsidR="00065A5D" w:rsidRPr="002274DC" w14:paraId="400C78DB" w14:textId="77777777" w:rsidTr="003B50AA">
        <w:tc>
          <w:tcPr>
            <w:tcW w:w="3013" w:type="dxa"/>
            <w:hideMark/>
          </w:tcPr>
          <w:p w14:paraId="56A28855" w14:textId="212237AF" w:rsidR="00065A5D" w:rsidRPr="002274DC" w:rsidRDefault="00D643E9" w:rsidP="00AF5984">
            <w:pPr>
              <w:pStyle w:val="SingleTxt"/>
              <w:tabs>
                <w:tab w:val="left" w:pos="288"/>
                <w:tab w:val="left" w:pos="576"/>
                <w:tab w:val="left" w:pos="864"/>
                <w:tab w:val="left" w:pos="1152"/>
              </w:tabs>
              <w:spacing w:before="40"/>
              <w:ind w:left="0" w:right="40"/>
              <w:rPr>
                <w:lang w:val="fr-CH"/>
              </w:rPr>
            </w:pPr>
            <w:hyperlink r:id="rId51" w:history="1">
              <w:r w:rsidR="00065A5D" w:rsidRPr="00065A5D">
                <w:rPr>
                  <w:rStyle w:val="Lienhypertexte"/>
                  <w:spacing w:val="0"/>
                  <w:w w:val="100"/>
                  <w:lang w:val="fr-CH"/>
                </w:rPr>
                <w:t>2013/7</w:t>
              </w:r>
            </w:hyperlink>
          </w:p>
        </w:tc>
        <w:tc>
          <w:tcPr>
            <w:tcW w:w="4706" w:type="dxa"/>
            <w:hideMark/>
          </w:tcPr>
          <w:p w14:paraId="34551B7E" w14:textId="77777777" w:rsidR="00065A5D" w:rsidRPr="00065A5D" w:rsidRDefault="00065A5D" w:rsidP="003B50AA">
            <w:pPr>
              <w:pStyle w:val="SingleTxt"/>
              <w:tabs>
                <w:tab w:val="left" w:pos="288"/>
                <w:tab w:val="left" w:pos="576"/>
                <w:tab w:val="left" w:pos="864"/>
                <w:tab w:val="left" w:pos="1152"/>
              </w:tabs>
              <w:spacing w:before="40"/>
              <w:ind w:left="57" w:right="176"/>
              <w:jc w:val="left"/>
              <w:rPr>
                <w:spacing w:val="0"/>
                <w:w w:val="100"/>
                <w:lang w:val="fr-CH"/>
              </w:rPr>
            </w:pPr>
            <w:r w:rsidRPr="00065A5D">
              <w:rPr>
                <w:spacing w:val="0"/>
                <w:w w:val="100"/>
                <w:lang w:val="fr-CH"/>
              </w:rPr>
              <w:t>Liaison fixe Europe-Afrique à travers le détroit de Gibraltar</w:t>
            </w:r>
          </w:p>
        </w:tc>
      </w:tr>
      <w:tr w:rsidR="00065A5D" w:rsidRPr="002274DC" w14:paraId="7077589C" w14:textId="77777777" w:rsidTr="003B50AA">
        <w:tc>
          <w:tcPr>
            <w:tcW w:w="3013" w:type="dxa"/>
            <w:hideMark/>
          </w:tcPr>
          <w:p w14:paraId="3985395C" w14:textId="38BF04E6" w:rsidR="00065A5D" w:rsidRPr="002274DC" w:rsidRDefault="00D643E9" w:rsidP="00AF5984">
            <w:pPr>
              <w:pStyle w:val="SingleTxt"/>
              <w:tabs>
                <w:tab w:val="left" w:pos="288"/>
                <w:tab w:val="left" w:pos="576"/>
                <w:tab w:val="left" w:pos="864"/>
                <w:tab w:val="left" w:pos="1152"/>
              </w:tabs>
              <w:spacing w:before="40"/>
              <w:ind w:left="0" w:right="40"/>
              <w:rPr>
                <w:lang w:val="fr-CH"/>
              </w:rPr>
            </w:pPr>
            <w:hyperlink r:id="rId52" w:history="1">
              <w:r w:rsidR="00065A5D" w:rsidRPr="00065A5D">
                <w:rPr>
                  <w:rStyle w:val="Lienhypertexte"/>
                  <w:spacing w:val="0"/>
                  <w:w w:val="100"/>
                  <w:lang w:val="fr-CH"/>
                </w:rPr>
                <w:t>2019/7</w:t>
              </w:r>
            </w:hyperlink>
          </w:p>
        </w:tc>
        <w:tc>
          <w:tcPr>
            <w:tcW w:w="4706" w:type="dxa"/>
            <w:hideMark/>
          </w:tcPr>
          <w:p w14:paraId="46F6430E" w14:textId="77777777" w:rsidR="00065A5D" w:rsidRPr="00065A5D" w:rsidRDefault="00065A5D" w:rsidP="003B50AA">
            <w:pPr>
              <w:pStyle w:val="SingleTxt"/>
              <w:tabs>
                <w:tab w:val="left" w:pos="288"/>
                <w:tab w:val="left" w:pos="576"/>
                <w:tab w:val="left" w:pos="864"/>
                <w:tab w:val="left" w:pos="1152"/>
              </w:tabs>
              <w:spacing w:before="40"/>
              <w:ind w:left="57" w:right="176"/>
              <w:jc w:val="left"/>
              <w:rPr>
                <w:spacing w:val="0"/>
                <w:w w:val="100"/>
                <w:lang w:val="fr-CH"/>
              </w:rPr>
            </w:pPr>
            <w:r w:rsidRPr="00065A5D">
              <w:rPr>
                <w:spacing w:val="0"/>
                <w:w w:val="100"/>
                <w:lang w:val="fr-CH"/>
              </w:rPr>
              <w:t>Travaux du Comité d</w:t>
            </w:r>
            <w:r w:rsidR="00455787">
              <w:rPr>
                <w:spacing w:val="0"/>
                <w:w w:val="100"/>
                <w:lang w:val="fr-CH"/>
              </w:rPr>
              <w:t>’</w:t>
            </w:r>
            <w:r w:rsidRPr="00065A5D">
              <w:rPr>
                <w:spacing w:val="0"/>
                <w:w w:val="100"/>
                <w:lang w:val="fr-CH"/>
              </w:rPr>
              <w:t>experts du transport des marchandises dangereuses et du Système général harmonisé de classification et d</w:t>
            </w:r>
            <w:r w:rsidR="00455787">
              <w:rPr>
                <w:spacing w:val="0"/>
                <w:w w:val="100"/>
                <w:lang w:val="fr-CH"/>
              </w:rPr>
              <w:t>’</w:t>
            </w:r>
            <w:r w:rsidRPr="00065A5D">
              <w:rPr>
                <w:spacing w:val="0"/>
                <w:w w:val="100"/>
                <w:lang w:val="fr-CH"/>
              </w:rPr>
              <w:t>étiquetage des produits chimiques</w:t>
            </w:r>
          </w:p>
        </w:tc>
      </w:tr>
      <w:tr w:rsidR="00065A5D" w:rsidRPr="002274DC" w14:paraId="6BCDA3AC" w14:textId="77777777" w:rsidTr="003B50AA">
        <w:tc>
          <w:tcPr>
            <w:tcW w:w="7719" w:type="dxa"/>
            <w:gridSpan w:val="2"/>
            <w:hideMark/>
          </w:tcPr>
          <w:p w14:paraId="2D8F416C" w14:textId="77777777" w:rsidR="00065A5D" w:rsidRPr="002274DC" w:rsidRDefault="00065A5D" w:rsidP="00065A5D">
            <w:pPr>
              <w:pStyle w:val="SingleTxt"/>
              <w:tabs>
                <w:tab w:val="left" w:pos="288"/>
                <w:tab w:val="left" w:pos="576"/>
                <w:tab w:val="left" w:pos="864"/>
                <w:tab w:val="left" w:pos="1152"/>
              </w:tabs>
              <w:spacing w:before="40"/>
              <w:ind w:left="0" w:right="40"/>
              <w:rPr>
                <w:lang w:val="fr-CH"/>
              </w:rPr>
            </w:pPr>
            <w:r w:rsidRPr="00065A5D">
              <w:rPr>
                <w:i/>
                <w:spacing w:val="0"/>
                <w:w w:val="100"/>
                <w:lang w:val="fr-CH"/>
              </w:rPr>
              <w:t>Décisions de la Commission économique pour l</w:t>
            </w:r>
            <w:r w:rsidR="00455787">
              <w:rPr>
                <w:i/>
                <w:spacing w:val="0"/>
                <w:w w:val="100"/>
                <w:lang w:val="fr-CH"/>
              </w:rPr>
              <w:t>’</w:t>
            </w:r>
            <w:r w:rsidRPr="00065A5D">
              <w:rPr>
                <w:i/>
                <w:spacing w:val="0"/>
                <w:w w:val="100"/>
                <w:lang w:val="fr-CH"/>
              </w:rPr>
              <w:t>Europe</w:t>
            </w:r>
          </w:p>
        </w:tc>
      </w:tr>
      <w:tr w:rsidR="00065A5D" w:rsidRPr="002274DC" w14:paraId="77150B39" w14:textId="77777777" w:rsidTr="003B50AA">
        <w:tc>
          <w:tcPr>
            <w:tcW w:w="3013" w:type="dxa"/>
            <w:hideMark/>
          </w:tcPr>
          <w:p w14:paraId="4B0CFCB6" w14:textId="132BBA9B" w:rsidR="00065A5D" w:rsidRPr="002274DC" w:rsidRDefault="00D643E9" w:rsidP="00AF5984">
            <w:pPr>
              <w:pStyle w:val="SingleTxt"/>
              <w:tabs>
                <w:tab w:val="left" w:pos="288"/>
                <w:tab w:val="left" w:pos="576"/>
                <w:tab w:val="left" w:pos="864"/>
                <w:tab w:val="left" w:pos="1152"/>
              </w:tabs>
              <w:spacing w:before="40"/>
              <w:ind w:left="0" w:right="40"/>
              <w:rPr>
                <w:lang w:val="fr-CH"/>
              </w:rPr>
            </w:pPr>
            <w:hyperlink r:id="rId53" w:history="1">
              <w:r w:rsidR="00065A5D" w:rsidRPr="00065A5D">
                <w:rPr>
                  <w:rStyle w:val="Lienhypertexte"/>
                  <w:spacing w:val="0"/>
                  <w:w w:val="100"/>
                  <w:lang w:val="fr-CH"/>
                </w:rPr>
                <w:t>ECE/AC.21/2014/2</w:t>
              </w:r>
            </w:hyperlink>
          </w:p>
        </w:tc>
        <w:tc>
          <w:tcPr>
            <w:tcW w:w="4706" w:type="dxa"/>
            <w:hideMark/>
          </w:tcPr>
          <w:p w14:paraId="4C47BC71" w14:textId="77777777" w:rsidR="00065A5D" w:rsidRPr="00065A5D" w:rsidRDefault="00065A5D" w:rsidP="003B50AA">
            <w:pPr>
              <w:pStyle w:val="SingleTxt"/>
              <w:tabs>
                <w:tab w:val="left" w:pos="288"/>
                <w:tab w:val="left" w:pos="576"/>
                <w:tab w:val="left" w:pos="864"/>
                <w:tab w:val="left" w:pos="1152"/>
              </w:tabs>
              <w:spacing w:before="40"/>
              <w:ind w:left="57" w:right="176"/>
              <w:jc w:val="left"/>
              <w:rPr>
                <w:spacing w:val="0"/>
                <w:w w:val="100"/>
                <w:lang w:val="fr-CH"/>
              </w:rPr>
            </w:pPr>
            <w:r w:rsidRPr="00065A5D">
              <w:rPr>
                <w:spacing w:val="0"/>
                <w:w w:val="100"/>
                <w:lang w:val="fr-CH"/>
              </w:rPr>
              <w:t>Rapport de la Réunion de haut niveau sur les transports, la santé et l</w:t>
            </w:r>
            <w:r w:rsidR="00455787">
              <w:rPr>
                <w:spacing w:val="0"/>
                <w:w w:val="100"/>
                <w:lang w:val="fr-CH"/>
              </w:rPr>
              <w:t>’</w:t>
            </w:r>
            <w:r w:rsidRPr="00065A5D">
              <w:rPr>
                <w:spacing w:val="0"/>
                <w:w w:val="100"/>
                <w:lang w:val="fr-CH"/>
              </w:rPr>
              <w:t>environnement</w:t>
            </w:r>
          </w:p>
        </w:tc>
      </w:tr>
      <w:tr w:rsidR="00065A5D" w:rsidRPr="002274DC" w14:paraId="606339D7" w14:textId="77777777" w:rsidTr="003B50AA">
        <w:tc>
          <w:tcPr>
            <w:tcW w:w="3013" w:type="dxa"/>
            <w:hideMark/>
          </w:tcPr>
          <w:p w14:paraId="7D5C712E" w14:textId="0FA297FD" w:rsidR="00065A5D" w:rsidRPr="002274DC" w:rsidRDefault="00D643E9" w:rsidP="00AF5984">
            <w:pPr>
              <w:pStyle w:val="SingleTxt"/>
              <w:tabs>
                <w:tab w:val="left" w:pos="288"/>
                <w:tab w:val="left" w:pos="576"/>
                <w:tab w:val="left" w:pos="864"/>
                <w:tab w:val="left" w:pos="1152"/>
              </w:tabs>
              <w:spacing w:before="40"/>
              <w:ind w:left="0" w:right="40"/>
              <w:rPr>
                <w:lang w:val="fr-CH"/>
              </w:rPr>
            </w:pPr>
            <w:hyperlink r:id="rId54" w:history="1">
              <w:r w:rsidR="00065A5D" w:rsidRPr="00065A5D">
                <w:rPr>
                  <w:rStyle w:val="Lienhypertexte"/>
                  <w:spacing w:val="0"/>
                  <w:w w:val="100"/>
                  <w:lang w:val="fr-CH"/>
                </w:rPr>
                <w:t>ECE/TRANS/224</w:t>
              </w:r>
            </w:hyperlink>
          </w:p>
        </w:tc>
        <w:tc>
          <w:tcPr>
            <w:tcW w:w="4706" w:type="dxa"/>
            <w:hideMark/>
          </w:tcPr>
          <w:p w14:paraId="5E6EEC11" w14:textId="77777777" w:rsidR="00065A5D" w:rsidRPr="00065A5D" w:rsidRDefault="00065A5D" w:rsidP="003B50AA">
            <w:pPr>
              <w:pStyle w:val="SingleTxt"/>
              <w:tabs>
                <w:tab w:val="left" w:pos="288"/>
                <w:tab w:val="left" w:pos="576"/>
                <w:tab w:val="left" w:pos="864"/>
                <w:tab w:val="left" w:pos="1152"/>
              </w:tabs>
              <w:spacing w:before="40"/>
              <w:ind w:left="57" w:right="176"/>
              <w:jc w:val="left"/>
              <w:rPr>
                <w:spacing w:val="0"/>
                <w:w w:val="100"/>
                <w:lang w:val="fr-CH"/>
              </w:rPr>
            </w:pPr>
            <w:r w:rsidRPr="00065A5D">
              <w:rPr>
                <w:spacing w:val="0"/>
                <w:w w:val="100"/>
                <w:lang w:val="fr-CH"/>
              </w:rPr>
              <w:t>Rapport du Comité des transports intérieurs sur sa soixante-quatorzième session (« Projet de feuille de route de la CEE pour la promotion des systèmes de transport intelligents − 20 mesures à prendre au niveau mondial de 2012 à 2020 »)</w:t>
            </w:r>
          </w:p>
        </w:tc>
      </w:tr>
      <w:tr w:rsidR="00065A5D" w:rsidRPr="002274DC" w14:paraId="7CC7A628" w14:textId="77777777" w:rsidTr="003B50AA">
        <w:tc>
          <w:tcPr>
            <w:tcW w:w="3013" w:type="dxa"/>
            <w:hideMark/>
          </w:tcPr>
          <w:p w14:paraId="59AEDC00" w14:textId="6BAD89EB" w:rsidR="00065A5D" w:rsidRPr="002274DC" w:rsidRDefault="00D643E9" w:rsidP="00AF5984">
            <w:pPr>
              <w:pStyle w:val="SingleTxt"/>
              <w:tabs>
                <w:tab w:val="left" w:pos="288"/>
                <w:tab w:val="left" w:pos="576"/>
                <w:tab w:val="left" w:pos="864"/>
                <w:tab w:val="left" w:pos="1152"/>
              </w:tabs>
              <w:spacing w:before="40"/>
              <w:ind w:left="0" w:right="40"/>
              <w:rPr>
                <w:lang w:val="fr-CH"/>
              </w:rPr>
            </w:pPr>
            <w:hyperlink r:id="rId55" w:history="1">
              <w:r w:rsidR="00065A5D" w:rsidRPr="00065A5D">
                <w:rPr>
                  <w:rStyle w:val="Lienhypertexte"/>
                  <w:spacing w:val="0"/>
                  <w:w w:val="100"/>
                  <w:lang w:val="fr-CH"/>
                </w:rPr>
                <w:t>ECE/TRANS/236</w:t>
              </w:r>
            </w:hyperlink>
          </w:p>
        </w:tc>
        <w:tc>
          <w:tcPr>
            <w:tcW w:w="4706" w:type="dxa"/>
            <w:hideMark/>
          </w:tcPr>
          <w:p w14:paraId="243ABF3F" w14:textId="77777777" w:rsidR="00065A5D" w:rsidRPr="00065A5D" w:rsidRDefault="00065A5D" w:rsidP="003B50AA">
            <w:pPr>
              <w:pStyle w:val="SingleTxt"/>
              <w:tabs>
                <w:tab w:val="left" w:pos="288"/>
                <w:tab w:val="left" w:pos="576"/>
                <w:tab w:val="left" w:pos="864"/>
                <w:tab w:val="left" w:pos="1152"/>
              </w:tabs>
              <w:spacing w:before="40"/>
              <w:ind w:left="57" w:right="176"/>
              <w:jc w:val="left"/>
              <w:rPr>
                <w:spacing w:val="0"/>
                <w:w w:val="100"/>
                <w:lang w:val="fr-CH"/>
              </w:rPr>
            </w:pPr>
            <w:r w:rsidRPr="00065A5D">
              <w:rPr>
                <w:spacing w:val="0"/>
                <w:w w:val="100"/>
                <w:lang w:val="fr-CH"/>
              </w:rPr>
              <w:t>Rapport du Comité des transports intérieurs sur sa soixante-quinzième session (Déclaration commune sur la promotion du transport ferroviaire entre l</w:t>
            </w:r>
            <w:r w:rsidR="00455787">
              <w:rPr>
                <w:spacing w:val="0"/>
                <w:w w:val="100"/>
                <w:lang w:val="fr-CH"/>
              </w:rPr>
              <w:t>’</w:t>
            </w:r>
            <w:r w:rsidRPr="00065A5D">
              <w:rPr>
                <w:spacing w:val="0"/>
                <w:w w:val="100"/>
                <w:lang w:val="fr-CH"/>
              </w:rPr>
              <w:t>Europe et l</w:t>
            </w:r>
            <w:r w:rsidR="00455787">
              <w:rPr>
                <w:spacing w:val="0"/>
                <w:w w:val="100"/>
                <w:lang w:val="fr-CH"/>
              </w:rPr>
              <w:t>’</w:t>
            </w:r>
            <w:r w:rsidRPr="00065A5D">
              <w:rPr>
                <w:spacing w:val="0"/>
                <w:w w:val="100"/>
                <w:lang w:val="fr-CH"/>
              </w:rPr>
              <w:t xml:space="preserve">Asie et des activités menées à cette fin ; et Déclaration commune sur le développement futur de liaisons de transport Europe-Asie) </w:t>
            </w:r>
          </w:p>
        </w:tc>
      </w:tr>
      <w:tr w:rsidR="00065A5D" w:rsidRPr="002274DC" w14:paraId="61022B9F" w14:textId="77777777" w:rsidTr="003B50AA">
        <w:tc>
          <w:tcPr>
            <w:tcW w:w="3013" w:type="dxa"/>
            <w:hideMark/>
          </w:tcPr>
          <w:p w14:paraId="123E374F" w14:textId="7B90E15F" w:rsidR="00065A5D" w:rsidRPr="002274DC" w:rsidRDefault="00D643E9" w:rsidP="00AF5984">
            <w:pPr>
              <w:pStyle w:val="SingleTxt"/>
              <w:tabs>
                <w:tab w:val="left" w:pos="288"/>
                <w:tab w:val="left" w:pos="576"/>
                <w:tab w:val="left" w:pos="864"/>
                <w:tab w:val="left" w:pos="1152"/>
              </w:tabs>
              <w:spacing w:before="40"/>
              <w:ind w:left="0" w:right="40"/>
              <w:rPr>
                <w:lang w:val="fr-CH"/>
              </w:rPr>
            </w:pPr>
            <w:hyperlink r:id="rId56" w:history="1">
              <w:r w:rsidR="00065A5D" w:rsidRPr="00065A5D">
                <w:rPr>
                  <w:rStyle w:val="Lienhypertexte"/>
                  <w:spacing w:val="0"/>
                  <w:w w:val="100"/>
                  <w:lang w:val="fr-CH"/>
                </w:rPr>
                <w:t>ECE/TRANS/248</w:t>
              </w:r>
            </w:hyperlink>
          </w:p>
        </w:tc>
        <w:tc>
          <w:tcPr>
            <w:tcW w:w="4706" w:type="dxa"/>
            <w:hideMark/>
          </w:tcPr>
          <w:p w14:paraId="77DC7F07" w14:textId="77777777" w:rsidR="00065A5D" w:rsidRPr="00065A5D" w:rsidRDefault="00065A5D" w:rsidP="003B50AA">
            <w:pPr>
              <w:pStyle w:val="SingleTxt"/>
              <w:tabs>
                <w:tab w:val="left" w:pos="288"/>
                <w:tab w:val="left" w:pos="576"/>
                <w:tab w:val="left" w:pos="864"/>
                <w:tab w:val="left" w:pos="1152"/>
              </w:tabs>
              <w:spacing w:before="40"/>
              <w:ind w:left="57" w:right="176"/>
              <w:jc w:val="left"/>
              <w:rPr>
                <w:spacing w:val="0"/>
                <w:w w:val="100"/>
                <w:lang w:val="fr-CH"/>
              </w:rPr>
            </w:pPr>
            <w:r w:rsidRPr="00065A5D">
              <w:rPr>
                <w:spacing w:val="0"/>
                <w:w w:val="100"/>
                <w:lang w:val="fr-CH"/>
              </w:rPr>
              <w:t>Rapport du Comité des transports intérieurs sur sa soixante-dix-septième session</w:t>
            </w:r>
          </w:p>
        </w:tc>
      </w:tr>
      <w:tr w:rsidR="00065A5D" w:rsidRPr="002274DC" w14:paraId="098D272F" w14:textId="77777777" w:rsidTr="003B50AA">
        <w:tc>
          <w:tcPr>
            <w:tcW w:w="3013" w:type="dxa"/>
            <w:hideMark/>
          </w:tcPr>
          <w:p w14:paraId="2B506B2C" w14:textId="0022F406" w:rsidR="00065A5D" w:rsidRPr="002274DC" w:rsidRDefault="00D643E9" w:rsidP="00AF5984">
            <w:pPr>
              <w:pStyle w:val="SingleTxt"/>
              <w:tabs>
                <w:tab w:val="left" w:pos="288"/>
                <w:tab w:val="left" w:pos="576"/>
                <w:tab w:val="left" w:pos="864"/>
                <w:tab w:val="left" w:pos="1152"/>
              </w:tabs>
              <w:spacing w:before="40"/>
              <w:ind w:left="0" w:right="40"/>
              <w:rPr>
                <w:lang w:val="fr-CH"/>
              </w:rPr>
            </w:pPr>
            <w:hyperlink r:id="rId57" w:history="1">
              <w:r w:rsidR="00065A5D" w:rsidRPr="00065A5D">
                <w:rPr>
                  <w:rStyle w:val="Lienhypertexte"/>
                  <w:spacing w:val="0"/>
                  <w:w w:val="100"/>
                  <w:lang w:val="fr-CH"/>
                </w:rPr>
                <w:t>ECE/TRANS/254</w:t>
              </w:r>
            </w:hyperlink>
          </w:p>
        </w:tc>
        <w:tc>
          <w:tcPr>
            <w:tcW w:w="4706" w:type="dxa"/>
            <w:hideMark/>
          </w:tcPr>
          <w:p w14:paraId="472C4CDA" w14:textId="77777777" w:rsidR="00065A5D" w:rsidRPr="00065A5D" w:rsidRDefault="00065A5D" w:rsidP="003B50AA">
            <w:pPr>
              <w:pStyle w:val="SingleTxt"/>
              <w:tabs>
                <w:tab w:val="left" w:pos="288"/>
                <w:tab w:val="left" w:pos="576"/>
                <w:tab w:val="left" w:pos="864"/>
                <w:tab w:val="left" w:pos="1152"/>
              </w:tabs>
              <w:spacing w:before="40"/>
              <w:ind w:left="57" w:right="176"/>
              <w:jc w:val="left"/>
              <w:rPr>
                <w:spacing w:val="0"/>
                <w:w w:val="100"/>
                <w:lang w:val="fr-CH"/>
              </w:rPr>
            </w:pPr>
            <w:r w:rsidRPr="00065A5D">
              <w:rPr>
                <w:spacing w:val="0"/>
                <w:w w:val="100"/>
                <w:lang w:val="fr-CH"/>
              </w:rPr>
              <w:t>Rapport du Comité des transports intérieurs sur sa soixante-dix-huitième session</w:t>
            </w:r>
          </w:p>
        </w:tc>
      </w:tr>
      <w:tr w:rsidR="00065A5D" w:rsidRPr="002274DC" w14:paraId="7C9A9966" w14:textId="77777777" w:rsidTr="003B50AA">
        <w:tc>
          <w:tcPr>
            <w:tcW w:w="3013" w:type="dxa"/>
            <w:hideMark/>
          </w:tcPr>
          <w:p w14:paraId="0724DD57" w14:textId="57F83D0E" w:rsidR="00065A5D" w:rsidRPr="002274DC" w:rsidRDefault="00D643E9" w:rsidP="003B50AA">
            <w:pPr>
              <w:pStyle w:val="SingleTxt"/>
              <w:keepNext/>
              <w:tabs>
                <w:tab w:val="left" w:pos="288"/>
                <w:tab w:val="left" w:pos="576"/>
                <w:tab w:val="left" w:pos="864"/>
                <w:tab w:val="left" w:pos="1152"/>
              </w:tabs>
              <w:spacing w:before="40"/>
              <w:ind w:left="0" w:right="40"/>
              <w:rPr>
                <w:lang w:val="fr-CH"/>
              </w:rPr>
            </w:pPr>
            <w:hyperlink r:id="rId58" w:history="1">
              <w:r w:rsidR="00065A5D" w:rsidRPr="00065A5D">
                <w:rPr>
                  <w:rStyle w:val="Lienhypertexte"/>
                  <w:spacing w:val="0"/>
                  <w:w w:val="100"/>
                  <w:lang w:val="fr-CH"/>
                </w:rPr>
                <w:t>ECE/TRANS/270</w:t>
              </w:r>
            </w:hyperlink>
          </w:p>
        </w:tc>
        <w:tc>
          <w:tcPr>
            <w:tcW w:w="4706" w:type="dxa"/>
            <w:hideMark/>
          </w:tcPr>
          <w:p w14:paraId="2C4C0CFA" w14:textId="77777777" w:rsidR="00065A5D" w:rsidRPr="00065A5D" w:rsidRDefault="00065A5D" w:rsidP="003B50AA">
            <w:pPr>
              <w:pStyle w:val="SingleTxt"/>
              <w:keepNext/>
              <w:tabs>
                <w:tab w:val="left" w:pos="288"/>
                <w:tab w:val="left" w:pos="576"/>
                <w:tab w:val="left" w:pos="864"/>
                <w:tab w:val="left" w:pos="1152"/>
              </w:tabs>
              <w:spacing w:before="40"/>
              <w:ind w:left="57" w:right="176"/>
              <w:jc w:val="left"/>
              <w:rPr>
                <w:spacing w:val="0"/>
                <w:w w:val="100"/>
                <w:lang w:val="fr-CH"/>
              </w:rPr>
            </w:pPr>
            <w:r w:rsidRPr="00065A5D">
              <w:rPr>
                <w:spacing w:val="0"/>
                <w:w w:val="100"/>
                <w:lang w:val="fr-CH"/>
              </w:rPr>
              <w:t>Rapport du Comité des transports intérieurs sur sa soixante-dix-neuvième session (résolution ministérielle intitulée « Embrasser l</w:t>
            </w:r>
            <w:r w:rsidR="00455787">
              <w:rPr>
                <w:spacing w:val="0"/>
                <w:w w:val="100"/>
                <w:lang w:val="fr-CH"/>
              </w:rPr>
              <w:t>’</w:t>
            </w:r>
            <w:r w:rsidRPr="00065A5D">
              <w:rPr>
                <w:spacing w:val="0"/>
                <w:w w:val="100"/>
                <w:lang w:val="fr-CH"/>
              </w:rPr>
              <w:t>ère nouvelle de la viabilité des transports intérieurs et de la mobilité »)</w:t>
            </w:r>
          </w:p>
        </w:tc>
      </w:tr>
      <w:tr w:rsidR="00065A5D" w:rsidRPr="002274DC" w14:paraId="07C7FEAA" w14:textId="77777777" w:rsidTr="003B50AA">
        <w:tc>
          <w:tcPr>
            <w:tcW w:w="3013" w:type="dxa"/>
            <w:hideMark/>
          </w:tcPr>
          <w:p w14:paraId="51FBE24D" w14:textId="694B28BD" w:rsidR="00065A5D" w:rsidRPr="002274DC" w:rsidRDefault="00D643E9" w:rsidP="00AF5984">
            <w:pPr>
              <w:pStyle w:val="SingleTxt"/>
              <w:tabs>
                <w:tab w:val="left" w:pos="288"/>
                <w:tab w:val="left" w:pos="576"/>
                <w:tab w:val="left" w:pos="864"/>
                <w:tab w:val="left" w:pos="1152"/>
              </w:tabs>
              <w:spacing w:before="40"/>
              <w:ind w:left="0" w:right="40"/>
              <w:rPr>
                <w:lang w:val="fr-CH"/>
              </w:rPr>
            </w:pPr>
            <w:hyperlink r:id="rId59" w:history="1">
              <w:r w:rsidR="00065A5D" w:rsidRPr="00065A5D">
                <w:rPr>
                  <w:rStyle w:val="Lienhypertexte"/>
                  <w:spacing w:val="0"/>
                  <w:w w:val="100"/>
                  <w:lang w:val="fr-CH"/>
                </w:rPr>
                <w:t>ECE/TRANS/274</w:t>
              </w:r>
            </w:hyperlink>
          </w:p>
        </w:tc>
        <w:tc>
          <w:tcPr>
            <w:tcW w:w="4706" w:type="dxa"/>
            <w:hideMark/>
          </w:tcPr>
          <w:p w14:paraId="472594BD" w14:textId="77777777" w:rsidR="00065A5D" w:rsidRPr="00065A5D" w:rsidRDefault="00065A5D" w:rsidP="003B50AA">
            <w:pPr>
              <w:pStyle w:val="SingleTxt"/>
              <w:tabs>
                <w:tab w:val="left" w:pos="288"/>
                <w:tab w:val="left" w:pos="576"/>
                <w:tab w:val="left" w:pos="864"/>
                <w:tab w:val="left" w:pos="1152"/>
              </w:tabs>
              <w:spacing w:before="40"/>
              <w:ind w:left="57" w:right="176"/>
              <w:jc w:val="left"/>
              <w:rPr>
                <w:spacing w:val="0"/>
                <w:w w:val="100"/>
                <w:lang w:val="fr-CH"/>
              </w:rPr>
            </w:pPr>
            <w:r w:rsidRPr="00065A5D">
              <w:rPr>
                <w:spacing w:val="0"/>
                <w:w w:val="100"/>
                <w:lang w:val="fr-CH"/>
              </w:rPr>
              <w:t>Rapport du Comité des transports intérieurs sur sa quatre-vingtième session</w:t>
            </w:r>
          </w:p>
        </w:tc>
      </w:tr>
      <w:tr w:rsidR="00065A5D" w:rsidRPr="002274DC" w14:paraId="59D0246C" w14:textId="77777777" w:rsidTr="003B50AA">
        <w:tc>
          <w:tcPr>
            <w:tcW w:w="3013" w:type="dxa"/>
          </w:tcPr>
          <w:p w14:paraId="1E8177BB" w14:textId="0366BD0C" w:rsidR="00065A5D" w:rsidRPr="002274DC" w:rsidRDefault="00D643E9" w:rsidP="00AF5984">
            <w:pPr>
              <w:pStyle w:val="SingleTxt"/>
              <w:tabs>
                <w:tab w:val="left" w:pos="288"/>
                <w:tab w:val="left" w:pos="576"/>
                <w:tab w:val="left" w:pos="864"/>
                <w:tab w:val="left" w:pos="1152"/>
              </w:tabs>
              <w:spacing w:before="40"/>
              <w:ind w:left="0" w:right="40"/>
              <w:rPr>
                <w:lang w:val="fr-CH"/>
              </w:rPr>
            </w:pPr>
            <w:hyperlink r:id="rId60" w:history="1">
              <w:r w:rsidR="00065A5D" w:rsidRPr="00065A5D">
                <w:rPr>
                  <w:rStyle w:val="Lienhypertexte"/>
                  <w:spacing w:val="0"/>
                  <w:w w:val="100"/>
                  <w:lang w:val="fr-CH"/>
                </w:rPr>
                <w:t>ECE/TRANS/288</w:t>
              </w:r>
            </w:hyperlink>
          </w:p>
        </w:tc>
        <w:tc>
          <w:tcPr>
            <w:tcW w:w="4706" w:type="dxa"/>
          </w:tcPr>
          <w:p w14:paraId="67DB0EB5" w14:textId="77777777" w:rsidR="00065A5D" w:rsidRPr="00065A5D" w:rsidRDefault="00065A5D" w:rsidP="003B50AA">
            <w:pPr>
              <w:pStyle w:val="SingleTxt"/>
              <w:tabs>
                <w:tab w:val="left" w:pos="288"/>
                <w:tab w:val="left" w:pos="576"/>
                <w:tab w:val="left" w:pos="864"/>
                <w:tab w:val="left" w:pos="1152"/>
              </w:tabs>
              <w:spacing w:before="40"/>
              <w:ind w:left="57" w:right="176"/>
              <w:jc w:val="left"/>
              <w:rPr>
                <w:spacing w:val="0"/>
                <w:w w:val="100"/>
                <w:lang w:val="fr-CH"/>
              </w:rPr>
            </w:pPr>
            <w:r w:rsidRPr="00065A5D">
              <w:rPr>
                <w:spacing w:val="0"/>
                <w:w w:val="100"/>
                <w:lang w:val="fr-CH"/>
              </w:rPr>
              <w:t>Rapport du Comité des transports intérieurs sur sa quatre-vingt-unième session (adoption de la Résolution ministérielle sur le renforcement de la coopération, de l</w:t>
            </w:r>
            <w:r w:rsidR="00455787">
              <w:rPr>
                <w:spacing w:val="0"/>
                <w:w w:val="100"/>
                <w:lang w:val="fr-CH"/>
              </w:rPr>
              <w:t>’</w:t>
            </w:r>
            <w:r w:rsidRPr="00065A5D">
              <w:rPr>
                <w:spacing w:val="0"/>
                <w:w w:val="100"/>
                <w:lang w:val="fr-CH"/>
              </w:rPr>
              <w:t>harmonisation et de l</w:t>
            </w:r>
            <w:r w:rsidR="00455787">
              <w:rPr>
                <w:spacing w:val="0"/>
                <w:w w:val="100"/>
                <w:lang w:val="fr-CH"/>
              </w:rPr>
              <w:t>’</w:t>
            </w:r>
            <w:r w:rsidRPr="00065A5D">
              <w:rPr>
                <w:spacing w:val="0"/>
                <w:w w:val="100"/>
                <w:lang w:val="fr-CH"/>
              </w:rPr>
              <w:t>intégration à l</w:t>
            </w:r>
            <w:r w:rsidR="00455787">
              <w:rPr>
                <w:spacing w:val="0"/>
                <w:w w:val="100"/>
                <w:lang w:val="fr-CH"/>
              </w:rPr>
              <w:t>’</w:t>
            </w:r>
            <w:r w:rsidRPr="00065A5D">
              <w:rPr>
                <w:spacing w:val="0"/>
                <w:w w:val="100"/>
                <w:lang w:val="fr-CH"/>
              </w:rPr>
              <w:t>ère de la numérisation et de l</w:t>
            </w:r>
            <w:r w:rsidR="00455787">
              <w:rPr>
                <w:spacing w:val="0"/>
                <w:w w:val="100"/>
                <w:lang w:val="fr-CH"/>
              </w:rPr>
              <w:t>’</w:t>
            </w:r>
            <w:r w:rsidRPr="00065A5D">
              <w:rPr>
                <w:spacing w:val="0"/>
                <w:w w:val="100"/>
                <w:lang w:val="fr-CH"/>
              </w:rPr>
              <w:t>automatisation des transports, de la Résolution no 265 du Comité des transports intérieurs intitulée « Faciliter le développement des transports par voie navigable » rappelant la Déclaration ministérielle intitulée « La navigation intérieure dans le contexte international » ; et de la stratégie du Comité des transports intérieurs à l</w:t>
            </w:r>
            <w:r w:rsidR="00455787">
              <w:rPr>
                <w:spacing w:val="0"/>
                <w:w w:val="100"/>
                <w:lang w:val="fr-CH"/>
              </w:rPr>
              <w:t>’</w:t>
            </w:r>
            <w:r w:rsidRPr="00065A5D">
              <w:rPr>
                <w:spacing w:val="0"/>
                <w:w w:val="100"/>
                <w:lang w:val="fr-CH"/>
              </w:rPr>
              <w:t>horizon 2030)</w:t>
            </w:r>
          </w:p>
        </w:tc>
      </w:tr>
      <w:tr w:rsidR="00065A5D" w:rsidRPr="002274DC" w14:paraId="329361F0" w14:textId="77777777" w:rsidTr="003B50AA">
        <w:tc>
          <w:tcPr>
            <w:tcW w:w="3013" w:type="dxa"/>
            <w:hideMark/>
          </w:tcPr>
          <w:p w14:paraId="211227F1" w14:textId="176F156E" w:rsidR="00065A5D" w:rsidRPr="002274DC" w:rsidRDefault="00D643E9" w:rsidP="00AF5984">
            <w:pPr>
              <w:pStyle w:val="SingleTxt"/>
              <w:tabs>
                <w:tab w:val="left" w:pos="288"/>
                <w:tab w:val="left" w:pos="576"/>
                <w:tab w:val="left" w:pos="864"/>
                <w:tab w:val="left" w:pos="1152"/>
              </w:tabs>
              <w:spacing w:before="40"/>
              <w:ind w:left="0" w:right="40"/>
              <w:rPr>
                <w:lang w:val="fr-CH"/>
              </w:rPr>
            </w:pPr>
            <w:hyperlink r:id="rId61" w:history="1">
              <w:r w:rsidR="00065A5D" w:rsidRPr="00065A5D">
                <w:rPr>
                  <w:rStyle w:val="Lienhypertexte"/>
                  <w:spacing w:val="0"/>
                  <w:w w:val="100"/>
                  <w:lang w:val="fr-CH"/>
                </w:rPr>
                <w:t>B (66)</w:t>
              </w:r>
            </w:hyperlink>
          </w:p>
        </w:tc>
        <w:tc>
          <w:tcPr>
            <w:tcW w:w="4706" w:type="dxa"/>
            <w:hideMark/>
          </w:tcPr>
          <w:p w14:paraId="509300D2" w14:textId="77777777" w:rsidR="00065A5D" w:rsidRPr="00065A5D" w:rsidRDefault="00065A5D" w:rsidP="003B50AA">
            <w:pPr>
              <w:pStyle w:val="SingleTxt"/>
              <w:tabs>
                <w:tab w:val="left" w:pos="288"/>
                <w:tab w:val="left" w:pos="576"/>
                <w:tab w:val="left" w:pos="864"/>
                <w:tab w:val="left" w:pos="1152"/>
              </w:tabs>
              <w:spacing w:before="40"/>
              <w:ind w:left="57" w:right="176"/>
              <w:jc w:val="left"/>
              <w:rPr>
                <w:spacing w:val="0"/>
                <w:w w:val="100"/>
                <w:lang w:val="fr-CH"/>
              </w:rPr>
            </w:pPr>
            <w:r w:rsidRPr="00065A5D">
              <w:rPr>
                <w:spacing w:val="0"/>
                <w:w w:val="100"/>
                <w:lang w:val="fr-CH"/>
              </w:rPr>
              <w:t>Approbation de la Charte de Genève sur le logement durable</w:t>
            </w:r>
          </w:p>
        </w:tc>
      </w:tr>
      <w:tr w:rsidR="00065A5D" w:rsidRPr="002274DC" w14:paraId="1ECAACB7" w14:textId="77777777" w:rsidTr="003B50AA">
        <w:tc>
          <w:tcPr>
            <w:tcW w:w="7719" w:type="dxa"/>
            <w:gridSpan w:val="2"/>
            <w:hideMark/>
          </w:tcPr>
          <w:p w14:paraId="5B21125F" w14:textId="77777777" w:rsidR="00065A5D" w:rsidRPr="002274DC" w:rsidRDefault="00065A5D" w:rsidP="00065A5D">
            <w:pPr>
              <w:pStyle w:val="SingleTxt"/>
              <w:tabs>
                <w:tab w:val="left" w:pos="288"/>
                <w:tab w:val="left" w:pos="576"/>
                <w:tab w:val="left" w:pos="864"/>
                <w:tab w:val="left" w:pos="1152"/>
              </w:tabs>
              <w:spacing w:before="40"/>
              <w:ind w:left="0" w:right="40"/>
              <w:rPr>
                <w:lang w:val="fr-CH"/>
              </w:rPr>
            </w:pPr>
            <w:r w:rsidRPr="00065A5D">
              <w:rPr>
                <w:i/>
                <w:spacing w:val="0"/>
                <w:w w:val="100"/>
                <w:lang w:val="fr-CH"/>
              </w:rPr>
              <w:t>Décisions des organes créés en vertu d</w:t>
            </w:r>
            <w:r w:rsidR="00455787">
              <w:rPr>
                <w:i/>
                <w:spacing w:val="0"/>
                <w:w w:val="100"/>
                <w:lang w:val="fr-CH"/>
              </w:rPr>
              <w:t>’</w:t>
            </w:r>
            <w:r w:rsidRPr="00065A5D">
              <w:rPr>
                <w:i/>
                <w:spacing w:val="0"/>
                <w:w w:val="100"/>
                <w:lang w:val="fr-CH"/>
              </w:rPr>
              <w:t>accords des Nations Unies relatifs aux transports</w:t>
            </w:r>
          </w:p>
        </w:tc>
      </w:tr>
      <w:tr w:rsidR="00065A5D" w:rsidRPr="002274DC" w14:paraId="3FC65ED1" w14:textId="77777777" w:rsidTr="003B50AA">
        <w:tc>
          <w:tcPr>
            <w:tcW w:w="3013" w:type="dxa"/>
            <w:hideMark/>
          </w:tcPr>
          <w:p w14:paraId="6050B907" w14:textId="1B95ECE9" w:rsidR="00065A5D" w:rsidRPr="00065A5D" w:rsidRDefault="00D643E9" w:rsidP="00AF5984">
            <w:pPr>
              <w:pStyle w:val="SingleTxt"/>
              <w:tabs>
                <w:tab w:val="left" w:pos="288"/>
                <w:tab w:val="left" w:pos="576"/>
                <w:tab w:val="left" w:pos="864"/>
                <w:tab w:val="left" w:pos="1152"/>
              </w:tabs>
              <w:spacing w:before="40"/>
              <w:ind w:left="0" w:right="40"/>
              <w:rPr>
                <w:rStyle w:val="Lienhypertexte"/>
                <w:spacing w:val="0"/>
                <w:w w:val="100"/>
              </w:rPr>
            </w:pPr>
            <w:hyperlink r:id="rId62" w:history="1">
              <w:r w:rsidR="00065A5D" w:rsidRPr="00065A5D">
                <w:rPr>
                  <w:rStyle w:val="Lienhypertexte"/>
                  <w:spacing w:val="0"/>
                  <w:w w:val="100"/>
                  <w:lang w:val="fr-CH"/>
                </w:rPr>
                <w:t>E/ECE/TRANS/505/Rev.3</w:t>
              </w:r>
            </w:hyperlink>
          </w:p>
        </w:tc>
        <w:tc>
          <w:tcPr>
            <w:tcW w:w="4706" w:type="dxa"/>
            <w:hideMark/>
          </w:tcPr>
          <w:p w14:paraId="13D72580" w14:textId="77777777" w:rsidR="00065A5D" w:rsidRPr="00065A5D" w:rsidRDefault="00065A5D" w:rsidP="003B50AA">
            <w:pPr>
              <w:pStyle w:val="SingleTxt"/>
              <w:tabs>
                <w:tab w:val="left" w:pos="288"/>
                <w:tab w:val="left" w:pos="576"/>
                <w:tab w:val="left" w:pos="864"/>
                <w:tab w:val="left" w:pos="1152"/>
              </w:tabs>
              <w:spacing w:before="40"/>
              <w:ind w:left="57" w:right="176"/>
              <w:jc w:val="left"/>
              <w:rPr>
                <w:spacing w:val="0"/>
                <w:w w:val="100"/>
                <w:lang w:val="fr-CH"/>
              </w:rPr>
            </w:pPr>
            <w:r w:rsidRPr="00065A5D">
              <w:rPr>
                <w:spacing w:val="0"/>
                <w:w w:val="100"/>
                <w:lang w:val="fr-CH"/>
              </w:rPr>
              <w:t>Accord de 1958 concernant l</w:t>
            </w:r>
            <w:r w:rsidR="00455787">
              <w:rPr>
                <w:spacing w:val="0"/>
                <w:w w:val="100"/>
                <w:lang w:val="fr-CH"/>
              </w:rPr>
              <w:t>’</w:t>
            </w:r>
            <w:r w:rsidRPr="00065A5D">
              <w:rPr>
                <w:spacing w:val="0"/>
                <w:w w:val="100"/>
                <w:lang w:val="fr-CH"/>
              </w:rPr>
              <w:t>adoption de Règlements techniques harmonisés de l</w:t>
            </w:r>
            <w:r w:rsidR="00455787">
              <w:rPr>
                <w:spacing w:val="0"/>
                <w:w w:val="100"/>
                <w:lang w:val="fr-CH"/>
              </w:rPr>
              <w:t>’</w:t>
            </w:r>
            <w:r w:rsidRPr="00065A5D">
              <w:rPr>
                <w:spacing w:val="0"/>
                <w:w w:val="100"/>
                <w:lang w:val="fr-CH"/>
              </w:rPr>
              <w:t>ONU applicables aux véhicules à roues et aux équipements et pièces susceptibles d</w:t>
            </w:r>
            <w:r w:rsidR="00455787">
              <w:rPr>
                <w:spacing w:val="0"/>
                <w:w w:val="100"/>
                <w:lang w:val="fr-CH"/>
              </w:rPr>
              <w:t>’</w:t>
            </w:r>
            <w:r w:rsidRPr="00065A5D">
              <w:rPr>
                <w:spacing w:val="0"/>
                <w:w w:val="100"/>
                <w:lang w:val="fr-CH"/>
              </w:rPr>
              <w:t>être montés ou utilisés sur les véhicules à roues et les conditions de reconnaissance réciproque des homologations délivrées conformément à ces Règlements</w:t>
            </w:r>
          </w:p>
        </w:tc>
      </w:tr>
      <w:tr w:rsidR="00065A5D" w:rsidRPr="002274DC" w14:paraId="2B07AA86" w14:textId="77777777" w:rsidTr="003B50AA">
        <w:tc>
          <w:tcPr>
            <w:tcW w:w="3013" w:type="dxa"/>
            <w:hideMark/>
          </w:tcPr>
          <w:p w14:paraId="38303E0F" w14:textId="61AE7937" w:rsidR="00065A5D" w:rsidRPr="00065A5D" w:rsidRDefault="00D643E9" w:rsidP="00AF5984">
            <w:pPr>
              <w:pStyle w:val="SingleTxt"/>
              <w:tabs>
                <w:tab w:val="left" w:pos="288"/>
                <w:tab w:val="left" w:pos="576"/>
                <w:tab w:val="left" w:pos="864"/>
                <w:tab w:val="left" w:pos="1152"/>
              </w:tabs>
              <w:spacing w:before="40"/>
              <w:ind w:left="0" w:right="40"/>
              <w:rPr>
                <w:spacing w:val="0"/>
                <w:w w:val="100"/>
                <w:lang w:val="fr-CH"/>
              </w:rPr>
            </w:pPr>
            <w:hyperlink r:id="rId63" w:history="1">
              <w:r w:rsidR="00065A5D" w:rsidRPr="00065A5D">
                <w:rPr>
                  <w:rStyle w:val="Lienhypertexte"/>
                  <w:spacing w:val="0"/>
                  <w:w w:val="100"/>
                  <w:lang w:val="fr-CH"/>
                </w:rPr>
                <w:t>ECE/RCTE/CONF/4</w:t>
              </w:r>
            </w:hyperlink>
          </w:p>
        </w:tc>
        <w:tc>
          <w:tcPr>
            <w:tcW w:w="4706" w:type="dxa"/>
            <w:hideMark/>
          </w:tcPr>
          <w:p w14:paraId="2DC99FE4" w14:textId="77777777" w:rsidR="00065A5D" w:rsidRPr="00065A5D" w:rsidRDefault="00065A5D" w:rsidP="003B50AA">
            <w:pPr>
              <w:pStyle w:val="SingleTxt"/>
              <w:tabs>
                <w:tab w:val="left" w:pos="288"/>
                <w:tab w:val="left" w:pos="576"/>
                <w:tab w:val="left" w:pos="864"/>
                <w:tab w:val="left" w:pos="1152"/>
              </w:tabs>
              <w:spacing w:before="40"/>
              <w:ind w:left="57" w:right="176"/>
              <w:jc w:val="left"/>
              <w:rPr>
                <w:spacing w:val="0"/>
                <w:w w:val="100"/>
                <w:lang w:val="fr-CH"/>
              </w:rPr>
            </w:pPr>
            <w:r w:rsidRPr="00065A5D">
              <w:rPr>
                <w:spacing w:val="0"/>
                <w:w w:val="100"/>
                <w:lang w:val="fr-CH"/>
              </w:rPr>
              <w:t>Accord de 1997 concernant l</w:t>
            </w:r>
            <w:r w:rsidR="00455787">
              <w:rPr>
                <w:spacing w:val="0"/>
                <w:w w:val="100"/>
                <w:lang w:val="fr-CH"/>
              </w:rPr>
              <w:t>’</w:t>
            </w:r>
            <w:r w:rsidRPr="00065A5D">
              <w:rPr>
                <w:spacing w:val="0"/>
                <w:w w:val="100"/>
                <w:lang w:val="fr-CH"/>
              </w:rPr>
              <w:t xml:space="preserve">adoption de conditions uniformes applicables au contrôle technique périodique des véhicules </w:t>
            </w:r>
            <w:r w:rsidR="00455787" w:rsidRPr="00065A5D">
              <w:rPr>
                <w:spacing w:val="0"/>
                <w:w w:val="100"/>
                <w:lang w:val="fr-CH"/>
              </w:rPr>
              <w:t>à</w:t>
            </w:r>
            <w:r w:rsidRPr="00065A5D">
              <w:rPr>
                <w:spacing w:val="0"/>
                <w:w w:val="100"/>
                <w:lang w:val="fr-CH"/>
              </w:rPr>
              <w:t xml:space="preserve"> roues et la reconnaissance réciproque des contrôles</w:t>
            </w:r>
          </w:p>
        </w:tc>
      </w:tr>
      <w:tr w:rsidR="00065A5D" w:rsidRPr="002274DC" w14:paraId="544CDB10" w14:textId="77777777" w:rsidTr="003B50AA">
        <w:tc>
          <w:tcPr>
            <w:tcW w:w="3013" w:type="dxa"/>
            <w:hideMark/>
          </w:tcPr>
          <w:p w14:paraId="60258F19" w14:textId="7D6D1343" w:rsidR="00065A5D" w:rsidRPr="002274DC" w:rsidRDefault="00D643E9" w:rsidP="00AF5984">
            <w:pPr>
              <w:pStyle w:val="SingleTxt"/>
              <w:tabs>
                <w:tab w:val="left" w:pos="288"/>
                <w:tab w:val="left" w:pos="576"/>
                <w:tab w:val="left" w:pos="864"/>
                <w:tab w:val="left" w:pos="1152"/>
              </w:tabs>
              <w:spacing w:before="40"/>
              <w:ind w:left="0" w:right="40"/>
              <w:rPr>
                <w:lang w:val="fr-CH"/>
              </w:rPr>
            </w:pPr>
            <w:hyperlink r:id="rId64" w:history="1">
              <w:r w:rsidR="00065A5D" w:rsidRPr="00065A5D">
                <w:rPr>
                  <w:rStyle w:val="Lienhypertexte"/>
                  <w:spacing w:val="0"/>
                  <w:w w:val="100"/>
                  <w:lang w:val="fr-CH"/>
                </w:rPr>
                <w:t>ECE/TRANS/132</w:t>
              </w:r>
            </w:hyperlink>
          </w:p>
        </w:tc>
        <w:tc>
          <w:tcPr>
            <w:tcW w:w="4706" w:type="dxa"/>
            <w:hideMark/>
          </w:tcPr>
          <w:p w14:paraId="1BEFA9AC" w14:textId="77777777" w:rsidR="00065A5D" w:rsidRPr="00065A5D" w:rsidRDefault="00065A5D" w:rsidP="003B50AA">
            <w:pPr>
              <w:pStyle w:val="SingleTxt"/>
              <w:tabs>
                <w:tab w:val="left" w:pos="288"/>
                <w:tab w:val="left" w:pos="576"/>
                <w:tab w:val="left" w:pos="864"/>
                <w:tab w:val="left" w:pos="1152"/>
              </w:tabs>
              <w:spacing w:before="40"/>
              <w:ind w:left="57" w:right="176"/>
              <w:jc w:val="left"/>
              <w:rPr>
                <w:spacing w:val="0"/>
                <w:w w:val="100"/>
                <w:lang w:val="fr-CH"/>
              </w:rPr>
            </w:pPr>
            <w:r w:rsidRPr="00065A5D">
              <w:rPr>
                <w:spacing w:val="0"/>
                <w:w w:val="100"/>
                <w:lang w:val="fr-CH"/>
              </w:rPr>
              <w:t>Accord de 1998 concernant l</w:t>
            </w:r>
            <w:r w:rsidR="00455787">
              <w:rPr>
                <w:spacing w:val="0"/>
                <w:w w:val="100"/>
                <w:lang w:val="fr-CH"/>
              </w:rPr>
              <w:t>’</w:t>
            </w:r>
            <w:r w:rsidRPr="00065A5D">
              <w:rPr>
                <w:spacing w:val="0"/>
                <w:w w:val="100"/>
                <w:lang w:val="fr-CH"/>
              </w:rPr>
              <w:t>établissement de Règlements techniques mondiaux applicables aux véhicules à roues, ainsi qu</w:t>
            </w:r>
            <w:r w:rsidR="00455787">
              <w:rPr>
                <w:spacing w:val="0"/>
                <w:w w:val="100"/>
                <w:lang w:val="fr-CH"/>
              </w:rPr>
              <w:t>’</w:t>
            </w:r>
            <w:r w:rsidRPr="00065A5D">
              <w:rPr>
                <w:spacing w:val="0"/>
                <w:w w:val="100"/>
                <w:lang w:val="fr-CH"/>
              </w:rPr>
              <w:t>aux équipements et pièces qui peuvent être montés et/ou utilisés sur les véhicules à roues</w:t>
            </w:r>
          </w:p>
        </w:tc>
      </w:tr>
      <w:tr w:rsidR="00065A5D" w:rsidRPr="002274DC" w14:paraId="2B1F7BDD" w14:textId="77777777" w:rsidTr="003B50AA">
        <w:tc>
          <w:tcPr>
            <w:tcW w:w="3013" w:type="dxa"/>
            <w:hideMark/>
          </w:tcPr>
          <w:p w14:paraId="237CDBC4" w14:textId="09403A5B" w:rsidR="00065A5D" w:rsidRPr="002274DC" w:rsidRDefault="00D643E9" w:rsidP="00065A5D">
            <w:pPr>
              <w:pStyle w:val="SingleTxt"/>
              <w:tabs>
                <w:tab w:val="left" w:pos="288"/>
                <w:tab w:val="left" w:pos="576"/>
                <w:tab w:val="left" w:pos="864"/>
                <w:tab w:val="left" w:pos="1152"/>
              </w:tabs>
              <w:spacing w:before="40"/>
              <w:ind w:left="0" w:right="40"/>
              <w:rPr>
                <w:lang w:val="fr-CH"/>
              </w:rPr>
            </w:pPr>
            <w:hyperlink r:id="rId65" w:history="1">
              <w:r w:rsidR="00065A5D" w:rsidRPr="00065A5D">
                <w:rPr>
                  <w:rStyle w:val="Lienhypertexte"/>
                  <w:spacing w:val="0"/>
                  <w:w w:val="100"/>
                  <w:lang w:val="fr-CH"/>
                </w:rPr>
                <w:t>ECE/TRANS/ADN/CONF/10/Add.1</w:t>
              </w:r>
            </w:hyperlink>
            <w:r w:rsidR="00065A5D" w:rsidRPr="00455787">
              <w:rPr>
                <w:rStyle w:val="Lienhypertexte"/>
                <w:spacing w:val="0"/>
                <w:w w:val="100"/>
                <w:lang w:val="fr-CH"/>
              </w:rPr>
              <w:t xml:space="preserve"> </w:t>
            </w:r>
            <w:r w:rsidR="00065A5D" w:rsidRPr="00455787">
              <w:rPr>
                <w:rStyle w:val="Lienhypertexte"/>
                <w:color w:val="auto"/>
                <w:spacing w:val="0"/>
                <w:w w:val="100"/>
                <w:lang w:val="fr-CH"/>
              </w:rPr>
              <w:t xml:space="preserve">et </w:t>
            </w:r>
            <w:hyperlink r:id="rId66" w:history="1">
              <w:r w:rsidR="00065A5D" w:rsidRPr="00065A5D">
                <w:rPr>
                  <w:rStyle w:val="Lienhypertexte"/>
                  <w:spacing w:val="0"/>
                  <w:w w:val="100"/>
                  <w:lang w:val="fr-CH"/>
                </w:rPr>
                <w:t>Corr.1</w:t>
              </w:r>
            </w:hyperlink>
          </w:p>
        </w:tc>
        <w:tc>
          <w:tcPr>
            <w:tcW w:w="4706" w:type="dxa"/>
            <w:hideMark/>
          </w:tcPr>
          <w:p w14:paraId="0807B7B6" w14:textId="77777777" w:rsidR="00065A5D" w:rsidRPr="00065A5D" w:rsidRDefault="00065A5D" w:rsidP="003B50AA">
            <w:pPr>
              <w:pStyle w:val="SingleTxt"/>
              <w:tabs>
                <w:tab w:val="left" w:pos="288"/>
                <w:tab w:val="left" w:pos="576"/>
                <w:tab w:val="left" w:pos="864"/>
                <w:tab w:val="left" w:pos="1152"/>
              </w:tabs>
              <w:spacing w:before="40"/>
              <w:ind w:left="57" w:right="176"/>
              <w:jc w:val="left"/>
              <w:rPr>
                <w:spacing w:val="0"/>
                <w:w w:val="100"/>
                <w:lang w:val="fr-CH"/>
              </w:rPr>
            </w:pPr>
            <w:r w:rsidRPr="00065A5D">
              <w:rPr>
                <w:spacing w:val="0"/>
                <w:w w:val="100"/>
                <w:lang w:val="fr-CH"/>
              </w:rPr>
              <w:t>Accord européen relatif au transport international des marchandises dangereuses par voies de navigation intérieures</w:t>
            </w:r>
          </w:p>
        </w:tc>
      </w:tr>
      <w:tr w:rsidR="00065A5D" w:rsidRPr="002274DC" w14:paraId="3A13A663" w14:textId="77777777" w:rsidTr="003B50AA">
        <w:tc>
          <w:tcPr>
            <w:tcW w:w="3013" w:type="dxa"/>
            <w:hideMark/>
          </w:tcPr>
          <w:p w14:paraId="71DF9058" w14:textId="000B7D25" w:rsidR="00065A5D" w:rsidRPr="002274DC" w:rsidRDefault="00D643E9" w:rsidP="00AF5984">
            <w:pPr>
              <w:pStyle w:val="SingleTxt"/>
              <w:tabs>
                <w:tab w:val="left" w:pos="288"/>
                <w:tab w:val="left" w:pos="576"/>
                <w:tab w:val="left" w:pos="864"/>
                <w:tab w:val="left" w:pos="1152"/>
              </w:tabs>
              <w:spacing w:before="40"/>
              <w:ind w:left="0" w:right="40"/>
              <w:rPr>
                <w:lang w:val="fr-CH"/>
              </w:rPr>
            </w:pPr>
            <w:hyperlink r:id="rId67" w:history="1">
              <w:r w:rsidR="00065A5D" w:rsidRPr="00065A5D">
                <w:rPr>
                  <w:rStyle w:val="Lienhypertexte"/>
                  <w:spacing w:val="0"/>
                  <w:w w:val="100"/>
                  <w:lang w:val="fr-CH"/>
                </w:rPr>
                <w:t>ECE/TRANS/WP.30/AC.2/125</w:t>
              </w:r>
            </w:hyperlink>
          </w:p>
        </w:tc>
        <w:tc>
          <w:tcPr>
            <w:tcW w:w="4706" w:type="dxa"/>
            <w:hideMark/>
          </w:tcPr>
          <w:p w14:paraId="28B16F9D" w14:textId="50A528BE" w:rsidR="00065A5D" w:rsidRPr="00065A5D" w:rsidRDefault="00065A5D" w:rsidP="003B50AA">
            <w:pPr>
              <w:pStyle w:val="SingleTxt"/>
              <w:tabs>
                <w:tab w:val="left" w:pos="288"/>
                <w:tab w:val="left" w:pos="576"/>
                <w:tab w:val="left" w:pos="864"/>
                <w:tab w:val="left" w:pos="1152"/>
              </w:tabs>
              <w:spacing w:before="40"/>
              <w:ind w:left="57" w:right="176"/>
              <w:jc w:val="left"/>
              <w:rPr>
                <w:spacing w:val="0"/>
                <w:w w:val="100"/>
                <w:lang w:val="fr-CH"/>
              </w:rPr>
            </w:pPr>
            <w:r w:rsidRPr="00065A5D">
              <w:rPr>
                <w:spacing w:val="0"/>
                <w:w w:val="100"/>
                <w:lang w:val="fr-CH"/>
              </w:rPr>
              <w:t>Rapport du Comité de gestion de la Convention TIR de 1975 sur sa soixante et unième session (annexe II, « Déclaration commune sur l</w:t>
            </w:r>
            <w:r w:rsidR="00455787">
              <w:rPr>
                <w:spacing w:val="0"/>
                <w:w w:val="100"/>
                <w:lang w:val="fr-CH"/>
              </w:rPr>
              <w:t>’</w:t>
            </w:r>
            <w:r w:rsidRPr="00065A5D">
              <w:rPr>
                <w:spacing w:val="0"/>
                <w:w w:val="100"/>
                <w:lang w:val="fr-CH"/>
              </w:rPr>
              <w:t xml:space="preserve">informatisation </w:t>
            </w:r>
            <w:r w:rsidR="00DC106D">
              <w:rPr>
                <w:spacing w:val="0"/>
                <w:w w:val="100"/>
                <w:lang w:val="fr-CH"/>
              </w:rPr>
              <w:br/>
            </w:r>
            <w:r w:rsidRPr="00065A5D">
              <w:rPr>
                <w:spacing w:val="0"/>
                <w:w w:val="100"/>
                <w:lang w:val="fr-CH"/>
              </w:rPr>
              <w:t>du régime TIR »)</w:t>
            </w:r>
          </w:p>
        </w:tc>
      </w:tr>
    </w:tbl>
    <w:p w14:paraId="1EE30154" w14:textId="77777777" w:rsidR="00065A5D" w:rsidRPr="00065A5D" w:rsidRDefault="00065A5D" w:rsidP="00065A5D"/>
    <w:p w14:paraId="05B6B36F" w14:textId="77777777" w:rsidR="004D6315" w:rsidRPr="002274DC" w:rsidRDefault="004D6315" w:rsidP="004D6315">
      <w:pPr>
        <w:rPr>
          <w:b/>
          <w:sz w:val="28"/>
        </w:rPr>
      </w:pPr>
      <w:r w:rsidRPr="002274DC">
        <w:br w:type="page"/>
      </w:r>
    </w:p>
    <w:p w14:paraId="4D0E5A7A" w14:textId="77777777" w:rsidR="004D6315" w:rsidRPr="002274DC" w:rsidRDefault="004D6315" w:rsidP="006567CD">
      <w:pPr>
        <w:pStyle w:val="HChG"/>
      </w:pPr>
      <w:r w:rsidRPr="002274DC">
        <w:lastRenderedPageBreak/>
        <w:t>Annexe III</w:t>
      </w:r>
    </w:p>
    <w:p w14:paraId="3AB1DA27" w14:textId="77777777" w:rsidR="004D6315" w:rsidRPr="002274DC" w:rsidRDefault="004D6315" w:rsidP="006567CD">
      <w:pPr>
        <w:pStyle w:val="H1G"/>
      </w:pPr>
      <w:r w:rsidRPr="002274DC">
        <w:tab/>
      </w:r>
      <w:r w:rsidRPr="002274DC">
        <w:tab/>
        <w:t>Modification</w:t>
      </w:r>
      <w:r>
        <w:t>s</w:t>
      </w:r>
      <w:r w:rsidRPr="002274DC">
        <w:t xml:space="preserve"> </w:t>
      </w:r>
      <w:r>
        <w:t xml:space="preserve">relatives aux </w:t>
      </w:r>
      <w:r w:rsidRPr="002274DC">
        <w:t>éléments à livrer en 2021</w:t>
      </w:r>
    </w:p>
    <w:p w14:paraId="540AF038" w14:textId="77777777" w:rsidR="004D6315" w:rsidRDefault="004D6315" w:rsidP="007027E2">
      <w:pPr>
        <w:pStyle w:val="Titre1"/>
        <w:spacing w:after="240"/>
        <w:ind w:left="0"/>
        <w:rPr>
          <w:b/>
          <w:bCs/>
        </w:rPr>
      </w:pPr>
      <w:r w:rsidRPr="002274DC">
        <w:t>Tableau 1</w:t>
      </w:r>
      <w:r w:rsidR="007027E2">
        <w:t xml:space="preserve"> </w:t>
      </w:r>
      <w:r w:rsidR="007027E2">
        <w:br/>
      </w:r>
      <w:r w:rsidRPr="002274DC">
        <w:rPr>
          <w:b/>
          <w:bCs/>
        </w:rPr>
        <w:t xml:space="preserve">Liste des éléments à livrer en 2021 </w:t>
      </w:r>
      <w:r w:rsidR="003B50AA">
        <w:rPr>
          <w:b/>
          <w:bCs/>
        </w:rPr>
        <w:t>−</w:t>
      </w:r>
      <w:r>
        <w:rPr>
          <w:b/>
          <w:bCs/>
        </w:rPr>
        <w:t xml:space="preserve"> éléments </w:t>
      </w:r>
      <w:r w:rsidRPr="002274DC">
        <w:rPr>
          <w:b/>
          <w:bCs/>
        </w:rPr>
        <w:t>révisés ou éléments supplémentaires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39"/>
        <w:gridCol w:w="1726"/>
        <w:gridCol w:w="1774"/>
      </w:tblGrid>
      <w:tr w:rsidR="007027E2" w:rsidRPr="007027E2" w14:paraId="089E637B" w14:textId="77777777" w:rsidTr="00DB1C33">
        <w:trPr>
          <w:tblHeader/>
        </w:trPr>
        <w:tc>
          <w:tcPr>
            <w:tcW w:w="5749" w:type="dxa"/>
            <w:tcBorders>
              <w:top w:val="single" w:sz="4" w:space="0" w:color="auto"/>
              <w:left w:val="single" w:sz="4" w:space="0" w:color="auto"/>
              <w:bottom w:val="single" w:sz="4" w:space="0" w:color="auto"/>
              <w:right w:val="single" w:sz="4" w:space="0" w:color="auto"/>
            </w:tcBorders>
            <w:vAlign w:val="bottom"/>
            <w:hideMark/>
          </w:tcPr>
          <w:p w14:paraId="42AE7D52" w14:textId="77777777" w:rsidR="007027E2" w:rsidRPr="007027E2" w:rsidRDefault="007027E2" w:rsidP="00AF5984">
            <w:pPr>
              <w:keepNext/>
              <w:keepLines/>
              <w:spacing w:before="80" w:after="80" w:line="160" w:lineRule="exact"/>
              <w:ind w:right="40"/>
              <w:rPr>
                <w:rFonts w:eastAsia="Calibri"/>
                <w:i/>
                <w:kern w:val="14"/>
                <w:sz w:val="14"/>
                <w:szCs w:val="22"/>
                <w:lang w:eastAsia="zh-CN"/>
              </w:rPr>
            </w:pPr>
            <w:r w:rsidRPr="007027E2">
              <w:rPr>
                <w:rFonts w:eastAsia="Calibri"/>
                <w:i/>
                <w:kern w:val="14"/>
                <w:sz w:val="14"/>
              </w:rPr>
              <w:t>Catégorie et sous-catégorie</w:t>
            </w:r>
          </w:p>
        </w:tc>
        <w:tc>
          <w:tcPr>
            <w:tcW w:w="1616" w:type="dxa"/>
            <w:tcBorders>
              <w:top w:val="single" w:sz="4" w:space="0" w:color="auto"/>
              <w:left w:val="single" w:sz="4" w:space="0" w:color="auto"/>
              <w:bottom w:val="single" w:sz="4" w:space="0" w:color="auto"/>
              <w:right w:val="single" w:sz="4" w:space="0" w:color="auto"/>
            </w:tcBorders>
            <w:hideMark/>
          </w:tcPr>
          <w:p w14:paraId="3B0A789F" w14:textId="77777777" w:rsidR="007027E2" w:rsidRPr="007027E2" w:rsidRDefault="007027E2" w:rsidP="00AF5984">
            <w:pPr>
              <w:keepNext/>
              <w:keepLines/>
              <w:spacing w:before="80" w:after="80" w:line="160" w:lineRule="exact"/>
              <w:ind w:left="144" w:right="43"/>
              <w:jc w:val="right"/>
              <w:rPr>
                <w:rFonts w:eastAsia="Calibri"/>
                <w:i/>
                <w:iCs/>
                <w:kern w:val="14"/>
                <w:sz w:val="14"/>
                <w:szCs w:val="14"/>
                <w:lang w:eastAsia="zh-CN"/>
              </w:rPr>
            </w:pPr>
            <w:r w:rsidRPr="007027E2">
              <w:rPr>
                <w:rFonts w:eastAsia="Calibri"/>
                <w:i/>
                <w:iCs/>
                <w:kern w:val="14"/>
                <w:sz w:val="14"/>
                <w:szCs w:val="14"/>
              </w:rPr>
              <w:t xml:space="preserve">Éléments prévus en 2021, conformément au document A/75/6 (Sect.20) </w:t>
            </w:r>
          </w:p>
        </w:tc>
        <w:tc>
          <w:tcPr>
            <w:tcW w:w="1661" w:type="dxa"/>
            <w:tcBorders>
              <w:top w:val="single" w:sz="4" w:space="0" w:color="auto"/>
              <w:left w:val="single" w:sz="4" w:space="0" w:color="auto"/>
              <w:bottom w:val="single" w:sz="4" w:space="0" w:color="auto"/>
              <w:right w:val="single" w:sz="4" w:space="0" w:color="auto"/>
            </w:tcBorders>
            <w:vAlign w:val="bottom"/>
            <w:hideMark/>
          </w:tcPr>
          <w:p w14:paraId="1BC250B1" w14:textId="77777777" w:rsidR="007027E2" w:rsidRPr="007027E2" w:rsidRDefault="007027E2" w:rsidP="00AF5984">
            <w:pPr>
              <w:keepNext/>
              <w:keepLines/>
              <w:spacing w:before="80" w:after="80" w:line="160" w:lineRule="exact"/>
              <w:ind w:left="144" w:right="43"/>
              <w:jc w:val="right"/>
              <w:rPr>
                <w:rFonts w:eastAsia="Calibri"/>
                <w:i/>
                <w:iCs/>
                <w:kern w:val="14"/>
                <w:sz w:val="14"/>
                <w:szCs w:val="14"/>
                <w:lang w:eastAsia="zh-CN"/>
              </w:rPr>
            </w:pPr>
            <w:r w:rsidRPr="007027E2">
              <w:rPr>
                <w:rFonts w:eastAsia="Calibri"/>
                <w:i/>
                <w:iCs/>
                <w:kern w:val="14"/>
                <w:sz w:val="14"/>
                <w:szCs w:val="14"/>
              </w:rPr>
              <w:t>Éléments prévus en 2021 (révisés ou supplémentaires)</w:t>
            </w:r>
          </w:p>
        </w:tc>
      </w:tr>
      <w:tr w:rsidR="007027E2" w:rsidRPr="007027E2" w14:paraId="7F1E2ABA" w14:textId="77777777" w:rsidTr="00DB1C33">
        <w:tc>
          <w:tcPr>
            <w:tcW w:w="5749" w:type="dxa"/>
            <w:tcBorders>
              <w:top w:val="single" w:sz="4" w:space="0" w:color="auto"/>
              <w:left w:val="single" w:sz="4" w:space="0" w:color="auto"/>
              <w:bottom w:val="single" w:sz="4" w:space="0" w:color="auto"/>
              <w:right w:val="single" w:sz="4" w:space="0" w:color="auto"/>
            </w:tcBorders>
            <w:vAlign w:val="bottom"/>
            <w:hideMark/>
          </w:tcPr>
          <w:p w14:paraId="3F5B1C9B" w14:textId="77777777" w:rsidR="007027E2" w:rsidRPr="007027E2" w:rsidRDefault="007027E2" w:rsidP="00AF5984">
            <w:pPr>
              <w:keepNext/>
              <w:keepLines/>
              <w:tabs>
                <w:tab w:val="left" w:pos="288"/>
                <w:tab w:val="left" w:pos="576"/>
                <w:tab w:val="left" w:pos="864"/>
                <w:tab w:val="left" w:pos="1152"/>
              </w:tabs>
              <w:spacing w:before="40" w:after="40" w:line="210" w:lineRule="exact"/>
              <w:ind w:right="43"/>
              <w:rPr>
                <w:rFonts w:eastAsia="Calibri"/>
                <w:b/>
                <w:strike/>
                <w:kern w:val="14"/>
                <w:sz w:val="24"/>
                <w:szCs w:val="24"/>
                <w:lang w:eastAsia="zh-CN"/>
              </w:rPr>
            </w:pPr>
            <w:r w:rsidRPr="007027E2">
              <w:rPr>
                <w:rFonts w:eastAsia="Calibri"/>
                <w:b/>
                <w:kern w:val="14"/>
                <w:sz w:val="24"/>
                <w:szCs w:val="24"/>
              </w:rPr>
              <w:t>A.</w:t>
            </w:r>
            <w:r w:rsidRPr="007027E2">
              <w:rPr>
                <w:rFonts w:eastAsia="Calibri"/>
                <w:b/>
                <w:kern w:val="14"/>
                <w:sz w:val="24"/>
                <w:szCs w:val="24"/>
              </w:rPr>
              <w:tab/>
              <w:t>Facilitation des travaux des organes intergouvernementaux et des organes d</w:t>
            </w:r>
            <w:r w:rsidR="00455787">
              <w:rPr>
                <w:rFonts w:eastAsia="Calibri"/>
                <w:b/>
                <w:kern w:val="14"/>
                <w:sz w:val="24"/>
                <w:szCs w:val="24"/>
              </w:rPr>
              <w:t>’</w:t>
            </w:r>
            <w:r w:rsidRPr="007027E2">
              <w:rPr>
                <w:rFonts w:eastAsia="Calibri"/>
                <w:b/>
                <w:kern w:val="14"/>
                <w:sz w:val="24"/>
                <w:szCs w:val="24"/>
              </w:rPr>
              <w:t>experts</w:t>
            </w:r>
          </w:p>
        </w:tc>
        <w:tc>
          <w:tcPr>
            <w:tcW w:w="1616" w:type="dxa"/>
            <w:tcBorders>
              <w:top w:val="single" w:sz="4" w:space="0" w:color="auto"/>
              <w:left w:val="single" w:sz="4" w:space="0" w:color="auto"/>
              <w:bottom w:val="single" w:sz="4" w:space="0" w:color="auto"/>
              <w:right w:val="single" w:sz="4" w:space="0" w:color="auto"/>
            </w:tcBorders>
          </w:tcPr>
          <w:p w14:paraId="2565459F" w14:textId="77777777" w:rsidR="007027E2" w:rsidRPr="007027E2" w:rsidRDefault="007027E2" w:rsidP="00AF5984">
            <w:pPr>
              <w:keepNext/>
              <w:keepLines/>
              <w:tabs>
                <w:tab w:val="left" w:pos="288"/>
                <w:tab w:val="left" w:pos="576"/>
                <w:tab w:val="left" w:pos="864"/>
                <w:tab w:val="left" w:pos="1152"/>
              </w:tabs>
              <w:spacing w:before="40" w:after="40" w:line="210" w:lineRule="exact"/>
              <w:ind w:right="113"/>
              <w:jc w:val="right"/>
              <w:rPr>
                <w:rFonts w:eastAsia="Calibri"/>
                <w:b/>
                <w:kern w:val="14"/>
                <w:sz w:val="17"/>
                <w:szCs w:val="22"/>
                <w:lang w:eastAsia="zh-CN"/>
              </w:rPr>
            </w:pPr>
          </w:p>
        </w:tc>
        <w:tc>
          <w:tcPr>
            <w:tcW w:w="1661" w:type="dxa"/>
            <w:tcBorders>
              <w:top w:val="single" w:sz="4" w:space="0" w:color="auto"/>
              <w:left w:val="single" w:sz="4" w:space="0" w:color="auto"/>
              <w:bottom w:val="single" w:sz="4" w:space="0" w:color="auto"/>
              <w:right w:val="single" w:sz="4" w:space="0" w:color="auto"/>
            </w:tcBorders>
            <w:vAlign w:val="bottom"/>
          </w:tcPr>
          <w:p w14:paraId="392C9A09" w14:textId="77777777" w:rsidR="007027E2" w:rsidRPr="007027E2" w:rsidRDefault="007027E2" w:rsidP="00AF5984">
            <w:pPr>
              <w:keepNext/>
              <w:keepLines/>
              <w:tabs>
                <w:tab w:val="left" w:pos="288"/>
                <w:tab w:val="left" w:pos="576"/>
                <w:tab w:val="left" w:pos="864"/>
                <w:tab w:val="left" w:pos="1152"/>
              </w:tabs>
              <w:spacing w:before="40" w:after="40" w:line="210" w:lineRule="exact"/>
              <w:ind w:right="113"/>
              <w:jc w:val="right"/>
              <w:rPr>
                <w:rFonts w:eastAsia="Calibri"/>
                <w:b/>
                <w:kern w:val="14"/>
                <w:sz w:val="17"/>
                <w:szCs w:val="22"/>
                <w:lang w:eastAsia="zh-CN"/>
              </w:rPr>
            </w:pPr>
          </w:p>
        </w:tc>
      </w:tr>
      <w:tr w:rsidR="007027E2" w:rsidRPr="007027E2" w14:paraId="3DCECA1D" w14:textId="77777777" w:rsidTr="00DB1C33">
        <w:tc>
          <w:tcPr>
            <w:tcW w:w="5749" w:type="dxa"/>
            <w:tcBorders>
              <w:top w:val="single" w:sz="4" w:space="0" w:color="auto"/>
              <w:left w:val="single" w:sz="4" w:space="0" w:color="auto"/>
              <w:bottom w:val="single" w:sz="4" w:space="0" w:color="auto"/>
              <w:right w:val="single" w:sz="4" w:space="0" w:color="auto"/>
            </w:tcBorders>
            <w:vAlign w:val="bottom"/>
            <w:hideMark/>
          </w:tcPr>
          <w:p w14:paraId="435A0B25" w14:textId="77777777" w:rsidR="007027E2" w:rsidRPr="007027E2" w:rsidRDefault="007027E2" w:rsidP="00AF5984">
            <w:pPr>
              <w:keepNext/>
              <w:keepLines/>
              <w:tabs>
                <w:tab w:val="left" w:pos="288"/>
                <w:tab w:val="left" w:pos="576"/>
                <w:tab w:val="left" w:pos="864"/>
                <w:tab w:val="left" w:pos="1152"/>
              </w:tabs>
              <w:spacing w:before="40" w:after="40" w:line="210" w:lineRule="exact"/>
              <w:ind w:right="43"/>
              <w:rPr>
                <w:rFonts w:eastAsia="Calibri"/>
                <w:b/>
                <w:i/>
                <w:strike/>
                <w:kern w:val="14"/>
                <w:lang w:eastAsia="zh-CN"/>
              </w:rPr>
            </w:pPr>
            <w:r w:rsidRPr="007027E2">
              <w:rPr>
                <w:rFonts w:eastAsia="Calibri"/>
                <w:b/>
                <w:kern w:val="14"/>
              </w:rPr>
              <w:tab/>
              <w:t xml:space="preserve">Documentation destinée aux organes délibérants </w:t>
            </w:r>
            <w:r w:rsidRPr="007027E2">
              <w:rPr>
                <w:rFonts w:eastAsia="Calibri"/>
                <w:bCs/>
                <w:kern w:val="14"/>
              </w:rPr>
              <w:t xml:space="preserve">(nombre de documents) – </w:t>
            </w:r>
            <w:r w:rsidRPr="007027E2">
              <w:rPr>
                <w:rFonts w:eastAsia="Calibri"/>
                <w:b/>
                <w:kern w:val="14"/>
              </w:rPr>
              <w:t>documents révisés ou supplémentaires</w:t>
            </w:r>
          </w:p>
        </w:tc>
        <w:tc>
          <w:tcPr>
            <w:tcW w:w="1616" w:type="dxa"/>
            <w:tcBorders>
              <w:top w:val="single" w:sz="4" w:space="0" w:color="auto"/>
              <w:left w:val="single" w:sz="4" w:space="0" w:color="auto"/>
              <w:bottom w:val="single" w:sz="4" w:space="0" w:color="auto"/>
              <w:right w:val="single" w:sz="4" w:space="0" w:color="auto"/>
            </w:tcBorders>
            <w:hideMark/>
          </w:tcPr>
          <w:p w14:paraId="706A61BB" w14:textId="77777777" w:rsidR="007027E2" w:rsidRPr="007027E2" w:rsidRDefault="007027E2" w:rsidP="00AF5984">
            <w:pPr>
              <w:keepNext/>
              <w:keepLines/>
              <w:tabs>
                <w:tab w:val="left" w:pos="288"/>
                <w:tab w:val="left" w:pos="576"/>
                <w:tab w:val="left" w:pos="864"/>
                <w:tab w:val="left" w:pos="1152"/>
              </w:tabs>
              <w:spacing w:before="40" w:after="40" w:line="210" w:lineRule="exact"/>
              <w:ind w:right="113"/>
              <w:jc w:val="right"/>
              <w:rPr>
                <w:rFonts w:eastAsia="Calibri"/>
                <w:b/>
                <w:bCs/>
                <w:kern w:val="14"/>
                <w:lang w:eastAsia="zh-CN"/>
              </w:rPr>
            </w:pPr>
            <w:r w:rsidRPr="007027E2">
              <w:rPr>
                <w:rFonts w:eastAsia="Calibri"/>
                <w:b/>
                <w:bCs/>
                <w:kern w:val="14"/>
              </w:rPr>
              <w:t>90</w:t>
            </w:r>
          </w:p>
        </w:tc>
        <w:tc>
          <w:tcPr>
            <w:tcW w:w="1661" w:type="dxa"/>
            <w:tcBorders>
              <w:top w:val="single" w:sz="4" w:space="0" w:color="auto"/>
              <w:left w:val="single" w:sz="4" w:space="0" w:color="auto"/>
              <w:bottom w:val="single" w:sz="4" w:space="0" w:color="auto"/>
              <w:right w:val="single" w:sz="4" w:space="0" w:color="auto"/>
            </w:tcBorders>
            <w:vAlign w:val="bottom"/>
          </w:tcPr>
          <w:p w14:paraId="3C34343A" w14:textId="77777777" w:rsidR="007027E2" w:rsidRPr="007027E2" w:rsidRDefault="007027E2" w:rsidP="00AF5984">
            <w:pPr>
              <w:keepNext/>
              <w:keepLines/>
              <w:tabs>
                <w:tab w:val="left" w:pos="288"/>
                <w:tab w:val="left" w:pos="576"/>
                <w:tab w:val="left" w:pos="864"/>
                <w:tab w:val="left" w:pos="1152"/>
              </w:tabs>
              <w:spacing w:before="40" w:after="40" w:line="210" w:lineRule="exact"/>
              <w:ind w:right="113"/>
              <w:jc w:val="right"/>
              <w:rPr>
                <w:rFonts w:eastAsia="Calibri"/>
                <w:b/>
                <w:bCs/>
                <w:kern w:val="14"/>
              </w:rPr>
            </w:pPr>
            <w:r w:rsidRPr="007027E2">
              <w:rPr>
                <w:rFonts w:eastAsia="Calibri"/>
                <w:b/>
                <w:bCs/>
                <w:kern w:val="14"/>
              </w:rPr>
              <w:t>195</w:t>
            </w:r>
          </w:p>
          <w:p w14:paraId="39C46120" w14:textId="77777777" w:rsidR="007027E2" w:rsidRPr="007027E2" w:rsidRDefault="007027E2" w:rsidP="00AF5984">
            <w:pPr>
              <w:keepNext/>
              <w:keepLines/>
              <w:tabs>
                <w:tab w:val="left" w:pos="288"/>
                <w:tab w:val="left" w:pos="576"/>
                <w:tab w:val="left" w:pos="864"/>
                <w:tab w:val="left" w:pos="1152"/>
              </w:tabs>
              <w:spacing w:before="40" w:after="40" w:line="210" w:lineRule="exact"/>
              <w:ind w:right="113"/>
              <w:jc w:val="right"/>
              <w:rPr>
                <w:rFonts w:eastAsia="Calibri"/>
                <w:b/>
                <w:bCs/>
                <w:kern w:val="14"/>
                <w:lang w:eastAsia="zh-CN"/>
              </w:rPr>
            </w:pPr>
          </w:p>
        </w:tc>
      </w:tr>
      <w:tr w:rsidR="007027E2" w:rsidRPr="007027E2" w14:paraId="1B87A7EE" w14:textId="77777777" w:rsidTr="00DB1C33">
        <w:tc>
          <w:tcPr>
            <w:tcW w:w="5749" w:type="dxa"/>
            <w:tcBorders>
              <w:top w:val="single" w:sz="4" w:space="0" w:color="auto"/>
              <w:left w:val="single" w:sz="4" w:space="0" w:color="auto"/>
              <w:bottom w:val="single" w:sz="4" w:space="0" w:color="auto"/>
              <w:right w:val="single" w:sz="4" w:space="0" w:color="auto"/>
            </w:tcBorders>
            <w:vAlign w:val="bottom"/>
            <w:hideMark/>
          </w:tcPr>
          <w:p w14:paraId="412C8AEF" w14:textId="77777777" w:rsidR="007027E2" w:rsidRPr="007027E2" w:rsidRDefault="007027E2" w:rsidP="00AF5984">
            <w:pPr>
              <w:tabs>
                <w:tab w:val="left" w:pos="284"/>
                <w:tab w:val="left" w:pos="567"/>
                <w:tab w:val="left" w:pos="1152"/>
              </w:tabs>
              <w:spacing w:before="40" w:after="40" w:line="210" w:lineRule="exact"/>
              <w:ind w:left="284" w:right="43"/>
              <w:rPr>
                <w:rFonts w:eastAsia="Calibri"/>
                <w:b/>
                <w:bCs/>
                <w:kern w:val="14"/>
                <w:sz w:val="17"/>
                <w:szCs w:val="17"/>
                <w:lang w:eastAsia="zh-CN"/>
              </w:rPr>
            </w:pPr>
            <w:r w:rsidRPr="007027E2">
              <w:rPr>
                <w:rFonts w:eastAsia="Calibri"/>
                <w:b/>
                <w:bCs/>
                <w:kern w:val="14"/>
                <w:sz w:val="17"/>
                <w:szCs w:val="17"/>
              </w:rPr>
              <w:t>1.</w:t>
            </w:r>
            <w:r w:rsidRPr="007027E2">
              <w:rPr>
                <w:rFonts w:eastAsia="Calibri"/>
                <w:b/>
                <w:bCs/>
                <w:kern w:val="14"/>
                <w:sz w:val="17"/>
                <w:szCs w:val="17"/>
              </w:rPr>
              <w:tab/>
              <w:t xml:space="preserve">Documentation destinée au Comité des transports intérieurs </w:t>
            </w:r>
            <w:r w:rsidRPr="007027E2">
              <w:rPr>
                <w:rFonts w:eastAsia="Calibri"/>
                <w:bCs/>
                <w:kern w:val="14"/>
                <w:sz w:val="17"/>
                <w:szCs w:val="17"/>
              </w:rPr>
              <w:t xml:space="preserve">– </w:t>
            </w:r>
            <w:r w:rsidRPr="007027E2">
              <w:rPr>
                <w:rFonts w:eastAsia="Calibri"/>
                <w:b/>
                <w:kern w:val="14"/>
                <w:sz w:val="17"/>
                <w:szCs w:val="17"/>
              </w:rPr>
              <w:t>documents révisés ou supplémentaires</w:t>
            </w:r>
          </w:p>
        </w:tc>
        <w:tc>
          <w:tcPr>
            <w:tcW w:w="1616" w:type="dxa"/>
            <w:tcBorders>
              <w:top w:val="single" w:sz="4" w:space="0" w:color="auto"/>
              <w:left w:val="single" w:sz="4" w:space="0" w:color="auto"/>
              <w:bottom w:val="single" w:sz="4" w:space="0" w:color="auto"/>
              <w:right w:val="single" w:sz="4" w:space="0" w:color="auto"/>
            </w:tcBorders>
            <w:hideMark/>
          </w:tcPr>
          <w:p w14:paraId="64DAC8D7" w14:textId="77777777" w:rsidR="007027E2" w:rsidRPr="007027E2" w:rsidRDefault="007027E2" w:rsidP="00AF5984">
            <w:pPr>
              <w:spacing w:before="40" w:after="40" w:line="210" w:lineRule="exact"/>
              <w:ind w:right="113"/>
              <w:jc w:val="right"/>
              <w:rPr>
                <w:rFonts w:eastAsia="Calibri"/>
                <w:b/>
                <w:bCs/>
                <w:kern w:val="14"/>
                <w:sz w:val="17"/>
                <w:szCs w:val="17"/>
                <w:lang w:eastAsia="zh-CN"/>
              </w:rPr>
            </w:pPr>
            <w:r w:rsidRPr="007027E2">
              <w:rPr>
                <w:rFonts w:eastAsia="Calibri"/>
                <w:b/>
                <w:bCs/>
                <w:kern w:val="14"/>
                <w:sz w:val="17"/>
                <w:szCs w:val="17"/>
              </w:rPr>
              <w:t>87</w:t>
            </w:r>
          </w:p>
        </w:tc>
        <w:tc>
          <w:tcPr>
            <w:tcW w:w="1661" w:type="dxa"/>
            <w:tcBorders>
              <w:top w:val="single" w:sz="4" w:space="0" w:color="auto"/>
              <w:left w:val="single" w:sz="4" w:space="0" w:color="auto"/>
              <w:bottom w:val="single" w:sz="4" w:space="0" w:color="auto"/>
              <w:right w:val="single" w:sz="4" w:space="0" w:color="auto"/>
            </w:tcBorders>
            <w:hideMark/>
          </w:tcPr>
          <w:p w14:paraId="3857CE07" w14:textId="77777777" w:rsidR="007027E2" w:rsidRPr="007027E2" w:rsidRDefault="007027E2" w:rsidP="00AF5984">
            <w:pPr>
              <w:spacing w:before="40" w:after="40" w:line="210" w:lineRule="exact"/>
              <w:ind w:right="113"/>
              <w:jc w:val="right"/>
              <w:rPr>
                <w:rFonts w:eastAsia="Calibri"/>
                <w:b/>
                <w:bCs/>
                <w:kern w:val="14"/>
                <w:sz w:val="17"/>
                <w:szCs w:val="17"/>
                <w:lang w:eastAsia="zh-CN"/>
              </w:rPr>
            </w:pPr>
            <w:r w:rsidRPr="007027E2">
              <w:rPr>
                <w:rFonts w:eastAsia="Calibri"/>
                <w:b/>
                <w:bCs/>
                <w:kern w:val="14"/>
                <w:sz w:val="17"/>
                <w:szCs w:val="17"/>
              </w:rPr>
              <w:t>191</w:t>
            </w:r>
          </w:p>
        </w:tc>
      </w:tr>
      <w:tr w:rsidR="007027E2" w:rsidRPr="007027E2" w14:paraId="12AADCF9" w14:textId="77777777" w:rsidTr="00DB1C33">
        <w:tc>
          <w:tcPr>
            <w:tcW w:w="5749" w:type="dxa"/>
            <w:tcBorders>
              <w:top w:val="single" w:sz="4" w:space="0" w:color="auto"/>
              <w:left w:val="single" w:sz="4" w:space="0" w:color="auto"/>
              <w:bottom w:val="single" w:sz="4" w:space="0" w:color="auto"/>
              <w:right w:val="single" w:sz="4" w:space="0" w:color="auto"/>
            </w:tcBorders>
            <w:vAlign w:val="bottom"/>
            <w:hideMark/>
          </w:tcPr>
          <w:p w14:paraId="3E421094" w14:textId="77777777" w:rsidR="007027E2" w:rsidRPr="007027E2" w:rsidRDefault="007027E2" w:rsidP="00AF5984">
            <w:pPr>
              <w:tabs>
                <w:tab w:val="left" w:pos="284"/>
                <w:tab w:val="left" w:pos="567"/>
                <w:tab w:val="left" w:pos="1152"/>
              </w:tabs>
              <w:spacing w:before="40" w:after="40" w:line="210" w:lineRule="exact"/>
              <w:ind w:left="284" w:right="43"/>
              <w:rPr>
                <w:rFonts w:eastAsia="Calibri"/>
                <w:kern w:val="14"/>
                <w:sz w:val="17"/>
                <w:szCs w:val="17"/>
                <w:lang w:eastAsia="zh-CN"/>
              </w:rPr>
            </w:pPr>
            <w:r w:rsidRPr="007027E2">
              <w:rPr>
                <w:rFonts w:eastAsia="Calibri"/>
                <w:sz w:val="17"/>
              </w:rPr>
              <w:tab/>
              <w:t>a. Groupe de travail des transports par chemin de fer</w:t>
            </w:r>
          </w:p>
        </w:tc>
        <w:tc>
          <w:tcPr>
            <w:tcW w:w="1616" w:type="dxa"/>
            <w:tcBorders>
              <w:top w:val="single" w:sz="4" w:space="0" w:color="auto"/>
              <w:left w:val="single" w:sz="4" w:space="0" w:color="auto"/>
              <w:bottom w:val="single" w:sz="4" w:space="0" w:color="auto"/>
              <w:right w:val="single" w:sz="4" w:space="0" w:color="auto"/>
            </w:tcBorders>
            <w:hideMark/>
          </w:tcPr>
          <w:p w14:paraId="0782E3AC" w14:textId="77777777" w:rsidR="007027E2" w:rsidRPr="007027E2" w:rsidRDefault="007027E2" w:rsidP="00AF5984">
            <w:pPr>
              <w:spacing w:before="40" w:after="40" w:line="210" w:lineRule="exact"/>
              <w:ind w:right="113"/>
              <w:jc w:val="right"/>
              <w:rPr>
                <w:rFonts w:eastAsia="Calibri"/>
                <w:kern w:val="14"/>
                <w:sz w:val="17"/>
                <w:szCs w:val="17"/>
                <w:lang w:eastAsia="zh-CN"/>
              </w:rPr>
            </w:pPr>
            <w:r w:rsidRPr="007027E2">
              <w:rPr>
                <w:rFonts w:eastAsia="Calibri"/>
                <w:kern w:val="14"/>
                <w:sz w:val="17"/>
                <w:szCs w:val="17"/>
              </w:rPr>
              <w:t>26</w:t>
            </w:r>
          </w:p>
        </w:tc>
        <w:tc>
          <w:tcPr>
            <w:tcW w:w="1661" w:type="dxa"/>
            <w:tcBorders>
              <w:top w:val="single" w:sz="4" w:space="0" w:color="auto"/>
              <w:left w:val="single" w:sz="4" w:space="0" w:color="auto"/>
              <w:bottom w:val="single" w:sz="4" w:space="0" w:color="auto"/>
              <w:right w:val="single" w:sz="4" w:space="0" w:color="auto"/>
            </w:tcBorders>
            <w:hideMark/>
          </w:tcPr>
          <w:p w14:paraId="4364F229" w14:textId="77777777" w:rsidR="007027E2" w:rsidRPr="007027E2" w:rsidRDefault="007027E2" w:rsidP="00AF5984">
            <w:pPr>
              <w:spacing w:before="40" w:after="40" w:line="210" w:lineRule="exact"/>
              <w:ind w:right="113"/>
              <w:jc w:val="right"/>
              <w:rPr>
                <w:rFonts w:eastAsia="Calibri"/>
                <w:kern w:val="14"/>
                <w:sz w:val="17"/>
                <w:szCs w:val="17"/>
                <w:lang w:eastAsia="zh-CN"/>
              </w:rPr>
            </w:pPr>
            <w:r w:rsidRPr="007027E2">
              <w:rPr>
                <w:rFonts w:eastAsia="Calibri"/>
                <w:kern w:val="14"/>
                <w:sz w:val="17"/>
                <w:szCs w:val="17"/>
                <w:lang w:eastAsia="zh-CN"/>
              </w:rPr>
              <w:t>10</w:t>
            </w:r>
          </w:p>
        </w:tc>
      </w:tr>
      <w:tr w:rsidR="007027E2" w:rsidRPr="007027E2" w14:paraId="265BDF40" w14:textId="77777777" w:rsidTr="00DB1C33">
        <w:tc>
          <w:tcPr>
            <w:tcW w:w="5749" w:type="dxa"/>
            <w:tcBorders>
              <w:top w:val="single" w:sz="4" w:space="0" w:color="auto"/>
              <w:left w:val="single" w:sz="4" w:space="0" w:color="auto"/>
              <w:bottom w:val="single" w:sz="4" w:space="0" w:color="auto"/>
              <w:right w:val="single" w:sz="4" w:space="0" w:color="auto"/>
            </w:tcBorders>
            <w:vAlign w:val="bottom"/>
            <w:hideMark/>
          </w:tcPr>
          <w:p w14:paraId="3FEBFA46" w14:textId="77777777" w:rsidR="007027E2" w:rsidRPr="007027E2" w:rsidRDefault="007027E2" w:rsidP="00AF5984">
            <w:pPr>
              <w:pStyle w:val="Paragraphedeliste"/>
              <w:tabs>
                <w:tab w:val="left" w:pos="284"/>
                <w:tab w:val="left" w:pos="567"/>
                <w:tab w:val="left" w:pos="1152"/>
              </w:tabs>
              <w:spacing w:before="40" w:after="40" w:line="210" w:lineRule="exact"/>
              <w:ind w:right="43"/>
              <w:rPr>
                <w:rFonts w:eastAsia="Calibri"/>
                <w:kern w:val="14"/>
                <w:sz w:val="17"/>
                <w:szCs w:val="17"/>
                <w:lang w:val="fr-CH" w:eastAsia="zh-CN"/>
              </w:rPr>
            </w:pPr>
            <w:r w:rsidRPr="007027E2">
              <w:rPr>
                <w:rFonts w:eastAsia="Calibri"/>
                <w:sz w:val="17"/>
                <w:lang w:val="fr-CH"/>
              </w:rPr>
              <w:t>i) Groupe d</w:t>
            </w:r>
            <w:r w:rsidR="00455787">
              <w:rPr>
                <w:rFonts w:eastAsia="Calibri"/>
                <w:sz w:val="17"/>
                <w:lang w:val="fr-CH"/>
              </w:rPr>
              <w:t>’</w:t>
            </w:r>
            <w:r w:rsidRPr="007027E2">
              <w:rPr>
                <w:rFonts w:eastAsia="Calibri"/>
                <w:sz w:val="17"/>
                <w:lang w:val="fr-CH"/>
              </w:rPr>
              <w:t>experts pour l</w:t>
            </w:r>
            <w:r w:rsidR="00455787">
              <w:rPr>
                <w:rFonts w:eastAsia="Calibri"/>
                <w:sz w:val="17"/>
                <w:lang w:val="fr-CH"/>
              </w:rPr>
              <w:t>’</w:t>
            </w:r>
            <w:r w:rsidRPr="007027E2">
              <w:rPr>
                <w:rFonts w:eastAsia="Calibri"/>
                <w:sz w:val="17"/>
                <w:lang w:val="fr-CH"/>
              </w:rPr>
              <w:t>uniformisation du droit ferroviaire</w:t>
            </w:r>
          </w:p>
        </w:tc>
        <w:tc>
          <w:tcPr>
            <w:tcW w:w="1616" w:type="dxa"/>
            <w:tcBorders>
              <w:top w:val="single" w:sz="4" w:space="0" w:color="auto"/>
              <w:left w:val="single" w:sz="4" w:space="0" w:color="auto"/>
              <w:bottom w:val="single" w:sz="4" w:space="0" w:color="auto"/>
              <w:right w:val="single" w:sz="4" w:space="0" w:color="auto"/>
            </w:tcBorders>
            <w:hideMark/>
          </w:tcPr>
          <w:p w14:paraId="5AED23A6" w14:textId="77777777" w:rsidR="007027E2" w:rsidRPr="007027E2" w:rsidRDefault="007027E2" w:rsidP="00AF5984">
            <w:pPr>
              <w:spacing w:before="40" w:after="40" w:line="210" w:lineRule="exact"/>
              <w:ind w:right="113"/>
              <w:jc w:val="right"/>
              <w:rPr>
                <w:rFonts w:eastAsia="Calibri"/>
                <w:kern w:val="14"/>
                <w:sz w:val="17"/>
                <w:szCs w:val="17"/>
                <w:lang w:eastAsia="zh-CN"/>
              </w:rPr>
            </w:pPr>
            <w:r w:rsidRPr="007027E2">
              <w:rPr>
                <w:rFonts w:eastAsia="Calibri"/>
                <w:kern w:val="14"/>
                <w:sz w:val="17"/>
                <w:szCs w:val="17"/>
              </w:rPr>
              <w:t>0</w:t>
            </w:r>
          </w:p>
        </w:tc>
        <w:tc>
          <w:tcPr>
            <w:tcW w:w="1661" w:type="dxa"/>
            <w:tcBorders>
              <w:top w:val="single" w:sz="4" w:space="0" w:color="auto"/>
              <w:left w:val="single" w:sz="4" w:space="0" w:color="auto"/>
              <w:bottom w:val="single" w:sz="4" w:space="0" w:color="auto"/>
              <w:right w:val="single" w:sz="4" w:space="0" w:color="auto"/>
            </w:tcBorders>
            <w:hideMark/>
          </w:tcPr>
          <w:p w14:paraId="567D7770" w14:textId="77777777" w:rsidR="007027E2" w:rsidRPr="007027E2" w:rsidRDefault="007027E2" w:rsidP="00AF5984">
            <w:pPr>
              <w:spacing w:before="40" w:after="40" w:line="210" w:lineRule="exact"/>
              <w:ind w:right="113"/>
              <w:jc w:val="right"/>
              <w:rPr>
                <w:rFonts w:eastAsia="Calibri"/>
                <w:kern w:val="14"/>
                <w:sz w:val="17"/>
                <w:szCs w:val="17"/>
                <w:lang w:eastAsia="zh-CN"/>
              </w:rPr>
            </w:pPr>
            <w:r w:rsidRPr="007027E2">
              <w:rPr>
                <w:rFonts w:eastAsia="Calibri"/>
                <w:kern w:val="14"/>
                <w:sz w:val="17"/>
                <w:szCs w:val="17"/>
                <w:lang w:eastAsia="zh-CN"/>
              </w:rPr>
              <w:t>4</w:t>
            </w:r>
          </w:p>
        </w:tc>
      </w:tr>
      <w:tr w:rsidR="007027E2" w:rsidRPr="007027E2" w14:paraId="1C48D467" w14:textId="77777777" w:rsidTr="00DB1C33">
        <w:tc>
          <w:tcPr>
            <w:tcW w:w="5749" w:type="dxa"/>
            <w:tcBorders>
              <w:top w:val="single" w:sz="4" w:space="0" w:color="auto"/>
              <w:left w:val="single" w:sz="4" w:space="0" w:color="auto"/>
              <w:bottom w:val="single" w:sz="4" w:space="0" w:color="auto"/>
              <w:right w:val="single" w:sz="4" w:space="0" w:color="auto"/>
            </w:tcBorders>
            <w:vAlign w:val="bottom"/>
            <w:hideMark/>
          </w:tcPr>
          <w:p w14:paraId="2D9072BE" w14:textId="77777777" w:rsidR="007027E2" w:rsidRPr="007027E2" w:rsidRDefault="007027E2" w:rsidP="00AF5984">
            <w:pPr>
              <w:pStyle w:val="Paragraphedeliste"/>
              <w:tabs>
                <w:tab w:val="left" w:pos="567"/>
                <w:tab w:val="left" w:pos="1152"/>
              </w:tabs>
              <w:spacing w:before="40" w:after="40" w:line="210" w:lineRule="exact"/>
              <w:ind w:right="43"/>
              <w:rPr>
                <w:rFonts w:eastAsia="Calibri"/>
                <w:kern w:val="14"/>
                <w:sz w:val="17"/>
                <w:lang w:val="fr-CH" w:eastAsia="zh-CN"/>
              </w:rPr>
            </w:pPr>
            <w:r w:rsidRPr="007027E2">
              <w:rPr>
                <w:rFonts w:eastAsia="Calibri"/>
                <w:sz w:val="17"/>
                <w:lang w:val="fr-CH"/>
              </w:rPr>
              <w:t>ii) Groupe d</w:t>
            </w:r>
            <w:r w:rsidR="00455787">
              <w:rPr>
                <w:rFonts w:eastAsia="Calibri"/>
                <w:sz w:val="17"/>
                <w:lang w:val="fr-CH"/>
              </w:rPr>
              <w:t>’</w:t>
            </w:r>
            <w:r w:rsidRPr="007027E2">
              <w:rPr>
                <w:rFonts w:eastAsia="Calibri"/>
                <w:sz w:val="17"/>
                <w:lang w:val="fr-CH"/>
              </w:rPr>
              <w:t>experts de l</w:t>
            </w:r>
            <w:r w:rsidR="00455787">
              <w:rPr>
                <w:rFonts w:eastAsia="Calibri"/>
                <w:sz w:val="17"/>
                <w:lang w:val="fr-CH"/>
              </w:rPr>
              <w:t>’</w:t>
            </w:r>
            <w:r w:rsidRPr="007027E2">
              <w:rPr>
                <w:rFonts w:eastAsia="Calibri"/>
                <w:sz w:val="17"/>
                <w:lang w:val="fr-CH"/>
              </w:rPr>
              <w:t>identification permanente du matériel roulant ferroviaire</w:t>
            </w:r>
          </w:p>
        </w:tc>
        <w:tc>
          <w:tcPr>
            <w:tcW w:w="1616" w:type="dxa"/>
            <w:tcBorders>
              <w:top w:val="single" w:sz="4" w:space="0" w:color="auto"/>
              <w:left w:val="single" w:sz="4" w:space="0" w:color="auto"/>
              <w:bottom w:val="single" w:sz="4" w:space="0" w:color="auto"/>
              <w:right w:val="single" w:sz="4" w:space="0" w:color="auto"/>
            </w:tcBorders>
            <w:hideMark/>
          </w:tcPr>
          <w:p w14:paraId="198EAA5C" w14:textId="77777777" w:rsidR="007027E2" w:rsidRPr="007027E2" w:rsidRDefault="007027E2" w:rsidP="00AF5984">
            <w:pPr>
              <w:spacing w:before="40" w:after="40" w:line="210" w:lineRule="exact"/>
              <w:ind w:right="113"/>
              <w:jc w:val="right"/>
              <w:rPr>
                <w:rFonts w:eastAsia="Calibri"/>
                <w:sz w:val="17"/>
                <w:szCs w:val="17"/>
                <w:lang w:eastAsia="zh-CN"/>
              </w:rPr>
            </w:pPr>
            <w:r w:rsidRPr="007027E2">
              <w:rPr>
                <w:rFonts w:eastAsia="Calibri"/>
                <w:sz w:val="17"/>
                <w:szCs w:val="17"/>
              </w:rPr>
              <w:t>0</w:t>
            </w:r>
          </w:p>
        </w:tc>
        <w:tc>
          <w:tcPr>
            <w:tcW w:w="1661" w:type="dxa"/>
            <w:tcBorders>
              <w:top w:val="single" w:sz="4" w:space="0" w:color="auto"/>
              <w:left w:val="single" w:sz="4" w:space="0" w:color="auto"/>
              <w:bottom w:val="single" w:sz="4" w:space="0" w:color="auto"/>
              <w:right w:val="single" w:sz="4" w:space="0" w:color="auto"/>
            </w:tcBorders>
            <w:hideMark/>
          </w:tcPr>
          <w:p w14:paraId="112A3BE7" w14:textId="77777777" w:rsidR="007027E2" w:rsidRPr="007027E2" w:rsidRDefault="007027E2" w:rsidP="00AF5984">
            <w:pPr>
              <w:spacing w:before="40" w:after="40" w:line="210" w:lineRule="exact"/>
              <w:ind w:right="113"/>
              <w:jc w:val="right"/>
              <w:rPr>
                <w:rFonts w:eastAsia="Calibri"/>
                <w:kern w:val="14"/>
                <w:sz w:val="17"/>
                <w:szCs w:val="17"/>
                <w:lang w:eastAsia="zh-CN"/>
              </w:rPr>
            </w:pPr>
            <w:r w:rsidRPr="007027E2">
              <w:rPr>
                <w:rFonts w:eastAsia="Calibri"/>
                <w:kern w:val="14"/>
                <w:sz w:val="17"/>
                <w:szCs w:val="17"/>
                <w:lang w:eastAsia="zh-CN"/>
              </w:rPr>
              <w:t>12</w:t>
            </w:r>
          </w:p>
        </w:tc>
      </w:tr>
      <w:tr w:rsidR="007027E2" w:rsidRPr="007027E2" w14:paraId="1E02A3AE" w14:textId="77777777" w:rsidTr="00DB1C33">
        <w:tc>
          <w:tcPr>
            <w:tcW w:w="5749" w:type="dxa"/>
            <w:tcBorders>
              <w:top w:val="single" w:sz="4" w:space="0" w:color="auto"/>
              <w:left w:val="single" w:sz="4" w:space="0" w:color="auto"/>
              <w:bottom w:val="single" w:sz="4" w:space="0" w:color="auto"/>
              <w:right w:val="single" w:sz="4" w:space="0" w:color="auto"/>
            </w:tcBorders>
            <w:vAlign w:val="bottom"/>
          </w:tcPr>
          <w:p w14:paraId="310931D6" w14:textId="77777777" w:rsidR="007027E2" w:rsidRPr="007027E2" w:rsidRDefault="007027E2" w:rsidP="00AF5984">
            <w:pPr>
              <w:pStyle w:val="Paragraphedeliste"/>
              <w:tabs>
                <w:tab w:val="left" w:pos="567"/>
                <w:tab w:val="left" w:pos="1152"/>
              </w:tabs>
              <w:spacing w:before="40" w:after="40" w:line="210" w:lineRule="exact"/>
              <w:ind w:right="43"/>
              <w:rPr>
                <w:rFonts w:eastAsia="Calibri"/>
                <w:sz w:val="17"/>
                <w:lang w:val="fr-CH"/>
              </w:rPr>
            </w:pPr>
            <w:r w:rsidRPr="007027E2">
              <w:rPr>
                <w:rFonts w:eastAsia="Calibri"/>
                <w:sz w:val="17"/>
                <w:lang w:val="fr-CH"/>
              </w:rPr>
              <w:t>iii) Groupe d</w:t>
            </w:r>
            <w:r w:rsidR="00455787">
              <w:rPr>
                <w:rFonts w:eastAsia="Calibri"/>
                <w:sz w:val="17"/>
                <w:lang w:val="fr-CH"/>
              </w:rPr>
              <w:t>’</w:t>
            </w:r>
            <w:r w:rsidRPr="007027E2">
              <w:rPr>
                <w:rFonts w:eastAsia="Calibri"/>
                <w:sz w:val="17"/>
                <w:lang w:val="fr-CH"/>
              </w:rPr>
              <w:t xml:space="preserve">experts des nœuds de transport ferroviaire international de voyageurs </w:t>
            </w:r>
            <w:r w:rsidRPr="007027E2">
              <w:rPr>
                <w:rFonts w:eastAsia="Calibri"/>
                <w:sz w:val="17"/>
                <w:szCs w:val="17"/>
                <w:lang w:val="fr-CH"/>
              </w:rPr>
              <w:t>(*voir mandats dans le tableau 2)</w:t>
            </w:r>
          </w:p>
        </w:tc>
        <w:tc>
          <w:tcPr>
            <w:tcW w:w="1616" w:type="dxa"/>
            <w:tcBorders>
              <w:top w:val="single" w:sz="4" w:space="0" w:color="auto"/>
              <w:left w:val="single" w:sz="4" w:space="0" w:color="auto"/>
              <w:bottom w:val="single" w:sz="4" w:space="0" w:color="auto"/>
              <w:right w:val="single" w:sz="4" w:space="0" w:color="auto"/>
            </w:tcBorders>
          </w:tcPr>
          <w:p w14:paraId="48C99DFB" w14:textId="77777777" w:rsidR="007027E2" w:rsidRPr="007027E2" w:rsidRDefault="007027E2" w:rsidP="00AF5984">
            <w:pPr>
              <w:spacing w:before="40" w:after="40" w:line="210" w:lineRule="exact"/>
              <w:ind w:right="113"/>
              <w:jc w:val="right"/>
              <w:rPr>
                <w:rFonts w:eastAsia="Calibri"/>
                <w:sz w:val="17"/>
                <w:szCs w:val="17"/>
              </w:rPr>
            </w:pPr>
            <w:r w:rsidRPr="007027E2">
              <w:rPr>
                <w:rFonts w:eastAsia="Calibri"/>
                <w:sz w:val="17"/>
                <w:szCs w:val="17"/>
              </w:rPr>
              <w:t>0</w:t>
            </w:r>
          </w:p>
        </w:tc>
        <w:tc>
          <w:tcPr>
            <w:tcW w:w="1661" w:type="dxa"/>
            <w:tcBorders>
              <w:top w:val="single" w:sz="4" w:space="0" w:color="auto"/>
              <w:left w:val="single" w:sz="4" w:space="0" w:color="auto"/>
              <w:bottom w:val="single" w:sz="4" w:space="0" w:color="auto"/>
              <w:right w:val="single" w:sz="4" w:space="0" w:color="auto"/>
            </w:tcBorders>
          </w:tcPr>
          <w:p w14:paraId="79BE8BB5" w14:textId="77777777" w:rsidR="007027E2" w:rsidRPr="007027E2" w:rsidRDefault="007027E2" w:rsidP="00AF5984">
            <w:pPr>
              <w:spacing w:before="40" w:after="40" w:line="210" w:lineRule="exact"/>
              <w:ind w:right="113"/>
              <w:jc w:val="right"/>
              <w:rPr>
                <w:rFonts w:eastAsia="Calibri"/>
                <w:kern w:val="14"/>
                <w:sz w:val="17"/>
                <w:szCs w:val="17"/>
                <w:lang w:eastAsia="zh-CN"/>
              </w:rPr>
            </w:pPr>
            <w:r w:rsidRPr="007027E2">
              <w:rPr>
                <w:rFonts w:eastAsia="Calibri"/>
                <w:kern w:val="14"/>
                <w:sz w:val="17"/>
                <w:szCs w:val="17"/>
                <w:lang w:eastAsia="zh-CN"/>
              </w:rPr>
              <w:t>8</w:t>
            </w:r>
          </w:p>
        </w:tc>
      </w:tr>
      <w:tr w:rsidR="007027E2" w:rsidRPr="007027E2" w14:paraId="27BA485F" w14:textId="77777777" w:rsidTr="00DB1C33">
        <w:tc>
          <w:tcPr>
            <w:tcW w:w="5749" w:type="dxa"/>
            <w:tcBorders>
              <w:top w:val="single" w:sz="4" w:space="0" w:color="auto"/>
              <w:left w:val="single" w:sz="4" w:space="0" w:color="auto"/>
              <w:bottom w:val="single" w:sz="4" w:space="0" w:color="auto"/>
              <w:right w:val="single" w:sz="4" w:space="0" w:color="auto"/>
            </w:tcBorders>
            <w:vAlign w:val="bottom"/>
            <w:hideMark/>
          </w:tcPr>
          <w:p w14:paraId="664E06AD" w14:textId="77777777" w:rsidR="007027E2" w:rsidRPr="007027E2" w:rsidRDefault="007027E2" w:rsidP="00AF5984">
            <w:pPr>
              <w:tabs>
                <w:tab w:val="left" w:pos="284"/>
                <w:tab w:val="left" w:pos="567"/>
                <w:tab w:val="left" w:pos="1152"/>
              </w:tabs>
              <w:spacing w:before="40" w:after="40" w:line="210" w:lineRule="exact"/>
              <w:ind w:left="284" w:right="43"/>
              <w:rPr>
                <w:rFonts w:eastAsia="Calibri"/>
                <w:kern w:val="14"/>
                <w:sz w:val="17"/>
                <w:szCs w:val="22"/>
                <w:lang w:eastAsia="zh-CN"/>
              </w:rPr>
            </w:pPr>
            <w:r w:rsidRPr="007027E2">
              <w:rPr>
                <w:rFonts w:eastAsia="Calibri"/>
                <w:sz w:val="17"/>
              </w:rPr>
              <w:tab/>
              <w:t>b. Groupe de travail des transports par voie navigable</w:t>
            </w:r>
          </w:p>
        </w:tc>
        <w:tc>
          <w:tcPr>
            <w:tcW w:w="1616" w:type="dxa"/>
            <w:tcBorders>
              <w:top w:val="single" w:sz="4" w:space="0" w:color="auto"/>
              <w:left w:val="single" w:sz="4" w:space="0" w:color="auto"/>
              <w:bottom w:val="single" w:sz="4" w:space="0" w:color="auto"/>
              <w:right w:val="single" w:sz="4" w:space="0" w:color="auto"/>
            </w:tcBorders>
            <w:hideMark/>
          </w:tcPr>
          <w:p w14:paraId="5A630B17" w14:textId="77777777" w:rsidR="007027E2" w:rsidRPr="007027E2" w:rsidRDefault="007027E2" w:rsidP="00AF5984">
            <w:pPr>
              <w:spacing w:before="40" w:after="40" w:line="210" w:lineRule="exact"/>
              <w:ind w:right="113"/>
              <w:jc w:val="right"/>
              <w:rPr>
                <w:rFonts w:eastAsia="Calibri"/>
                <w:sz w:val="17"/>
                <w:szCs w:val="17"/>
                <w:lang w:eastAsia="zh-CN"/>
              </w:rPr>
            </w:pPr>
            <w:r w:rsidRPr="007027E2">
              <w:rPr>
                <w:rFonts w:eastAsia="Calibri"/>
                <w:sz w:val="17"/>
                <w:szCs w:val="17"/>
              </w:rPr>
              <w:t>41</w:t>
            </w:r>
          </w:p>
        </w:tc>
        <w:tc>
          <w:tcPr>
            <w:tcW w:w="1661" w:type="dxa"/>
            <w:tcBorders>
              <w:top w:val="single" w:sz="4" w:space="0" w:color="auto"/>
              <w:left w:val="single" w:sz="4" w:space="0" w:color="auto"/>
              <w:bottom w:val="single" w:sz="4" w:space="0" w:color="auto"/>
              <w:right w:val="single" w:sz="4" w:space="0" w:color="auto"/>
            </w:tcBorders>
            <w:hideMark/>
          </w:tcPr>
          <w:p w14:paraId="24AD4EF1" w14:textId="77777777" w:rsidR="007027E2" w:rsidRPr="007027E2" w:rsidRDefault="007027E2" w:rsidP="00AF5984">
            <w:pPr>
              <w:spacing w:before="40" w:after="40" w:line="210" w:lineRule="exact"/>
              <w:ind w:right="113"/>
              <w:jc w:val="right"/>
              <w:rPr>
                <w:rFonts w:eastAsia="Calibri"/>
                <w:kern w:val="14"/>
                <w:sz w:val="17"/>
                <w:szCs w:val="17"/>
                <w:lang w:eastAsia="zh-CN"/>
              </w:rPr>
            </w:pPr>
            <w:r w:rsidRPr="007027E2">
              <w:rPr>
                <w:rFonts w:eastAsia="Calibri"/>
                <w:kern w:val="14"/>
                <w:sz w:val="17"/>
                <w:szCs w:val="17"/>
                <w:lang w:eastAsia="zh-CN"/>
              </w:rPr>
              <w:t>47</w:t>
            </w:r>
          </w:p>
        </w:tc>
      </w:tr>
      <w:tr w:rsidR="007027E2" w:rsidRPr="007027E2" w14:paraId="06F85B9F" w14:textId="77777777" w:rsidTr="00DB1C33">
        <w:tc>
          <w:tcPr>
            <w:tcW w:w="5749" w:type="dxa"/>
            <w:tcBorders>
              <w:top w:val="single" w:sz="4" w:space="0" w:color="auto"/>
              <w:left w:val="single" w:sz="4" w:space="0" w:color="auto"/>
              <w:bottom w:val="single" w:sz="4" w:space="0" w:color="auto"/>
              <w:right w:val="single" w:sz="4" w:space="0" w:color="auto"/>
            </w:tcBorders>
            <w:vAlign w:val="bottom"/>
            <w:hideMark/>
          </w:tcPr>
          <w:p w14:paraId="30772FAB" w14:textId="77777777" w:rsidR="007027E2" w:rsidRPr="007027E2" w:rsidRDefault="007027E2" w:rsidP="00AF5984">
            <w:pPr>
              <w:tabs>
                <w:tab w:val="left" w:pos="284"/>
                <w:tab w:val="left" w:pos="567"/>
                <w:tab w:val="left" w:pos="1152"/>
              </w:tabs>
              <w:spacing w:before="40" w:after="40" w:line="210" w:lineRule="exact"/>
              <w:ind w:left="284" w:right="43"/>
              <w:rPr>
                <w:rFonts w:eastAsia="Calibri"/>
                <w:sz w:val="17"/>
                <w:szCs w:val="22"/>
                <w:lang w:eastAsia="zh-CN"/>
              </w:rPr>
            </w:pPr>
            <w:r w:rsidRPr="007027E2">
              <w:rPr>
                <w:rFonts w:eastAsia="Calibri"/>
                <w:sz w:val="17"/>
              </w:rPr>
              <w:tab/>
              <w:t>c. Groupe de travail des transports routiers</w:t>
            </w:r>
          </w:p>
        </w:tc>
        <w:tc>
          <w:tcPr>
            <w:tcW w:w="1616" w:type="dxa"/>
            <w:tcBorders>
              <w:top w:val="single" w:sz="4" w:space="0" w:color="auto"/>
              <w:left w:val="single" w:sz="4" w:space="0" w:color="auto"/>
              <w:bottom w:val="single" w:sz="4" w:space="0" w:color="auto"/>
              <w:right w:val="single" w:sz="4" w:space="0" w:color="auto"/>
            </w:tcBorders>
            <w:hideMark/>
          </w:tcPr>
          <w:p w14:paraId="676C6DB7" w14:textId="77777777" w:rsidR="007027E2" w:rsidRPr="007027E2" w:rsidRDefault="007027E2" w:rsidP="00297DAE">
            <w:pPr>
              <w:spacing w:before="40" w:after="40" w:line="210" w:lineRule="exact"/>
              <w:ind w:right="113"/>
              <w:jc w:val="right"/>
              <w:rPr>
                <w:rFonts w:eastAsia="Calibri"/>
                <w:sz w:val="17"/>
                <w:szCs w:val="17"/>
                <w:lang w:eastAsia="zh-CN"/>
              </w:rPr>
            </w:pPr>
            <w:r w:rsidRPr="007027E2">
              <w:rPr>
                <w:rFonts w:eastAsia="Calibri"/>
                <w:sz w:val="17"/>
                <w:szCs w:val="17"/>
              </w:rPr>
              <w:t>Pas de modification</w:t>
            </w:r>
          </w:p>
        </w:tc>
        <w:tc>
          <w:tcPr>
            <w:tcW w:w="1661" w:type="dxa"/>
            <w:tcBorders>
              <w:top w:val="single" w:sz="4" w:space="0" w:color="auto"/>
              <w:left w:val="single" w:sz="4" w:space="0" w:color="auto"/>
              <w:bottom w:val="single" w:sz="4" w:space="0" w:color="auto"/>
              <w:right w:val="single" w:sz="4" w:space="0" w:color="auto"/>
            </w:tcBorders>
            <w:hideMark/>
          </w:tcPr>
          <w:p w14:paraId="45B9E0F8" w14:textId="77777777" w:rsidR="007027E2" w:rsidRPr="007027E2" w:rsidRDefault="007027E2" w:rsidP="00297DAE">
            <w:pPr>
              <w:spacing w:before="40" w:after="40" w:line="210" w:lineRule="exact"/>
              <w:ind w:right="113"/>
              <w:jc w:val="right"/>
              <w:rPr>
                <w:rFonts w:eastAsia="Calibri"/>
                <w:sz w:val="17"/>
                <w:szCs w:val="17"/>
                <w:lang w:eastAsia="zh-CN"/>
              </w:rPr>
            </w:pPr>
            <w:r w:rsidRPr="007027E2">
              <w:rPr>
                <w:rFonts w:eastAsia="Calibri"/>
                <w:sz w:val="17"/>
                <w:szCs w:val="17"/>
              </w:rPr>
              <w:t>Pas de modification</w:t>
            </w:r>
          </w:p>
        </w:tc>
      </w:tr>
      <w:tr w:rsidR="007027E2" w:rsidRPr="007027E2" w14:paraId="3EF5B75D" w14:textId="77777777" w:rsidTr="00DB1C33">
        <w:tc>
          <w:tcPr>
            <w:tcW w:w="5749" w:type="dxa"/>
            <w:tcBorders>
              <w:top w:val="single" w:sz="4" w:space="0" w:color="auto"/>
              <w:left w:val="single" w:sz="4" w:space="0" w:color="auto"/>
              <w:bottom w:val="single" w:sz="4" w:space="0" w:color="auto"/>
              <w:right w:val="single" w:sz="4" w:space="0" w:color="auto"/>
            </w:tcBorders>
            <w:vAlign w:val="bottom"/>
            <w:hideMark/>
          </w:tcPr>
          <w:p w14:paraId="00DF87DB" w14:textId="77777777" w:rsidR="007027E2" w:rsidRPr="007027E2" w:rsidRDefault="007027E2" w:rsidP="00AF5984">
            <w:pPr>
              <w:pStyle w:val="Paragraphedeliste"/>
              <w:spacing w:line="210" w:lineRule="exact"/>
              <w:rPr>
                <w:rFonts w:eastAsia="Calibri"/>
                <w:sz w:val="17"/>
                <w:szCs w:val="17"/>
                <w:lang w:val="fr-CH" w:eastAsia="zh-CN"/>
              </w:rPr>
            </w:pPr>
            <w:r w:rsidRPr="007027E2">
              <w:rPr>
                <w:rFonts w:eastAsia="Calibri"/>
                <w:sz w:val="17"/>
                <w:szCs w:val="17"/>
                <w:lang w:val="fr-CH"/>
              </w:rPr>
              <w:t>i) Groupe d</w:t>
            </w:r>
            <w:r w:rsidR="00455787">
              <w:rPr>
                <w:rFonts w:eastAsia="Calibri"/>
                <w:sz w:val="17"/>
                <w:szCs w:val="17"/>
                <w:lang w:val="fr-CH"/>
              </w:rPr>
              <w:t>’</w:t>
            </w:r>
            <w:r w:rsidRPr="007027E2">
              <w:rPr>
                <w:rFonts w:eastAsia="Calibri"/>
                <w:sz w:val="17"/>
                <w:szCs w:val="17"/>
                <w:lang w:val="fr-CH"/>
              </w:rPr>
              <w:t>experts de l</w:t>
            </w:r>
            <w:r w:rsidR="00455787">
              <w:rPr>
                <w:rFonts w:eastAsia="Calibri"/>
                <w:sz w:val="17"/>
                <w:szCs w:val="17"/>
                <w:lang w:val="fr-CH"/>
              </w:rPr>
              <w:t>’</w:t>
            </w:r>
            <w:r w:rsidRPr="007027E2">
              <w:rPr>
                <w:rFonts w:eastAsia="Calibri"/>
                <w:sz w:val="17"/>
                <w:szCs w:val="17"/>
                <w:lang w:val="fr-CH"/>
              </w:rPr>
              <w:t>AETR</w:t>
            </w:r>
          </w:p>
        </w:tc>
        <w:tc>
          <w:tcPr>
            <w:tcW w:w="1616" w:type="dxa"/>
            <w:tcBorders>
              <w:top w:val="single" w:sz="4" w:space="0" w:color="auto"/>
              <w:left w:val="single" w:sz="4" w:space="0" w:color="auto"/>
              <w:bottom w:val="single" w:sz="4" w:space="0" w:color="auto"/>
              <w:right w:val="single" w:sz="4" w:space="0" w:color="auto"/>
            </w:tcBorders>
            <w:hideMark/>
          </w:tcPr>
          <w:p w14:paraId="1A6B8CAA" w14:textId="77777777" w:rsidR="007027E2" w:rsidRPr="007027E2" w:rsidRDefault="007027E2" w:rsidP="00AF5984">
            <w:pPr>
              <w:spacing w:before="40" w:after="40" w:line="210" w:lineRule="exact"/>
              <w:ind w:right="113"/>
              <w:jc w:val="right"/>
              <w:rPr>
                <w:rFonts w:eastAsia="Calibri"/>
                <w:kern w:val="14"/>
                <w:sz w:val="17"/>
                <w:szCs w:val="17"/>
                <w:lang w:eastAsia="zh-CN"/>
              </w:rPr>
            </w:pPr>
            <w:r w:rsidRPr="007027E2">
              <w:rPr>
                <w:rFonts w:eastAsia="Calibri"/>
                <w:kern w:val="14"/>
                <w:sz w:val="17"/>
                <w:szCs w:val="17"/>
                <w:lang w:eastAsia="zh-CN"/>
              </w:rPr>
              <w:t>0</w:t>
            </w:r>
          </w:p>
        </w:tc>
        <w:tc>
          <w:tcPr>
            <w:tcW w:w="1661" w:type="dxa"/>
            <w:tcBorders>
              <w:top w:val="single" w:sz="4" w:space="0" w:color="auto"/>
              <w:left w:val="single" w:sz="4" w:space="0" w:color="auto"/>
              <w:bottom w:val="single" w:sz="4" w:space="0" w:color="auto"/>
              <w:right w:val="single" w:sz="4" w:space="0" w:color="auto"/>
            </w:tcBorders>
            <w:hideMark/>
          </w:tcPr>
          <w:p w14:paraId="2B0020C4" w14:textId="77777777" w:rsidR="007027E2" w:rsidRPr="007027E2" w:rsidRDefault="007027E2" w:rsidP="00AF5984">
            <w:pPr>
              <w:spacing w:before="40" w:after="40" w:line="210" w:lineRule="exact"/>
              <w:ind w:right="113"/>
              <w:jc w:val="right"/>
              <w:rPr>
                <w:rFonts w:eastAsia="Calibri"/>
                <w:kern w:val="14"/>
                <w:sz w:val="17"/>
                <w:szCs w:val="17"/>
                <w:lang w:eastAsia="zh-CN"/>
              </w:rPr>
            </w:pPr>
            <w:r w:rsidRPr="007027E2">
              <w:rPr>
                <w:rFonts w:eastAsia="Calibri"/>
                <w:kern w:val="14"/>
                <w:sz w:val="17"/>
                <w:szCs w:val="17"/>
                <w:lang w:eastAsia="zh-CN"/>
              </w:rPr>
              <w:t>12</w:t>
            </w:r>
          </w:p>
        </w:tc>
      </w:tr>
      <w:tr w:rsidR="007027E2" w:rsidRPr="007027E2" w14:paraId="33F6FA43" w14:textId="77777777" w:rsidTr="00DB1C33">
        <w:tc>
          <w:tcPr>
            <w:tcW w:w="5749" w:type="dxa"/>
            <w:tcBorders>
              <w:top w:val="single" w:sz="4" w:space="0" w:color="auto"/>
              <w:left w:val="single" w:sz="4" w:space="0" w:color="auto"/>
              <w:bottom w:val="single" w:sz="4" w:space="0" w:color="auto"/>
              <w:right w:val="single" w:sz="4" w:space="0" w:color="auto"/>
            </w:tcBorders>
            <w:vAlign w:val="bottom"/>
            <w:hideMark/>
          </w:tcPr>
          <w:p w14:paraId="738836CC" w14:textId="77777777" w:rsidR="007027E2" w:rsidRPr="007027E2" w:rsidRDefault="007027E2" w:rsidP="00AF5984">
            <w:pPr>
              <w:spacing w:after="160" w:line="210" w:lineRule="exact"/>
              <w:ind w:left="540"/>
              <w:rPr>
                <w:rFonts w:eastAsia="Calibri"/>
                <w:sz w:val="17"/>
                <w:szCs w:val="17"/>
                <w:lang w:eastAsia="zh-CN"/>
              </w:rPr>
            </w:pPr>
            <w:r w:rsidRPr="007027E2">
              <w:rPr>
                <w:rFonts w:eastAsia="Calibri"/>
                <w:sz w:val="17"/>
                <w:szCs w:val="17"/>
              </w:rPr>
              <w:t>d. Forum mondial de la sécurité routière</w:t>
            </w:r>
          </w:p>
        </w:tc>
        <w:tc>
          <w:tcPr>
            <w:tcW w:w="1616" w:type="dxa"/>
            <w:tcBorders>
              <w:top w:val="single" w:sz="4" w:space="0" w:color="auto"/>
              <w:left w:val="single" w:sz="4" w:space="0" w:color="auto"/>
              <w:bottom w:val="single" w:sz="4" w:space="0" w:color="auto"/>
              <w:right w:val="single" w:sz="4" w:space="0" w:color="auto"/>
            </w:tcBorders>
            <w:hideMark/>
          </w:tcPr>
          <w:p w14:paraId="4BAB27B2" w14:textId="77777777" w:rsidR="007027E2" w:rsidRPr="007027E2" w:rsidRDefault="007027E2" w:rsidP="00297DAE">
            <w:pPr>
              <w:spacing w:before="40" w:after="40" w:line="210" w:lineRule="exact"/>
              <w:ind w:right="113"/>
              <w:jc w:val="right"/>
              <w:rPr>
                <w:rFonts w:eastAsia="Calibri"/>
                <w:sz w:val="17"/>
                <w:szCs w:val="17"/>
                <w:lang w:eastAsia="zh-CN"/>
              </w:rPr>
            </w:pPr>
            <w:r w:rsidRPr="007027E2">
              <w:rPr>
                <w:rFonts w:eastAsia="Calibri"/>
                <w:sz w:val="17"/>
                <w:szCs w:val="17"/>
              </w:rPr>
              <w:t>Pas de modification</w:t>
            </w:r>
          </w:p>
        </w:tc>
        <w:tc>
          <w:tcPr>
            <w:tcW w:w="1661" w:type="dxa"/>
            <w:tcBorders>
              <w:top w:val="single" w:sz="4" w:space="0" w:color="auto"/>
              <w:left w:val="single" w:sz="4" w:space="0" w:color="auto"/>
              <w:bottom w:val="single" w:sz="4" w:space="0" w:color="auto"/>
              <w:right w:val="single" w:sz="4" w:space="0" w:color="auto"/>
            </w:tcBorders>
            <w:hideMark/>
          </w:tcPr>
          <w:p w14:paraId="001EAD9C" w14:textId="77777777" w:rsidR="007027E2" w:rsidRPr="007027E2" w:rsidRDefault="007027E2" w:rsidP="00297DAE">
            <w:pPr>
              <w:spacing w:before="40" w:after="40" w:line="210" w:lineRule="exact"/>
              <w:ind w:right="113"/>
              <w:jc w:val="right"/>
              <w:rPr>
                <w:rFonts w:eastAsia="Calibri"/>
                <w:sz w:val="17"/>
                <w:szCs w:val="17"/>
                <w:lang w:eastAsia="zh-CN"/>
              </w:rPr>
            </w:pPr>
            <w:r w:rsidRPr="007027E2">
              <w:rPr>
                <w:rFonts w:eastAsia="Calibri"/>
                <w:sz w:val="17"/>
                <w:szCs w:val="17"/>
              </w:rPr>
              <w:t>Pas de modification</w:t>
            </w:r>
          </w:p>
        </w:tc>
      </w:tr>
      <w:tr w:rsidR="007027E2" w:rsidRPr="007027E2" w14:paraId="6AD8D960" w14:textId="77777777" w:rsidTr="00DB1C33">
        <w:tc>
          <w:tcPr>
            <w:tcW w:w="5749" w:type="dxa"/>
            <w:tcBorders>
              <w:top w:val="single" w:sz="4" w:space="0" w:color="auto"/>
              <w:left w:val="single" w:sz="4" w:space="0" w:color="auto"/>
              <w:bottom w:val="single" w:sz="4" w:space="0" w:color="auto"/>
              <w:right w:val="single" w:sz="4" w:space="0" w:color="auto"/>
            </w:tcBorders>
            <w:vAlign w:val="bottom"/>
            <w:hideMark/>
          </w:tcPr>
          <w:p w14:paraId="24EBA5D9" w14:textId="77777777" w:rsidR="007027E2" w:rsidRPr="007027E2" w:rsidRDefault="007027E2" w:rsidP="00AF5984">
            <w:pPr>
              <w:pStyle w:val="Paragraphedeliste"/>
              <w:spacing w:line="210" w:lineRule="exact"/>
              <w:rPr>
                <w:rFonts w:eastAsia="Calibri"/>
                <w:sz w:val="17"/>
                <w:szCs w:val="17"/>
                <w:lang w:val="fr-CH" w:eastAsia="zh-CN"/>
              </w:rPr>
            </w:pPr>
            <w:r w:rsidRPr="007027E2">
              <w:rPr>
                <w:rFonts w:eastAsia="Calibri"/>
                <w:sz w:val="17"/>
                <w:szCs w:val="17"/>
                <w:lang w:val="fr-CH"/>
              </w:rPr>
              <w:t>i) Groupe d</w:t>
            </w:r>
            <w:r w:rsidR="00455787">
              <w:rPr>
                <w:rFonts w:eastAsia="Calibri"/>
                <w:sz w:val="17"/>
                <w:szCs w:val="17"/>
                <w:lang w:val="fr-CH"/>
              </w:rPr>
              <w:t>’</w:t>
            </w:r>
            <w:r w:rsidRPr="007027E2">
              <w:rPr>
                <w:rFonts w:eastAsia="Calibri"/>
                <w:sz w:val="17"/>
                <w:szCs w:val="17"/>
                <w:lang w:val="fr-CH"/>
              </w:rPr>
              <w:t>experts de la signalisation routière (**voir mandats dans le tableau 2)</w:t>
            </w:r>
          </w:p>
        </w:tc>
        <w:tc>
          <w:tcPr>
            <w:tcW w:w="1616" w:type="dxa"/>
            <w:tcBorders>
              <w:top w:val="single" w:sz="4" w:space="0" w:color="auto"/>
              <w:left w:val="single" w:sz="4" w:space="0" w:color="auto"/>
              <w:bottom w:val="single" w:sz="4" w:space="0" w:color="auto"/>
              <w:right w:val="single" w:sz="4" w:space="0" w:color="auto"/>
            </w:tcBorders>
            <w:hideMark/>
          </w:tcPr>
          <w:p w14:paraId="7F463EF5" w14:textId="77777777" w:rsidR="007027E2" w:rsidRPr="007027E2" w:rsidRDefault="007027E2" w:rsidP="00AF5984">
            <w:pPr>
              <w:spacing w:before="40" w:after="40" w:line="210" w:lineRule="exact"/>
              <w:ind w:right="113"/>
              <w:jc w:val="right"/>
              <w:rPr>
                <w:rFonts w:eastAsia="Calibri"/>
                <w:kern w:val="14"/>
                <w:sz w:val="17"/>
                <w:szCs w:val="17"/>
                <w:lang w:eastAsia="zh-CN"/>
              </w:rPr>
            </w:pPr>
            <w:r w:rsidRPr="007027E2">
              <w:rPr>
                <w:rFonts w:eastAsia="Calibri"/>
                <w:kern w:val="14"/>
                <w:sz w:val="17"/>
                <w:szCs w:val="17"/>
                <w:lang w:eastAsia="zh-CN"/>
              </w:rPr>
              <w:t>0</w:t>
            </w:r>
          </w:p>
        </w:tc>
        <w:tc>
          <w:tcPr>
            <w:tcW w:w="1661" w:type="dxa"/>
            <w:tcBorders>
              <w:top w:val="single" w:sz="4" w:space="0" w:color="auto"/>
              <w:left w:val="single" w:sz="4" w:space="0" w:color="auto"/>
              <w:bottom w:val="single" w:sz="4" w:space="0" w:color="auto"/>
              <w:right w:val="single" w:sz="4" w:space="0" w:color="auto"/>
            </w:tcBorders>
            <w:hideMark/>
          </w:tcPr>
          <w:p w14:paraId="44EA47FF" w14:textId="77777777" w:rsidR="007027E2" w:rsidRPr="007027E2" w:rsidRDefault="007027E2" w:rsidP="00AF5984">
            <w:pPr>
              <w:spacing w:before="40" w:after="40" w:line="210" w:lineRule="exact"/>
              <w:ind w:right="113"/>
              <w:jc w:val="right"/>
              <w:rPr>
                <w:rFonts w:eastAsia="Calibri"/>
                <w:kern w:val="14"/>
                <w:sz w:val="17"/>
                <w:szCs w:val="17"/>
                <w:lang w:eastAsia="zh-CN"/>
              </w:rPr>
            </w:pPr>
            <w:r w:rsidRPr="007027E2">
              <w:rPr>
                <w:rFonts w:eastAsia="Calibri"/>
                <w:kern w:val="14"/>
                <w:sz w:val="17"/>
                <w:szCs w:val="17"/>
                <w:lang w:eastAsia="zh-CN"/>
              </w:rPr>
              <w:t>4</w:t>
            </w:r>
          </w:p>
        </w:tc>
      </w:tr>
      <w:tr w:rsidR="007027E2" w:rsidRPr="007027E2" w14:paraId="5AE2D8BF" w14:textId="77777777" w:rsidTr="00DB1C33">
        <w:tc>
          <w:tcPr>
            <w:tcW w:w="5749" w:type="dxa"/>
            <w:tcBorders>
              <w:top w:val="single" w:sz="4" w:space="0" w:color="auto"/>
              <w:left w:val="single" w:sz="4" w:space="0" w:color="auto"/>
              <w:bottom w:val="single" w:sz="4" w:space="0" w:color="auto"/>
              <w:right w:val="single" w:sz="4" w:space="0" w:color="auto"/>
            </w:tcBorders>
            <w:vAlign w:val="bottom"/>
            <w:hideMark/>
          </w:tcPr>
          <w:p w14:paraId="1C182C9E" w14:textId="77777777" w:rsidR="007027E2" w:rsidRPr="007027E2" w:rsidRDefault="007027E2" w:rsidP="00AF5984">
            <w:pPr>
              <w:pStyle w:val="Paragraphedeliste"/>
              <w:spacing w:line="210" w:lineRule="exact"/>
              <w:rPr>
                <w:rFonts w:eastAsia="Calibri"/>
                <w:sz w:val="17"/>
                <w:szCs w:val="17"/>
                <w:lang w:val="fr-CH" w:eastAsia="zh-CN"/>
              </w:rPr>
            </w:pPr>
            <w:r w:rsidRPr="007027E2">
              <w:rPr>
                <w:rFonts w:eastAsia="Calibri"/>
                <w:sz w:val="17"/>
                <w:szCs w:val="17"/>
                <w:lang w:val="fr-CH"/>
              </w:rPr>
              <w:t>ii) Groupe d</w:t>
            </w:r>
            <w:r w:rsidR="00455787">
              <w:rPr>
                <w:rFonts w:eastAsia="Calibri"/>
                <w:sz w:val="17"/>
                <w:szCs w:val="17"/>
                <w:lang w:val="fr-CH"/>
              </w:rPr>
              <w:t>’</w:t>
            </w:r>
            <w:r w:rsidRPr="007027E2">
              <w:rPr>
                <w:rFonts w:eastAsia="Calibri"/>
                <w:sz w:val="17"/>
                <w:szCs w:val="17"/>
                <w:lang w:val="fr-CH"/>
              </w:rPr>
              <w:t>experts chargé de l</w:t>
            </w:r>
            <w:r w:rsidR="00455787">
              <w:rPr>
                <w:rFonts w:eastAsia="Calibri"/>
                <w:sz w:val="17"/>
                <w:szCs w:val="17"/>
                <w:lang w:val="fr-CH"/>
              </w:rPr>
              <w:t>’</w:t>
            </w:r>
            <w:r w:rsidRPr="007027E2">
              <w:rPr>
                <w:rFonts w:eastAsia="Calibri"/>
                <w:sz w:val="17"/>
                <w:szCs w:val="17"/>
                <w:lang w:val="fr-CH"/>
              </w:rPr>
              <w:t>élaboration d</w:t>
            </w:r>
            <w:r w:rsidR="00455787">
              <w:rPr>
                <w:rFonts w:eastAsia="Calibri"/>
                <w:sz w:val="17"/>
                <w:szCs w:val="17"/>
                <w:lang w:val="fr-CH"/>
              </w:rPr>
              <w:t>’</w:t>
            </w:r>
            <w:r w:rsidRPr="007027E2">
              <w:rPr>
                <w:rFonts w:eastAsia="Calibri"/>
                <w:sz w:val="17"/>
                <w:szCs w:val="17"/>
                <w:lang w:val="fr-CH"/>
              </w:rPr>
              <w:t>un nouvel instrument juridique sur les véhicules automatisés dans la circulation (***voir mandats dans le tableau 2)</w:t>
            </w:r>
          </w:p>
        </w:tc>
        <w:tc>
          <w:tcPr>
            <w:tcW w:w="1616" w:type="dxa"/>
            <w:tcBorders>
              <w:top w:val="single" w:sz="4" w:space="0" w:color="auto"/>
              <w:left w:val="single" w:sz="4" w:space="0" w:color="auto"/>
              <w:bottom w:val="single" w:sz="4" w:space="0" w:color="auto"/>
              <w:right w:val="single" w:sz="4" w:space="0" w:color="auto"/>
            </w:tcBorders>
            <w:hideMark/>
          </w:tcPr>
          <w:p w14:paraId="66745CDF" w14:textId="77777777" w:rsidR="007027E2" w:rsidRPr="007027E2" w:rsidRDefault="007027E2" w:rsidP="00AF5984">
            <w:pPr>
              <w:spacing w:before="40" w:after="40" w:line="210" w:lineRule="exact"/>
              <w:ind w:right="113"/>
              <w:jc w:val="right"/>
              <w:rPr>
                <w:rFonts w:eastAsia="Calibri"/>
                <w:kern w:val="14"/>
                <w:sz w:val="17"/>
                <w:szCs w:val="17"/>
                <w:lang w:eastAsia="zh-CN"/>
              </w:rPr>
            </w:pPr>
            <w:r w:rsidRPr="007027E2">
              <w:rPr>
                <w:rFonts w:eastAsia="Calibri"/>
                <w:kern w:val="14"/>
                <w:sz w:val="17"/>
                <w:szCs w:val="17"/>
                <w:lang w:eastAsia="zh-CN"/>
              </w:rPr>
              <w:t>0</w:t>
            </w:r>
          </w:p>
        </w:tc>
        <w:tc>
          <w:tcPr>
            <w:tcW w:w="1661" w:type="dxa"/>
            <w:tcBorders>
              <w:top w:val="single" w:sz="4" w:space="0" w:color="auto"/>
              <w:left w:val="single" w:sz="4" w:space="0" w:color="auto"/>
              <w:bottom w:val="single" w:sz="4" w:space="0" w:color="auto"/>
              <w:right w:val="single" w:sz="4" w:space="0" w:color="auto"/>
            </w:tcBorders>
            <w:hideMark/>
          </w:tcPr>
          <w:p w14:paraId="191BCF0D" w14:textId="77777777" w:rsidR="007027E2" w:rsidRPr="007027E2" w:rsidRDefault="007027E2" w:rsidP="00AF5984">
            <w:pPr>
              <w:spacing w:before="40" w:after="40" w:line="210" w:lineRule="exact"/>
              <w:ind w:right="113"/>
              <w:jc w:val="right"/>
              <w:rPr>
                <w:rFonts w:eastAsia="Calibri"/>
                <w:kern w:val="14"/>
                <w:sz w:val="17"/>
                <w:szCs w:val="17"/>
                <w:lang w:eastAsia="zh-CN"/>
              </w:rPr>
            </w:pPr>
            <w:r w:rsidRPr="007027E2">
              <w:rPr>
                <w:rFonts w:eastAsia="Calibri"/>
                <w:kern w:val="14"/>
                <w:sz w:val="17"/>
                <w:szCs w:val="17"/>
                <w:lang w:eastAsia="zh-CN"/>
              </w:rPr>
              <w:t>3</w:t>
            </w:r>
          </w:p>
        </w:tc>
      </w:tr>
      <w:tr w:rsidR="007027E2" w:rsidRPr="007027E2" w14:paraId="79061A1E" w14:textId="77777777" w:rsidTr="00DB1C33">
        <w:tc>
          <w:tcPr>
            <w:tcW w:w="5749" w:type="dxa"/>
            <w:tcBorders>
              <w:top w:val="single" w:sz="4" w:space="0" w:color="auto"/>
              <w:left w:val="single" w:sz="4" w:space="0" w:color="auto"/>
              <w:bottom w:val="single" w:sz="4" w:space="0" w:color="auto"/>
              <w:right w:val="single" w:sz="4" w:space="0" w:color="auto"/>
            </w:tcBorders>
            <w:vAlign w:val="bottom"/>
            <w:hideMark/>
          </w:tcPr>
          <w:p w14:paraId="4BA20BFA" w14:textId="77777777" w:rsidR="007027E2" w:rsidRPr="007027E2" w:rsidRDefault="007027E2" w:rsidP="00AF5984">
            <w:pPr>
              <w:spacing w:after="160" w:line="210" w:lineRule="exact"/>
              <w:ind w:left="540"/>
              <w:rPr>
                <w:rFonts w:eastAsia="Calibri"/>
                <w:sz w:val="17"/>
                <w:szCs w:val="17"/>
                <w:lang w:eastAsia="zh-CN"/>
              </w:rPr>
            </w:pPr>
            <w:r w:rsidRPr="007027E2">
              <w:rPr>
                <w:rFonts w:eastAsia="Calibri"/>
                <w:sz w:val="17"/>
                <w:szCs w:val="17"/>
              </w:rPr>
              <w:t>e. Groupe de travail chargé d</w:t>
            </w:r>
            <w:r w:rsidR="00455787">
              <w:rPr>
                <w:rFonts w:eastAsia="Calibri"/>
                <w:sz w:val="17"/>
                <w:szCs w:val="17"/>
              </w:rPr>
              <w:t>’</w:t>
            </w:r>
            <w:r w:rsidRPr="007027E2">
              <w:rPr>
                <w:rFonts w:eastAsia="Calibri"/>
                <w:sz w:val="17"/>
                <w:szCs w:val="17"/>
              </w:rPr>
              <w:t>examiner les tendances et l</w:t>
            </w:r>
            <w:r w:rsidR="00455787">
              <w:rPr>
                <w:rFonts w:eastAsia="Calibri"/>
                <w:sz w:val="17"/>
                <w:szCs w:val="17"/>
              </w:rPr>
              <w:t>’</w:t>
            </w:r>
            <w:r w:rsidRPr="007027E2">
              <w:rPr>
                <w:rFonts w:eastAsia="Calibri"/>
                <w:sz w:val="17"/>
                <w:szCs w:val="17"/>
              </w:rPr>
              <w:t>économie des transports</w:t>
            </w:r>
          </w:p>
        </w:tc>
        <w:tc>
          <w:tcPr>
            <w:tcW w:w="1616" w:type="dxa"/>
            <w:tcBorders>
              <w:top w:val="single" w:sz="4" w:space="0" w:color="auto"/>
              <w:left w:val="single" w:sz="4" w:space="0" w:color="auto"/>
              <w:bottom w:val="single" w:sz="4" w:space="0" w:color="auto"/>
              <w:right w:val="single" w:sz="4" w:space="0" w:color="auto"/>
            </w:tcBorders>
            <w:hideMark/>
          </w:tcPr>
          <w:p w14:paraId="22B24193" w14:textId="77777777" w:rsidR="007027E2" w:rsidRPr="007027E2" w:rsidRDefault="007027E2" w:rsidP="00AF5984">
            <w:pPr>
              <w:spacing w:before="40" w:after="40" w:line="210" w:lineRule="exact"/>
              <w:ind w:right="113"/>
              <w:jc w:val="right"/>
              <w:rPr>
                <w:rFonts w:eastAsia="Calibri"/>
                <w:kern w:val="14"/>
                <w:sz w:val="17"/>
                <w:szCs w:val="17"/>
                <w:lang w:eastAsia="zh-CN"/>
              </w:rPr>
            </w:pPr>
            <w:r w:rsidRPr="007027E2">
              <w:rPr>
                <w:rFonts w:eastAsia="Calibri"/>
                <w:kern w:val="14"/>
                <w:sz w:val="17"/>
                <w:szCs w:val="17"/>
                <w:lang w:eastAsia="zh-CN"/>
              </w:rPr>
              <w:t>20</w:t>
            </w:r>
          </w:p>
        </w:tc>
        <w:tc>
          <w:tcPr>
            <w:tcW w:w="1661" w:type="dxa"/>
            <w:tcBorders>
              <w:top w:val="single" w:sz="4" w:space="0" w:color="auto"/>
              <w:left w:val="single" w:sz="4" w:space="0" w:color="auto"/>
              <w:bottom w:val="single" w:sz="4" w:space="0" w:color="auto"/>
              <w:right w:val="single" w:sz="4" w:space="0" w:color="auto"/>
            </w:tcBorders>
            <w:hideMark/>
          </w:tcPr>
          <w:p w14:paraId="2B8A7062" w14:textId="77777777" w:rsidR="007027E2" w:rsidRPr="007027E2" w:rsidRDefault="007027E2" w:rsidP="00AF5984">
            <w:pPr>
              <w:spacing w:before="40" w:after="40" w:line="210" w:lineRule="exact"/>
              <w:ind w:right="113"/>
              <w:jc w:val="right"/>
              <w:rPr>
                <w:rFonts w:eastAsia="Calibri"/>
                <w:kern w:val="14"/>
                <w:sz w:val="17"/>
                <w:szCs w:val="17"/>
                <w:lang w:eastAsia="zh-CN"/>
              </w:rPr>
            </w:pPr>
            <w:r w:rsidRPr="007027E2">
              <w:rPr>
                <w:rFonts w:eastAsia="Calibri"/>
                <w:kern w:val="14"/>
                <w:sz w:val="17"/>
                <w:szCs w:val="17"/>
                <w:lang w:eastAsia="zh-CN"/>
              </w:rPr>
              <w:t>10</w:t>
            </w:r>
          </w:p>
        </w:tc>
      </w:tr>
      <w:tr w:rsidR="007027E2" w:rsidRPr="007027E2" w14:paraId="1B88E2A9" w14:textId="77777777" w:rsidTr="00DB1C33">
        <w:tc>
          <w:tcPr>
            <w:tcW w:w="5749" w:type="dxa"/>
            <w:tcBorders>
              <w:top w:val="single" w:sz="4" w:space="0" w:color="auto"/>
              <w:left w:val="single" w:sz="4" w:space="0" w:color="auto"/>
              <w:bottom w:val="single" w:sz="4" w:space="0" w:color="auto"/>
              <w:right w:val="single" w:sz="4" w:space="0" w:color="auto"/>
            </w:tcBorders>
            <w:vAlign w:val="bottom"/>
            <w:hideMark/>
          </w:tcPr>
          <w:p w14:paraId="7A24EBC7" w14:textId="77777777" w:rsidR="007027E2" w:rsidRPr="007027E2" w:rsidRDefault="007027E2" w:rsidP="00AF5984">
            <w:pPr>
              <w:spacing w:after="160" w:line="210" w:lineRule="exact"/>
              <w:ind w:left="720"/>
              <w:rPr>
                <w:rFonts w:eastAsia="Calibri"/>
                <w:sz w:val="17"/>
                <w:szCs w:val="17"/>
                <w:lang w:eastAsia="zh-CN"/>
              </w:rPr>
            </w:pPr>
            <w:r w:rsidRPr="007027E2">
              <w:rPr>
                <w:rFonts w:eastAsia="Calibri"/>
                <w:sz w:val="17"/>
                <w:szCs w:val="17"/>
              </w:rPr>
              <w:t>i) Groupe d</w:t>
            </w:r>
            <w:r w:rsidR="00455787">
              <w:rPr>
                <w:rFonts w:eastAsia="Calibri"/>
                <w:sz w:val="17"/>
                <w:szCs w:val="17"/>
              </w:rPr>
              <w:t>’</w:t>
            </w:r>
            <w:r w:rsidRPr="007027E2">
              <w:rPr>
                <w:rFonts w:eastAsia="Calibri"/>
                <w:sz w:val="17"/>
                <w:szCs w:val="17"/>
              </w:rPr>
              <w:t>experts de l</w:t>
            </w:r>
            <w:r w:rsidR="00455787">
              <w:rPr>
                <w:rFonts w:eastAsia="Calibri"/>
                <w:sz w:val="17"/>
                <w:szCs w:val="17"/>
              </w:rPr>
              <w:t>’</w:t>
            </w:r>
            <w:r w:rsidRPr="007027E2">
              <w:rPr>
                <w:rFonts w:eastAsia="Calibri"/>
                <w:sz w:val="17"/>
                <w:szCs w:val="17"/>
              </w:rPr>
              <w:t>évaluation comparative des coûts de construction des infrastructures de transport (****voir mandats dans le tableau 2)</w:t>
            </w:r>
          </w:p>
        </w:tc>
        <w:tc>
          <w:tcPr>
            <w:tcW w:w="1616" w:type="dxa"/>
            <w:tcBorders>
              <w:top w:val="single" w:sz="4" w:space="0" w:color="auto"/>
              <w:left w:val="single" w:sz="4" w:space="0" w:color="auto"/>
              <w:bottom w:val="single" w:sz="4" w:space="0" w:color="auto"/>
              <w:right w:val="single" w:sz="4" w:space="0" w:color="auto"/>
            </w:tcBorders>
            <w:hideMark/>
          </w:tcPr>
          <w:p w14:paraId="75762D4C" w14:textId="77777777" w:rsidR="007027E2" w:rsidRPr="007027E2" w:rsidRDefault="007027E2" w:rsidP="00AF5984">
            <w:pPr>
              <w:spacing w:before="40" w:after="40" w:line="210" w:lineRule="exact"/>
              <w:ind w:right="113"/>
              <w:jc w:val="right"/>
              <w:rPr>
                <w:rFonts w:eastAsia="Calibri"/>
                <w:kern w:val="14"/>
                <w:sz w:val="17"/>
                <w:szCs w:val="17"/>
                <w:lang w:eastAsia="zh-CN"/>
              </w:rPr>
            </w:pPr>
            <w:r w:rsidRPr="007027E2">
              <w:rPr>
                <w:rFonts w:eastAsia="Calibri"/>
                <w:kern w:val="14"/>
                <w:sz w:val="17"/>
                <w:szCs w:val="17"/>
                <w:lang w:eastAsia="zh-CN"/>
              </w:rPr>
              <w:t>0</w:t>
            </w:r>
          </w:p>
        </w:tc>
        <w:tc>
          <w:tcPr>
            <w:tcW w:w="1661" w:type="dxa"/>
            <w:tcBorders>
              <w:top w:val="single" w:sz="4" w:space="0" w:color="auto"/>
              <w:left w:val="single" w:sz="4" w:space="0" w:color="auto"/>
              <w:bottom w:val="single" w:sz="4" w:space="0" w:color="auto"/>
              <w:right w:val="single" w:sz="4" w:space="0" w:color="auto"/>
            </w:tcBorders>
            <w:hideMark/>
          </w:tcPr>
          <w:p w14:paraId="51B4AE20" w14:textId="77777777" w:rsidR="007027E2" w:rsidRPr="007027E2" w:rsidRDefault="007027E2" w:rsidP="00AF5984">
            <w:pPr>
              <w:spacing w:before="40" w:after="40" w:line="210" w:lineRule="exact"/>
              <w:ind w:right="113"/>
              <w:jc w:val="right"/>
              <w:rPr>
                <w:rFonts w:eastAsia="Calibri"/>
                <w:kern w:val="14"/>
                <w:sz w:val="17"/>
                <w:szCs w:val="17"/>
                <w:lang w:eastAsia="zh-CN"/>
              </w:rPr>
            </w:pPr>
            <w:r w:rsidRPr="007027E2">
              <w:rPr>
                <w:rFonts w:eastAsia="Calibri"/>
                <w:kern w:val="14"/>
                <w:sz w:val="17"/>
                <w:szCs w:val="17"/>
                <w:lang w:eastAsia="zh-CN"/>
              </w:rPr>
              <w:t>8</w:t>
            </w:r>
          </w:p>
        </w:tc>
      </w:tr>
      <w:tr w:rsidR="007027E2" w:rsidRPr="007027E2" w14:paraId="7A0FFF24" w14:textId="77777777" w:rsidTr="00DB1C33">
        <w:tc>
          <w:tcPr>
            <w:tcW w:w="5749" w:type="dxa"/>
            <w:tcBorders>
              <w:top w:val="single" w:sz="4" w:space="0" w:color="auto"/>
              <w:left w:val="single" w:sz="4" w:space="0" w:color="auto"/>
              <w:bottom w:val="single" w:sz="4" w:space="0" w:color="auto"/>
              <w:right w:val="single" w:sz="4" w:space="0" w:color="auto"/>
            </w:tcBorders>
            <w:vAlign w:val="bottom"/>
            <w:hideMark/>
          </w:tcPr>
          <w:p w14:paraId="6D6C297C" w14:textId="77777777" w:rsidR="007027E2" w:rsidRPr="007027E2" w:rsidRDefault="007027E2" w:rsidP="00AF5984">
            <w:pPr>
              <w:spacing w:after="160" w:line="210" w:lineRule="exact"/>
              <w:ind w:left="720"/>
              <w:rPr>
                <w:rFonts w:eastAsia="Calibri"/>
                <w:sz w:val="17"/>
                <w:szCs w:val="17"/>
                <w:lang w:eastAsia="zh-CN"/>
              </w:rPr>
            </w:pPr>
            <w:r w:rsidRPr="007027E2">
              <w:rPr>
                <w:rFonts w:eastAsia="Calibri"/>
                <w:sz w:val="17"/>
                <w:szCs w:val="17"/>
              </w:rPr>
              <w:t>ii) Groupe d</w:t>
            </w:r>
            <w:r w:rsidR="00455787">
              <w:rPr>
                <w:rFonts w:eastAsia="Calibri"/>
                <w:sz w:val="17"/>
                <w:szCs w:val="17"/>
              </w:rPr>
              <w:t>’</w:t>
            </w:r>
            <w:r w:rsidRPr="007027E2">
              <w:rPr>
                <w:rFonts w:eastAsia="Calibri"/>
                <w:sz w:val="17"/>
                <w:szCs w:val="17"/>
              </w:rPr>
              <w:t>experts chargé d</w:t>
            </w:r>
            <w:r w:rsidR="00455787">
              <w:rPr>
                <w:rFonts w:eastAsia="Calibri"/>
                <w:sz w:val="17"/>
                <w:szCs w:val="17"/>
              </w:rPr>
              <w:t>’</w:t>
            </w:r>
            <w:r w:rsidRPr="007027E2">
              <w:rPr>
                <w:rFonts w:eastAsia="Calibri"/>
                <w:sz w:val="17"/>
                <w:szCs w:val="17"/>
              </w:rPr>
              <w:t>évaluer les effets des changements climatiques sur les transports intérieurs et l</w:t>
            </w:r>
            <w:r w:rsidR="00455787">
              <w:rPr>
                <w:rFonts w:eastAsia="Calibri"/>
                <w:sz w:val="17"/>
                <w:szCs w:val="17"/>
              </w:rPr>
              <w:t>’</w:t>
            </w:r>
            <w:r w:rsidRPr="007027E2">
              <w:rPr>
                <w:rFonts w:eastAsia="Calibri"/>
                <w:sz w:val="17"/>
                <w:szCs w:val="17"/>
              </w:rPr>
              <w:t>adaptation à ces changements</w:t>
            </w:r>
          </w:p>
        </w:tc>
        <w:tc>
          <w:tcPr>
            <w:tcW w:w="1616" w:type="dxa"/>
            <w:tcBorders>
              <w:top w:val="single" w:sz="4" w:space="0" w:color="auto"/>
              <w:left w:val="single" w:sz="4" w:space="0" w:color="auto"/>
              <w:bottom w:val="single" w:sz="4" w:space="0" w:color="auto"/>
              <w:right w:val="single" w:sz="4" w:space="0" w:color="auto"/>
            </w:tcBorders>
            <w:hideMark/>
          </w:tcPr>
          <w:p w14:paraId="69806DCF" w14:textId="77777777" w:rsidR="007027E2" w:rsidRPr="007027E2" w:rsidRDefault="007027E2" w:rsidP="00AF5984">
            <w:pPr>
              <w:spacing w:before="40" w:after="40" w:line="210" w:lineRule="exact"/>
              <w:ind w:right="113"/>
              <w:jc w:val="right"/>
              <w:rPr>
                <w:rFonts w:eastAsia="Calibri"/>
                <w:kern w:val="14"/>
                <w:sz w:val="17"/>
                <w:szCs w:val="17"/>
                <w:lang w:eastAsia="zh-CN"/>
              </w:rPr>
            </w:pPr>
            <w:r w:rsidRPr="007027E2">
              <w:rPr>
                <w:rFonts w:eastAsia="Calibri"/>
                <w:kern w:val="14"/>
                <w:sz w:val="17"/>
                <w:szCs w:val="17"/>
                <w:lang w:eastAsia="zh-CN"/>
              </w:rPr>
              <w:t>0</w:t>
            </w:r>
          </w:p>
        </w:tc>
        <w:tc>
          <w:tcPr>
            <w:tcW w:w="1661" w:type="dxa"/>
            <w:tcBorders>
              <w:top w:val="single" w:sz="4" w:space="0" w:color="auto"/>
              <w:left w:val="single" w:sz="4" w:space="0" w:color="auto"/>
              <w:bottom w:val="single" w:sz="4" w:space="0" w:color="auto"/>
              <w:right w:val="single" w:sz="4" w:space="0" w:color="auto"/>
            </w:tcBorders>
            <w:hideMark/>
          </w:tcPr>
          <w:p w14:paraId="7F019076" w14:textId="77777777" w:rsidR="007027E2" w:rsidRPr="007027E2" w:rsidRDefault="007027E2" w:rsidP="00AF5984">
            <w:pPr>
              <w:spacing w:before="40" w:after="40" w:line="210" w:lineRule="exact"/>
              <w:ind w:right="113"/>
              <w:jc w:val="right"/>
              <w:rPr>
                <w:rFonts w:eastAsia="Calibri"/>
                <w:kern w:val="14"/>
                <w:sz w:val="17"/>
                <w:szCs w:val="17"/>
                <w:lang w:eastAsia="zh-CN"/>
              </w:rPr>
            </w:pPr>
            <w:r w:rsidRPr="007027E2">
              <w:rPr>
                <w:rFonts w:eastAsia="Calibri"/>
                <w:kern w:val="14"/>
                <w:sz w:val="17"/>
                <w:szCs w:val="17"/>
                <w:lang w:eastAsia="zh-CN"/>
              </w:rPr>
              <w:t>8</w:t>
            </w:r>
          </w:p>
        </w:tc>
      </w:tr>
      <w:tr w:rsidR="007027E2" w:rsidRPr="007027E2" w14:paraId="472B0BA7" w14:textId="77777777" w:rsidTr="00DB1C33">
        <w:tc>
          <w:tcPr>
            <w:tcW w:w="5749" w:type="dxa"/>
            <w:tcBorders>
              <w:top w:val="single" w:sz="4" w:space="0" w:color="auto"/>
              <w:left w:val="single" w:sz="4" w:space="0" w:color="auto"/>
              <w:bottom w:val="single" w:sz="4" w:space="0" w:color="auto"/>
              <w:right w:val="single" w:sz="4" w:space="0" w:color="auto"/>
            </w:tcBorders>
            <w:vAlign w:val="bottom"/>
            <w:hideMark/>
          </w:tcPr>
          <w:p w14:paraId="52BC0715" w14:textId="77777777" w:rsidR="007027E2" w:rsidRPr="007027E2" w:rsidRDefault="007027E2" w:rsidP="00AF5984">
            <w:pPr>
              <w:spacing w:after="160" w:line="210" w:lineRule="exact"/>
              <w:ind w:left="540"/>
              <w:rPr>
                <w:rFonts w:eastAsia="Calibri"/>
                <w:sz w:val="17"/>
                <w:szCs w:val="17"/>
                <w:lang w:eastAsia="zh-CN"/>
              </w:rPr>
            </w:pPr>
            <w:r w:rsidRPr="007027E2">
              <w:rPr>
                <w:rFonts w:eastAsia="Calibri"/>
                <w:sz w:val="17"/>
                <w:szCs w:val="17"/>
              </w:rPr>
              <w:t>f. Groupe de travail des problèmes douaniers intéressant les transports</w:t>
            </w:r>
          </w:p>
        </w:tc>
        <w:tc>
          <w:tcPr>
            <w:tcW w:w="1616" w:type="dxa"/>
            <w:tcBorders>
              <w:top w:val="single" w:sz="4" w:space="0" w:color="auto"/>
              <w:left w:val="single" w:sz="4" w:space="0" w:color="auto"/>
              <w:bottom w:val="single" w:sz="4" w:space="0" w:color="auto"/>
              <w:right w:val="single" w:sz="4" w:space="0" w:color="auto"/>
            </w:tcBorders>
            <w:hideMark/>
          </w:tcPr>
          <w:p w14:paraId="126885FA" w14:textId="77777777" w:rsidR="007027E2" w:rsidRPr="007027E2" w:rsidRDefault="007027E2" w:rsidP="00297DAE">
            <w:pPr>
              <w:spacing w:before="40" w:after="40" w:line="210" w:lineRule="exact"/>
              <w:ind w:right="113"/>
              <w:jc w:val="right"/>
              <w:rPr>
                <w:rFonts w:eastAsia="Calibri"/>
                <w:sz w:val="17"/>
                <w:szCs w:val="17"/>
                <w:lang w:eastAsia="zh-CN"/>
              </w:rPr>
            </w:pPr>
            <w:r w:rsidRPr="007027E2">
              <w:rPr>
                <w:rFonts w:eastAsia="Calibri"/>
                <w:sz w:val="17"/>
                <w:szCs w:val="17"/>
              </w:rPr>
              <w:t>Pas de modification</w:t>
            </w:r>
          </w:p>
        </w:tc>
        <w:tc>
          <w:tcPr>
            <w:tcW w:w="1661" w:type="dxa"/>
            <w:tcBorders>
              <w:top w:val="single" w:sz="4" w:space="0" w:color="auto"/>
              <w:left w:val="single" w:sz="4" w:space="0" w:color="auto"/>
              <w:bottom w:val="single" w:sz="4" w:space="0" w:color="auto"/>
              <w:right w:val="single" w:sz="4" w:space="0" w:color="auto"/>
            </w:tcBorders>
            <w:hideMark/>
          </w:tcPr>
          <w:p w14:paraId="4EE87706" w14:textId="77777777" w:rsidR="007027E2" w:rsidRPr="007027E2" w:rsidRDefault="007027E2" w:rsidP="00297DAE">
            <w:pPr>
              <w:spacing w:before="40" w:after="40" w:line="210" w:lineRule="exact"/>
              <w:ind w:right="113"/>
              <w:jc w:val="right"/>
              <w:rPr>
                <w:rFonts w:eastAsia="Calibri"/>
                <w:sz w:val="17"/>
                <w:szCs w:val="17"/>
                <w:lang w:eastAsia="zh-CN"/>
              </w:rPr>
            </w:pPr>
            <w:r w:rsidRPr="007027E2">
              <w:rPr>
                <w:rFonts w:eastAsia="Calibri"/>
                <w:sz w:val="17"/>
                <w:szCs w:val="17"/>
              </w:rPr>
              <w:t>Pas de modification</w:t>
            </w:r>
          </w:p>
        </w:tc>
      </w:tr>
      <w:tr w:rsidR="007027E2" w:rsidRPr="007027E2" w14:paraId="200504D9" w14:textId="77777777" w:rsidTr="00DB1C33">
        <w:tc>
          <w:tcPr>
            <w:tcW w:w="5749" w:type="dxa"/>
            <w:tcBorders>
              <w:top w:val="single" w:sz="4" w:space="0" w:color="auto"/>
              <w:left w:val="single" w:sz="4" w:space="0" w:color="auto"/>
              <w:bottom w:val="single" w:sz="4" w:space="0" w:color="auto"/>
              <w:right w:val="single" w:sz="4" w:space="0" w:color="auto"/>
            </w:tcBorders>
            <w:vAlign w:val="bottom"/>
            <w:hideMark/>
          </w:tcPr>
          <w:p w14:paraId="596AE3C7" w14:textId="77777777" w:rsidR="007027E2" w:rsidRPr="007027E2" w:rsidRDefault="007027E2" w:rsidP="00AF5984">
            <w:pPr>
              <w:spacing w:after="160" w:line="210" w:lineRule="exact"/>
              <w:ind w:left="720"/>
              <w:rPr>
                <w:rFonts w:eastAsia="Calibri"/>
                <w:sz w:val="17"/>
                <w:szCs w:val="17"/>
                <w:lang w:eastAsia="zh-CN"/>
              </w:rPr>
            </w:pPr>
            <w:r w:rsidRPr="007027E2">
              <w:rPr>
                <w:rFonts w:eastAsia="Calibri"/>
                <w:sz w:val="17"/>
                <w:szCs w:val="17"/>
              </w:rPr>
              <w:t>i) Groupe d</w:t>
            </w:r>
            <w:r w:rsidR="00455787">
              <w:rPr>
                <w:rFonts w:eastAsia="Calibri"/>
                <w:sz w:val="17"/>
                <w:szCs w:val="17"/>
              </w:rPr>
              <w:t>’</w:t>
            </w:r>
            <w:r w:rsidRPr="007027E2">
              <w:rPr>
                <w:rFonts w:eastAsia="Calibri"/>
                <w:sz w:val="17"/>
                <w:szCs w:val="17"/>
              </w:rPr>
              <w:t>experts des aspects théoriques et techniques de l</w:t>
            </w:r>
            <w:r w:rsidR="00455787">
              <w:rPr>
                <w:rFonts w:eastAsia="Calibri"/>
                <w:sz w:val="17"/>
                <w:szCs w:val="17"/>
              </w:rPr>
              <w:t>’</w:t>
            </w:r>
            <w:r w:rsidRPr="007027E2">
              <w:rPr>
                <w:rFonts w:eastAsia="Calibri"/>
                <w:sz w:val="17"/>
                <w:szCs w:val="17"/>
              </w:rPr>
              <w:t>informatisation du régime TIR</w:t>
            </w:r>
          </w:p>
        </w:tc>
        <w:tc>
          <w:tcPr>
            <w:tcW w:w="1616" w:type="dxa"/>
            <w:tcBorders>
              <w:top w:val="single" w:sz="4" w:space="0" w:color="auto"/>
              <w:left w:val="single" w:sz="4" w:space="0" w:color="auto"/>
              <w:bottom w:val="single" w:sz="4" w:space="0" w:color="auto"/>
              <w:right w:val="single" w:sz="4" w:space="0" w:color="auto"/>
            </w:tcBorders>
            <w:hideMark/>
          </w:tcPr>
          <w:p w14:paraId="74B12886" w14:textId="77777777" w:rsidR="007027E2" w:rsidRPr="007027E2" w:rsidRDefault="007027E2" w:rsidP="00AF5984">
            <w:pPr>
              <w:spacing w:before="40" w:after="40" w:line="210" w:lineRule="exact"/>
              <w:ind w:right="113"/>
              <w:jc w:val="right"/>
              <w:rPr>
                <w:rFonts w:eastAsia="Calibri"/>
                <w:kern w:val="14"/>
                <w:sz w:val="17"/>
                <w:szCs w:val="17"/>
                <w:lang w:eastAsia="zh-CN"/>
              </w:rPr>
            </w:pPr>
            <w:r w:rsidRPr="007027E2">
              <w:rPr>
                <w:rFonts w:eastAsia="Calibri"/>
                <w:kern w:val="14"/>
                <w:sz w:val="17"/>
                <w:szCs w:val="17"/>
                <w:lang w:eastAsia="zh-CN"/>
              </w:rPr>
              <w:t>0</w:t>
            </w:r>
          </w:p>
        </w:tc>
        <w:tc>
          <w:tcPr>
            <w:tcW w:w="1661" w:type="dxa"/>
            <w:tcBorders>
              <w:top w:val="single" w:sz="4" w:space="0" w:color="auto"/>
              <w:left w:val="single" w:sz="4" w:space="0" w:color="auto"/>
              <w:bottom w:val="single" w:sz="4" w:space="0" w:color="auto"/>
              <w:right w:val="single" w:sz="4" w:space="0" w:color="auto"/>
            </w:tcBorders>
            <w:hideMark/>
          </w:tcPr>
          <w:p w14:paraId="4B6C97B6" w14:textId="77777777" w:rsidR="007027E2" w:rsidRPr="007027E2" w:rsidRDefault="007027E2" w:rsidP="00AF5984">
            <w:pPr>
              <w:spacing w:before="40" w:after="40" w:line="210" w:lineRule="exact"/>
              <w:ind w:right="113"/>
              <w:jc w:val="right"/>
              <w:rPr>
                <w:rFonts w:eastAsia="Calibri"/>
                <w:kern w:val="14"/>
                <w:sz w:val="17"/>
                <w:szCs w:val="17"/>
                <w:lang w:eastAsia="zh-CN"/>
              </w:rPr>
            </w:pPr>
            <w:r w:rsidRPr="007027E2">
              <w:rPr>
                <w:rFonts w:eastAsia="Calibri"/>
                <w:kern w:val="14"/>
                <w:sz w:val="17"/>
                <w:szCs w:val="17"/>
                <w:lang w:eastAsia="zh-CN"/>
              </w:rPr>
              <w:t>65</w:t>
            </w:r>
          </w:p>
        </w:tc>
      </w:tr>
      <w:tr w:rsidR="007027E2" w:rsidRPr="007027E2" w14:paraId="016FB04D" w14:textId="77777777" w:rsidTr="00DB1C33">
        <w:tc>
          <w:tcPr>
            <w:tcW w:w="5749" w:type="dxa"/>
            <w:tcBorders>
              <w:top w:val="single" w:sz="4" w:space="0" w:color="auto"/>
              <w:left w:val="single" w:sz="4" w:space="0" w:color="auto"/>
              <w:bottom w:val="single" w:sz="4" w:space="0" w:color="auto"/>
              <w:right w:val="single" w:sz="4" w:space="0" w:color="auto"/>
            </w:tcBorders>
            <w:vAlign w:val="bottom"/>
            <w:hideMark/>
          </w:tcPr>
          <w:p w14:paraId="7B97C99A" w14:textId="77777777" w:rsidR="007027E2" w:rsidRPr="007027E2" w:rsidRDefault="007027E2" w:rsidP="00AF5984">
            <w:pPr>
              <w:tabs>
                <w:tab w:val="left" w:pos="284"/>
                <w:tab w:val="left" w:pos="567"/>
                <w:tab w:val="left" w:pos="1152"/>
              </w:tabs>
              <w:spacing w:before="40" w:after="40" w:line="210" w:lineRule="exact"/>
              <w:ind w:left="284" w:right="43"/>
              <w:rPr>
                <w:rFonts w:eastAsia="Calibri"/>
                <w:b/>
                <w:bCs/>
                <w:kern w:val="14"/>
                <w:sz w:val="17"/>
                <w:szCs w:val="22"/>
                <w:lang w:eastAsia="zh-CN"/>
              </w:rPr>
            </w:pPr>
            <w:r w:rsidRPr="007027E2">
              <w:rPr>
                <w:rFonts w:eastAsia="Calibri"/>
                <w:b/>
                <w:bCs/>
                <w:kern w:val="14"/>
                <w:sz w:val="17"/>
              </w:rPr>
              <w:t>2.</w:t>
            </w:r>
            <w:r w:rsidRPr="007027E2">
              <w:rPr>
                <w:rFonts w:eastAsia="Calibri"/>
                <w:b/>
                <w:bCs/>
                <w:kern w:val="14"/>
                <w:sz w:val="17"/>
              </w:rPr>
              <w:tab/>
            </w:r>
            <w:r w:rsidRPr="007027E2">
              <w:rPr>
                <w:rFonts w:eastAsia="Calibri"/>
                <w:b/>
                <w:bCs/>
                <w:kern w:val="14"/>
                <w:sz w:val="17"/>
                <w:szCs w:val="17"/>
              </w:rPr>
              <w:t xml:space="preserve">Documentation </w:t>
            </w:r>
            <w:r w:rsidRPr="007027E2">
              <w:rPr>
                <w:rFonts w:eastAsia="Calibri"/>
                <w:b/>
                <w:bCs/>
                <w:kern w:val="14"/>
                <w:sz w:val="17"/>
              </w:rPr>
              <w:t xml:space="preserve">destinée au Conseil économique et social </w:t>
            </w:r>
            <w:r w:rsidRPr="007027E2">
              <w:rPr>
                <w:rFonts w:eastAsia="Calibri"/>
                <w:bCs/>
                <w:kern w:val="14"/>
                <w:sz w:val="17"/>
                <w:szCs w:val="17"/>
              </w:rPr>
              <w:t xml:space="preserve">– </w:t>
            </w:r>
            <w:r w:rsidRPr="007027E2">
              <w:rPr>
                <w:rFonts w:eastAsia="Calibri"/>
                <w:b/>
                <w:kern w:val="14"/>
                <w:sz w:val="17"/>
                <w:szCs w:val="17"/>
              </w:rPr>
              <w:t>documents révisés ou supplémentaires</w:t>
            </w:r>
          </w:p>
        </w:tc>
        <w:tc>
          <w:tcPr>
            <w:tcW w:w="1616" w:type="dxa"/>
            <w:tcBorders>
              <w:top w:val="single" w:sz="4" w:space="0" w:color="auto"/>
              <w:left w:val="single" w:sz="4" w:space="0" w:color="auto"/>
              <w:bottom w:val="single" w:sz="4" w:space="0" w:color="auto"/>
              <w:right w:val="single" w:sz="4" w:space="0" w:color="auto"/>
            </w:tcBorders>
            <w:hideMark/>
          </w:tcPr>
          <w:p w14:paraId="091E11CF" w14:textId="77777777" w:rsidR="007027E2" w:rsidRPr="007027E2" w:rsidRDefault="007027E2" w:rsidP="00297DAE">
            <w:pPr>
              <w:spacing w:before="40" w:after="40" w:line="210" w:lineRule="exact"/>
              <w:ind w:right="113"/>
              <w:jc w:val="right"/>
              <w:rPr>
                <w:rFonts w:eastAsia="Calibri"/>
                <w:sz w:val="17"/>
                <w:szCs w:val="17"/>
                <w:lang w:eastAsia="zh-CN"/>
              </w:rPr>
            </w:pPr>
            <w:r w:rsidRPr="007027E2">
              <w:rPr>
                <w:rFonts w:eastAsia="Calibri"/>
                <w:sz w:val="17"/>
                <w:szCs w:val="17"/>
              </w:rPr>
              <w:t>Pas de modification</w:t>
            </w:r>
          </w:p>
        </w:tc>
        <w:tc>
          <w:tcPr>
            <w:tcW w:w="1661" w:type="dxa"/>
            <w:tcBorders>
              <w:top w:val="single" w:sz="4" w:space="0" w:color="auto"/>
              <w:left w:val="single" w:sz="4" w:space="0" w:color="auto"/>
              <w:bottom w:val="single" w:sz="4" w:space="0" w:color="auto"/>
              <w:right w:val="single" w:sz="4" w:space="0" w:color="auto"/>
            </w:tcBorders>
            <w:hideMark/>
          </w:tcPr>
          <w:p w14:paraId="619DE539" w14:textId="77777777" w:rsidR="007027E2" w:rsidRPr="007027E2" w:rsidRDefault="007027E2" w:rsidP="00297DAE">
            <w:pPr>
              <w:spacing w:before="40" w:after="40" w:line="210" w:lineRule="exact"/>
              <w:ind w:right="113"/>
              <w:jc w:val="right"/>
              <w:rPr>
                <w:rFonts w:eastAsia="Calibri"/>
                <w:sz w:val="17"/>
                <w:szCs w:val="17"/>
                <w:lang w:eastAsia="zh-CN"/>
              </w:rPr>
            </w:pPr>
            <w:r w:rsidRPr="007027E2">
              <w:rPr>
                <w:rFonts w:eastAsia="Calibri"/>
                <w:sz w:val="17"/>
                <w:szCs w:val="17"/>
              </w:rPr>
              <w:t>Pas de modification</w:t>
            </w:r>
          </w:p>
        </w:tc>
      </w:tr>
      <w:tr w:rsidR="007027E2" w:rsidRPr="007027E2" w14:paraId="6A7C534F" w14:textId="77777777" w:rsidTr="00DB1C33">
        <w:tc>
          <w:tcPr>
            <w:tcW w:w="5749" w:type="dxa"/>
            <w:tcBorders>
              <w:top w:val="single" w:sz="4" w:space="0" w:color="auto"/>
              <w:left w:val="single" w:sz="4" w:space="0" w:color="auto"/>
              <w:bottom w:val="single" w:sz="4" w:space="0" w:color="auto"/>
              <w:right w:val="single" w:sz="4" w:space="0" w:color="auto"/>
            </w:tcBorders>
            <w:vAlign w:val="bottom"/>
            <w:hideMark/>
          </w:tcPr>
          <w:p w14:paraId="34CB1F5D" w14:textId="77777777" w:rsidR="007027E2" w:rsidRPr="007027E2" w:rsidRDefault="007027E2" w:rsidP="00AF5984">
            <w:pPr>
              <w:tabs>
                <w:tab w:val="left" w:pos="270"/>
                <w:tab w:val="left" w:pos="567"/>
                <w:tab w:val="left" w:pos="1152"/>
              </w:tabs>
              <w:spacing w:before="40" w:after="40" w:line="210" w:lineRule="exact"/>
              <w:ind w:left="284" w:right="43"/>
              <w:rPr>
                <w:rFonts w:eastAsia="Calibri"/>
                <w:b/>
                <w:bCs/>
                <w:kern w:val="14"/>
                <w:sz w:val="17"/>
                <w:szCs w:val="22"/>
                <w:lang w:eastAsia="zh-CN"/>
              </w:rPr>
            </w:pPr>
            <w:r w:rsidRPr="007027E2">
              <w:rPr>
                <w:rFonts w:eastAsia="Calibri"/>
                <w:b/>
                <w:bCs/>
                <w:kern w:val="14"/>
                <w:sz w:val="17"/>
              </w:rPr>
              <w:t>3.</w:t>
            </w:r>
            <w:r w:rsidRPr="007027E2">
              <w:rPr>
                <w:rFonts w:eastAsia="Calibri"/>
                <w:b/>
                <w:bCs/>
                <w:kern w:val="14"/>
                <w:sz w:val="17"/>
              </w:rPr>
              <w:tab/>
            </w:r>
            <w:r w:rsidRPr="007027E2">
              <w:rPr>
                <w:rFonts w:eastAsia="Calibri"/>
                <w:b/>
                <w:bCs/>
                <w:kern w:val="14"/>
                <w:sz w:val="17"/>
                <w:szCs w:val="17"/>
              </w:rPr>
              <w:t xml:space="preserve">Documentation </w:t>
            </w:r>
            <w:r w:rsidRPr="007027E2">
              <w:rPr>
                <w:rFonts w:eastAsia="Calibri"/>
                <w:b/>
                <w:bCs/>
                <w:kern w:val="14"/>
                <w:sz w:val="17"/>
              </w:rPr>
              <w:t xml:space="preserve">destinée à la Réunion de haut niveau sur les transports, la santé et </w:t>
            </w:r>
            <w:r w:rsidRPr="007027E2">
              <w:rPr>
                <w:rFonts w:eastAsia="Calibri"/>
                <w:b/>
                <w:bCs/>
                <w:kern w:val="14"/>
                <w:sz w:val="17"/>
                <w:szCs w:val="17"/>
              </w:rPr>
              <w:t>l</w:t>
            </w:r>
            <w:r w:rsidR="00455787">
              <w:rPr>
                <w:rFonts w:eastAsia="Calibri"/>
                <w:b/>
                <w:bCs/>
                <w:kern w:val="14"/>
                <w:sz w:val="17"/>
                <w:szCs w:val="17"/>
              </w:rPr>
              <w:t>’</w:t>
            </w:r>
            <w:r w:rsidRPr="007027E2">
              <w:rPr>
                <w:rFonts w:eastAsia="Calibri"/>
                <w:b/>
                <w:bCs/>
                <w:kern w:val="14"/>
                <w:sz w:val="17"/>
                <w:szCs w:val="17"/>
              </w:rPr>
              <w:t xml:space="preserve">environnement </w:t>
            </w:r>
            <w:r w:rsidRPr="007027E2">
              <w:rPr>
                <w:rFonts w:eastAsia="Calibri"/>
                <w:bCs/>
                <w:kern w:val="14"/>
                <w:sz w:val="17"/>
                <w:szCs w:val="17"/>
              </w:rPr>
              <w:t xml:space="preserve">– </w:t>
            </w:r>
            <w:r w:rsidRPr="007027E2">
              <w:rPr>
                <w:rFonts w:eastAsia="Calibri"/>
                <w:b/>
                <w:kern w:val="14"/>
                <w:sz w:val="17"/>
                <w:szCs w:val="17"/>
              </w:rPr>
              <w:t>documents révisés ou supplémentaires</w:t>
            </w:r>
          </w:p>
        </w:tc>
        <w:tc>
          <w:tcPr>
            <w:tcW w:w="1616" w:type="dxa"/>
            <w:tcBorders>
              <w:top w:val="single" w:sz="4" w:space="0" w:color="auto"/>
              <w:left w:val="single" w:sz="4" w:space="0" w:color="auto"/>
              <w:bottom w:val="single" w:sz="4" w:space="0" w:color="auto"/>
              <w:right w:val="single" w:sz="4" w:space="0" w:color="auto"/>
            </w:tcBorders>
            <w:hideMark/>
          </w:tcPr>
          <w:p w14:paraId="6F7EFEC3" w14:textId="77777777" w:rsidR="007027E2" w:rsidRPr="007027E2" w:rsidRDefault="007027E2" w:rsidP="00AF5984">
            <w:pPr>
              <w:spacing w:before="40" w:after="40" w:line="210" w:lineRule="exact"/>
              <w:ind w:right="113"/>
              <w:jc w:val="right"/>
              <w:rPr>
                <w:rFonts w:eastAsia="Calibri"/>
                <w:sz w:val="17"/>
                <w:szCs w:val="17"/>
                <w:lang w:eastAsia="zh-CN"/>
              </w:rPr>
            </w:pPr>
            <w:r w:rsidRPr="007027E2">
              <w:rPr>
                <w:rFonts w:eastAsia="Calibri"/>
                <w:sz w:val="17"/>
                <w:szCs w:val="17"/>
              </w:rPr>
              <w:t>3</w:t>
            </w:r>
          </w:p>
        </w:tc>
        <w:tc>
          <w:tcPr>
            <w:tcW w:w="1661" w:type="dxa"/>
            <w:tcBorders>
              <w:top w:val="single" w:sz="4" w:space="0" w:color="auto"/>
              <w:left w:val="single" w:sz="4" w:space="0" w:color="auto"/>
              <w:bottom w:val="single" w:sz="4" w:space="0" w:color="auto"/>
              <w:right w:val="single" w:sz="4" w:space="0" w:color="auto"/>
            </w:tcBorders>
          </w:tcPr>
          <w:p w14:paraId="76006B38" w14:textId="77777777" w:rsidR="007027E2" w:rsidRPr="00297DAE" w:rsidRDefault="007027E2" w:rsidP="00297DAE">
            <w:pPr>
              <w:spacing w:before="40" w:after="40" w:line="210" w:lineRule="exact"/>
              <w:ind w:right="113"/>
              <w:jc w:val="right"/>
              <w:rPr>
                <w:rFonts w:eastAsia="Calibri"/>
                <w:sz w:val="17"/>
                <w:szCs w:val="17"/>
              </w:rPr>
            </w:pPr>
            <w:r w:rsidRPr="00297DAE">
              <w:rPr>
                <w:rFonts w:eastAsia="Calibri"/>
                <w:sz w:val="17"/>
                <w:szCs w:val="17"/>
              </w:rPr>
              <w:t>4</w:t>
            </w:r>
          </w:p>
          <w:p w14:paraId="091E4CFE" w14:textId="77777777" w:rsidR="007027E2" w:rsidRPr="007027E2" w:rsidRDefault="007027E2" w:rsidP="00297DAE">
            <w:pPr>
              <w:spacing w:before="40" w:after="40" w:line="210" w:lineRule="exact"/>
              <w:ind w:right="113"/>
              <w:jc w:val="right"/>
              <w:rPr>
                <w:rFonts w:eastAsia="Calibri"/>
                <w:kern w:val="14"/>
                <w:sz w:val="17"/>
                <w:szCs w:val="17"/>
                <w:lang w:eastAsia="zh-CN"/>
              </w:rPr>
            </w:pPr>
          </w:p>
        </w:tc>
      </w:tr>
      <w:tr w:rsidR="007027E2" w:rsidRPr="007027E2" w14:paraId="2B07F707" w14:textId="77777777" w:rsidTr="00DB1C33">
        <w:tc>
          <w:tcPr>
            <w:tcW w:w="5749" w:type="dxa"/>
            <w:tcBorders>
              <w:top w:val="single" w:sz="4" w:space="0" w:color="auto"/>
              <w:left w:val="single" w:sz="4" w:space="0" w:color="auto"/>
              <w:bottom w:val="single" w:sz="4" w:space="0" w:color="auto"/>
              <w:right w:val="single" w:sz="4" w:space="0" w:color="auto"/>
            </w:tcBorders>
            <w:vAlign w:val="bottom"/>
            <w:hideMark/>
          </w:tcPr>
          <w:p w14:paraId="3E94EFE4" w14:textId="77777777" w:rsidR="007027E2" w:rsidRPr="007027E2" w:rsidRDefault="007027E2" w:rsidP="00AF5984">
            <w:pPr>
              <w:tabs>
                <w:tab w:val="left" w:pos="297"/>
              </w:tabs>
              <w:spacing w:before="40" w:after="40" w:line="210" w:lineRule="exact"/>
              <w:ind w:right="43"/>
              <w:rPr>
                <w:rFonts w:eastAsia="Calibri"/>
                <w:bCs/>
                <w:kern w:val="14"/>
                <w:lang w:eastAsia="zh-CN"/>
              </w:rPr>
            </w:pPr>
            <w:r w:rsidRPr="007027E2">
              <w:rPr>
                <w:rFonts w:eastAsia="Calibri"/>
                <w:bCs/>
                <w:kern w:val="14"/>
              </w:rPr>
              <w:tab/>
              <w:t xml:space="preserve">Services fonctionnels pour les réunions (nombre de réunions de trois heures) – </w:t>
            </w:r>
            <w:r w:rsidRPr="007027E2">
              <w:rPr>
                <w:rFonts w:eastAsia="Calibri"/>
                <w:b/>
                <w:kern w:val="14"/>
              </w:rPr>
              <w:t xml:space="preserve">données révisées ou services supplémentaires </w:t>
            </w:r>
          </w:p>
        </w:tc>
        <w:tc>
          <w:tcPr>
            <w:tcW w:w="1616" w:type="dxa"/>
            <w:tcBorders>
              <w:top w:val="single" w:sz="4" w:space="0" w:color="auto"/>
              <w:left w:val="single" w:sz="4" w:space="0" w:color="auto"/>
              <w:bottom w:val="single" w:sz="4" w:space="0" w:color="auto"/>
              <w:right w:val="single" w:sz="4" w:space="0" w:color="auto"/>
            </w:tcBorders>
            <w:hideMark/>
          </w:tcPr>
          <w:p w14:paraId="72C3D0C5" w14:textId="77777777" w:rsidR="007027E2" w:rsidRPr="007027E2" w:rsidRDefault="007027E2" w:rsidP="00AF5984">
            <w:pPr>
              <w:spacing w:before="40" w:after="40" w:line="210" w:lineRule="exact"/>
              <w:ind w:right="113"/>
              <w:jc w:val="right"/>
              <w:rPr>
                <w:rFonts w:eastAsia="Calibri"/>
                <w:b/>
                <w:lang w:eastAsia="zh-CN"/>
              </w:rPr>
            </w:pPr>
            <w:r w:rsidRPr="007027E2">
              <w:rPr>
                <w:rFonts w:eastAsia="Calibri"/>
                <w:b/>
              </w:rPr>
              <w:t>6</w:t>
            </w:r>
          </w:p>
        </w:tc>
        <w:tc>
          <w:tcPr>
            <w:tcW w:w="1661" w:type="dxa"/>
            <w:tcBorders>
              <w:top w:val="single" w:sz="4" w:space="0" w:color="auto"/>
              <w:left w:val="single" w:sz="4" w:space="0" w:color="auto"/>
              <w:bottom w:val="single" w:sz="4" w:space="0" w:color="auto"/>
              <w:right w:val="single" w:sz="4" w:space="0" w:color="auto"/>
            </w:tcBorders>
            <w:vAlign w:val="bottom"/>
          </w:tcPr>
          <w:p w14:paraId="5D2D18B1" w14:textId="77777777" w:rsidR="007027E2" w:rsidRPr="007027E2" w:rsidRDefault="007027E2" w:rsidP="00AF5984">
            <w:pPr>
              <w:spacing w:before="40" w:after="40" w:line="210" w:lineRule="exact"/>
              <w:ind w:right="113"/>
              <w:jc w:val="right"/>
              <w:rPr>
                <w:rFonts w:eastAsia="Calibri"/>
                <w:b/>
              </w:rPr>
            </w:pPr>
            <w:r w:rsidRPr="007027E2">
              <w:rPr>
                <w:rFonts w:eastAsia="Calibri"/>
                <w:b/>
              </w:rPr>
              <w:t>67</w:t>
            </w:r>
          </w:p>
          <w:p w14:paraId="26191359" w14:textId="77777777" w:rsidR="007027E2" w:rsidRPr="007027E2" w:rsidRDefault="007027E2" w:rsidP="00AF5984">
            <w:pPr>
              <w:spacing w:before="40" w:after="40" w:line="210" w:lineRule="exact"/>
              <w:ind w:right="113"/>
              <w:jc w:val="right"/>
              <w:rPr>
                <w:rFonts w:eastAsia="Calibri"/>
                <w:b/>
                <w:lang w:eastAsia="zh-CN"/>
              </w:rPr>
            </w:pPr>
          </w:p>
        </w:tc>
      </w:tr>
      <w:tr w:rsidR="007027E2" w:rsidRPr="007027E2" w14:paraId="3D6A79BF" w14:textId="77777777" w:rsidTr="00DB1C33">
        <w:tc>
          <w:tcPr>
            <w:tcW w:w="5749" w:type="dxa"/>
            <w:tcBorders>
              <w:top w:val="single" w:sz="4" w:space="0" w:color="auto"/>
              <w:left w:val="single" w:sz="4" w:space="0" w:color="auto"/>
              <w:bottom w:val="single" w:sz="4" w:space="0" w:color="auto"/>
              <w:right w:val="single" w:sz="4" w:space="0" w:color="auto"/>
            </w:tcBorders>
            <w:vAlign w:val="bottom"/>
            <w:hideMark/>
          </w:tcPr>
          <w:p w14:paraId="6B9C9C22" w14:textId="77777777" w:rsidR="007027E2" w:rsidRPr="007027E2" w:rsidRDefault="007027E2" w:rsidP="007027E2">
            <w:pPr>
              <w:keepNext/>
              <w:tabs>
                <w:tab w:val="left" w:pos="297"/>
              </w:tabs>
              <w:spacing w:before="40" w:after="40" w:line="210" w:lineRule="exact"/>
              <w:ind w:left="297" w:right="43"/>
              <w:rPr>
                <w:rFonts w:eastAsia="Calibri"/>
                <w:b/>
                <w:kern w:val="14"/>
                <w:lang w:eastAsia="zh-CN"/>
              </w:rPr>
            </w:pPr>
            <w:r w:rsidRPr="007027E2">
              <w:rPr>
                <w:rFonts w:eastAsia="Calibri"/>
                <w:b/>
                <w:bCs/>
                <w:kern w:val="14"/>
                <w:sz w:val="17"/>
                <w:szCs w:val="17"/>
              </w:rPr>
              <w:lastRenderedPageBreak/>
              <w:t>4.</w:t>
            </w:r>
            <w:r w:rsidRPr="007027E2">
              <w:rPr>
                <w:rFonts w:eastAsia="Calibri"/>
                <w:b/>
                <w:bCs/>
                <w:kern w:val="14"/>
                <w:sz w:val="17"/>
                <w:szCs w:val="17"/>
              </w:rPr>
              <w:tab/>
              <w:t>Séances du Comité des transports intérieurs – données révisées ou séances supplémentaires</w:t>
            </w:r>
          </w:p>
        </w:tc>
        <w:tc>
          <w:tcPr>
            <w:tcW w:w="1616" w:type="dxa"/>
            <w:tcBorders>
              <w:top w:val="single" w:sz="4" w:space="0" w:color="auto"/>
              <w:left w:val="single" w:sz="4" w:space="0" w:color="auto"/>
              <w:bottom w:val="single" w:sz="4" w:space="0" w:color="auto"/>
              <w:right w:val="single" w:sz="4" w:space="0" w:color="auto"/>
            </w:tcBorders>
            <w:hideMark/>
          </w:tcPr>
          <w:p w14:paraId="721EC753" w14:textId="77777777" w:rsidR="007027E2" w:rsidRPr="007027E2" w:rsidRDefault="00297DAE" w:rsidP="007027E2">
            <w:pPr>
              <w:keepNext/>
              <w:spacing w:before="40" w:after="40" w:line="210" w:lineRule="exact"/>
              <w:ind w:right="113"/>
              <w:jc w:val="right"/>
              <w:rPr>
                <w:rFonts w:eastAsia="Calibri"/>
                <w:b/>
                <w:bCs/>
                <w:sz w:val="17"/>
                <w:szCs w:val="17"/>
                <w:lang w:eastAsia="zh-CN"/>
              </w:rPr>
            </w:pPr>
            <w:r>
              <w:rPr>
                <w:rFonts w:eastAsia="Calibri"/>
                <w:b/>
                <w:bCs/>
                <w:sz w:val="17"/>
                <w:szCs w:val="17"/>
              </w:rPr>
              <w:t>6</w:t>
            </w:r>
          </w:p>
        </w:tc>
        <w:tc>
          <w:tcPr>
            <w:tcW w:w="1661" w:type="dxa"/>
            <w:tcBorders>
              <w:top w:val="single" w:sz="4" w:space="0" w:color="auto"/>
              <w:left w:val="single" w:sz="4" w:space="0" w:color="auto"/>
              <w:bottom w:val="single" w:sz="4" w:space="0" w:color="auto"/>
              <w:right w:val="single" w:sz="4" w:space="0" w:color="auto"/>
            </w:tcBorders>
            <w:vAlign w:val="bottom"/>
          </w:tcPr>
          <w:p w14:paraId="21D1A87A" w14:textId="77777777" w:rsidR="007027E2" w:rsidRPr="007027E2" w:rsidRDefault="007027E2" w:rsidP="007027E2">
            <w:pPr>
              <w:keepNext/>
              <w:spacing w:before="40" w:after="40" w:line="210" w:lineRule="exact"/>
              <w:ind w:right="113"/>
              <w:jc w:val="right"/>
              <w:rPr>
                <w:rFonts w:eastAsia="Calibri"/>
                <w:b/>
                <w:bCs/>
                <w:sz w:val="17"/>
                <w:szCs w:val="17"/>
              </w:rPr>
            </w:pPr>
            <w:r w:rsidRPr="007027E2">
              <w:rPr>
                <w:rFonts w:eastAsia="Calibri"/>
                <w:b/>
                <w:bCs/>
                <w:sz w:val="17"/>
                <w:szCs w:val="17"/>
              </w:rPr>
              <w:t>67</w:t>
            </w:r>
          </w:p>
          <w:p w14:paraId="03390466" w14:textId="77777777" w:rsidR="007027E2" w:rsidRPr="007027E2" w:rsidRDefault="007027E2" w:rsidP="007027E2">
            <w:pPr>
              <w:keepNext/>
              <w:spacing w:before="40" w:after="40" w:line="210" w:lineRule="exact"/>
              <w:ind w:right="113"/>
              <w:jc w:val="right"/>
              <w:rPr>
                <w:rFonts w:eastAsia="Calibri"/>
                <w:b/>
                <w:bCs/>
                <w:sz w:val="17"/>
                <w:szCs w:val="17"/>
                <w:lang w:eastAsia="zh-CN"/>
              </w:rPr>
            </w:pPr>
          </w:p>
        </w:tc>
      </w:tr>
      <w:tr w:rsidR="007027E2" w:rsidRPr="007027E2" w14:paraId="1A395C8D" w14:textId="77777777" w:rsidTr="00DB1C33">
        <w:tc>
          <w:tcPr>
            <w:tcW w:w="5749" w:type="dxa"/>
            <w:tcBorders>
              <w:top w:val="single" w:sz="4" w:space="0" w:color="auto"/>
              <w:left w:val="single" w:sz="4" w:space="0" w:color="auto"/>
              <w:bottom w:val="single" w:sz="4" w:space="0" w:color="auto"/>
              <w:right w:val="single" w:sz="4" w:space="0" w:color="auto"/>
            </w:tcBorders>
            <w:vAlign w:val="bottom"/>
            <w:hideMark/>
          </w:tcPr>
          <w:p w14:paraId="38CD732D" w14:textId="77777777" w:rsidR="007027E2" w:rsidRPr="007027E2" w:rsidRDefault="007027E2" w:rsidP="007027E2">
            <w:pPr>
              <w:keepNext/>
              <w:tabs>
                <w:tab w:val="left" w:pos="270"/>
                <w:tab w:val="left" w:pos="567"/>
                <w:tab w:val="left" w:pos="1152"/>
              </w:tabs>
              <w:spacing w:before="40" w:after="40" w:line="210" w:lineRule="exact"/>
              <w:ind w:left="284" w:right="43"/>
              <w:rPr>
                <w:rFonts w:eastAsia="Calibri"/>
                <w:sz w:val="17"/>
                <w:szCs w:val="22"/>
                <w:lang w:eastAsia="zh-CN"/>
              </w:rPr>
            </w:pPr>
            <w:r w:rsidRPr="007027E2">
              <w:rPr>
                <w:rFonts w:eastAsia="Calibri"/>
                <w:sz w:val="17"/>
              </w:rPr>
              <w:tab/>
              <w:t>a. Groupe de travail des transports par chemin de fer</w:t>
            </w:r>
          </w:p>
        </w:tc>
        <w:tc>
          <w:tcPr>
            <w:tcW w:w="1616" w:type="dxa"/>
            <w:tcBorders>
              <w:top w:val="single" w:sz="4" w:space="0" w:color="auto"/>
              <w:left w:val="single" w:sz="4" w:space="0" w:color="auto"/>
              <w:bottom w:val="single" w:sz="4" w:space="0" w:color="auto"/>
              <w:right w:val="single" w:sz="4" w:space="0" w:color="auto"/>
            </w:tcBorders>
            <w:hideMark/>
          </w:tcPr>
          <w:p w14:paraId="3CC84736" w14:textId="77777777" w:rsidR="007027E2" w:rsidRPr="007027E2" w:rsidRDefault="007027E2" w:rsidP="000F3608">
            <w:pPr>
              <w:keepNext/>
              <w:spacing w:before="40" w:after="40" w:line="210" w:lineRule="exact"/>
              <w:ind w:right="113"/>
              <w:jc w:val="right"/>
              <w:rPr>
                <w:rFonts w:eastAsia="Calibri"/>
                <w:sz w:val="17"/>
                <w:szCs w:val="17"/>
                <w:lang w:eastAsia="zh-CN"/>
              </w:rPr>
            </w:pPr>
            <w:r w:rsidRPr="007027E2">
              <w:rPr>
                <w:rFonts w:eastAsia="Calibri"/>
                <w:sz w:val="17"/>
                <w:szCs w:val="17"/>
              </w:rPr>
              <w:t>Pas de modification</w:t>
            </w:r>
          </w:p>
        </w:tc>
        <w:tc>
          <w:tcPr>
            <w:tcW w:w="1661" w:type="dxa"/>
            <w:tcBorders>
              <w:top w:val="single" w:sz="4" w:space="0" w:color="auto"/>
              <w:left w:val="single" w:sz="4" w:space="0" w:color="auto"/>
              <w:bottom w:val="single" w:sz="4" w:space="0" w:color="auto"/>
              <w:right w:val="single" w:sz="4" w:space="0" w:color="auto"/>
            </w:tcBorders>
            <w:hideMark/>
          </w:tcPr>
          <w:p w14:paraId="6A60AF7E" w14:textId="77777777" w:rsidR="007027E2" w:rsidRPr="007027E2" w:rsidRDefault="007027E2" w:rsidP="000F3608">
            <w:pPr>
              <w:keepNext/>
              <w:spacing w:before="40" w:after="40" w:line="210" w:lineRule="exact"/>
              <w:ind w:right="113"/>
              <w:jc w:val="right"/>
              <w:rPr>
                <w:rFonts w:eastAsia="Calibri"/>
                <w:sz w:val="17"/>
                <w:szCs w:val="17"/>
                <w:lang w:eastAsia="zh-CN"/>
              </w:rPr>
            </w:pPr>
            <w:r w:rsidRPr="007027E2">
              <w:rPr>
                <w:rFonts w:eastAsia="Calibri"/>
                <w:sz w:val="17"/>
                <w:szCs w:val="17"/>
              </w:rPr>
              <w:t>Pas de modification</w:t>
            </w:r>
          </w:p>
        </w:tc>
      </w:tr>
      <w:tr w:rsidR="007027E2" w:rsidRPr="007027E2" w14:paraId="42BB2282" w14:textId="77777777" w:rsidTr="00DB1C33">
        <w:tc>
          <w:tcPr>
            <w:tcW w:w="5749" w:type="dxa"/>
            <w:tcBorders>
              <w:top w:val="single" w:sz="4" w:space="0" w:color="auto"/>
              <w:left w:val="single" w:sz="4" w:space="0" w:color="auto"/>
              <w:bottom w:val="single" w:sz="4" w:space="0" w:color="auto"/>
              <w:right w:val="single" w:sz="4" w:space="0" w:color="auto"/>
            </w:tcBorders>
            <w:vAlign w:val="bottom"/>
            <w:hideMark/>
          </w:tcPr>
          <w:p w14:paraId="25A056A8" w14:textId="77777777" w:rsidR="007027E2" w:rsidRPr="007027E2" w:rsidRDefault="007027E2" w:rsidP="007027E2">
            <w:pPr>
              <w:keepNext/>
              <w:tabs>
                <w:tab w:val="left" w:pos="285"/>
                <w:tab w:val="left" w:pos="1124"/>
              </w:tabs>
              <w:spacing w:before="40" w:after="40" w:line="210" w:lineRule="exact"/>
              <w:ind w:left="720" w:right="43"/>
              <w:rPr>
                <w:rFonts w:eastAsia="Calibri"/>
                <w:sz w:val="17"/>
                <w:szCs w:val="22"/>
                <w:lang w:eastAsia="zh-CN"/>
              </w:rPr>
            </w:pPr>
            <w:r w:rsidRPr="007027E2">
              <w:rPr>
                <w:rFonts w:eastAsia="Calibri"/>
                <w:sz w:val="17"/>
              </w:rPr>
              <w:t>i) Groupe d</w:t>
            </w:r>
            <w:r w:rsidR="00455787">
              <w:rPr>
                <w:rFonts w:eastAsia="Calibri"/>
                <w:sz w:val="17"/>
              </w:rPr>
              <w:t>’</w:t>
            </w:r>
            <w:r w:rsidRPr="007027E2">
              <w:rPr>
                <w:rFonts w:eastAsia="Calibri"/>
                <w:sz w:val="17"/>
              </w:rPr>
              <w:t>experts pour l</w:t>
            </w:r>
            <w:r w:rsidR="00455787">
              <w:rPr>
                <w:rFonts w:eastAsia="Calibri"/>
                <w:sz w:val="17"/>
              </w:rPr>
              <w:t>’</w:t>
            </w:r>
            <w:r w:rsidRPr="007027E2">
              <w:rPr>
                <w:rFonts w:eastAsia="Calibri"/>
                <w:sz w:val="17"/>
              </w:rPr>
              <w:t>uniformisation du droit ferroviaire</w:t>
            </w:r>
          </w:p>
        </w:tc>
        <w:tc>
          <w:tcPr>
            <w:tcW w:w="1616" w:type="dxa"/>
            <w:tcBorders>
              <w:top w:val="single" w:sz="4" w:space="0" w:color="auto"/>
              <w:left w:val="single" w:sz="4" w:space="0" w:color="auto"/>
              <w:bottom w:val="single" w:sz="4" w:space="0" w:color="auto"/>
              <w:right w:val="single" w:sz="4" w:space="0" w:color="auto"/>
            </w:tcBorders>
            <w:hideMark/>
          </w:tcPr>
          <w:p w14:paraId="13291ECF" w14:textId="77777777" w:rsidR="007027E2" w:rsidRPr="007027E2" w:rsidRDefault="007027E2" w:rsidP="007027E2">
            <w:pPr>
              <w:keepNext/>
              <w:spacing w:before="40" w:after="40" w:line="210" w:lineRule="exact"/>
              <w:ind w:right="113"/>
              <w:jc w:val="right"/>
              <w:rPr>
                <w:rFonts w:eastAsia="Calibri"/>
                <w:sz w:val="17"/>
                <w:szCs w:val="17"/>
                <w:lang w:eastAsia="zh-CN"/>
              </w:rPr>
            </w:pPr>
            <w:r w:rsidRPr="007027E2">
              <w:rPr>
                <w:rFonts w:eastAsia="Calibri"/>
                <w:sz w:val="17"/>
                <w:szCs w:val="17"/>
              </w:rPr>
              <w:t>0</w:t>
            </w:r>
          </w:p>
        </w:tc>
        <w:tc>
          <w:tcPr>
            <w:tcW w:w="1661" w:type="dxa"/>
            <w:tcBorders>
              <w:top w:val="single" w:sz="4" w:space="0" w:color="auto"/>
              <w:left w:val="single" w:sz="4" w:space="0" w:color="auto"/>
              <w:bottom w:val="single" w:sz="4" w:space="0" w:color="auto"/>
              <w:right w:val="single" w:sz="4" w:space="0" w:color="auto"/>
            </w:tcBorders>
            <w:vAlign w:val="bottom"/>
            <w:hideMark/>
          </w:tcPr>
          <w:p w14:paraId="2B8FB262" w14:textId="77777777" w:rsidR="007027E2" w:rsidRPr="007027E2" w:rsidRDefault="007027E2" w:rsidP="007027E2">
            <w:pPr>
              <w:keepNext/>
              <w:spacing w:before="40" w:after="40" w:line="210" w:lineRule="exact"/>
              <w:ind w:right="113"/>
              <w:jc w:val="right"/>
              <w:rPr>
                <w:rFonts w:eastAsia="Calibri"/>
                <w:kern w:val="14"/>
                <w:sz w:val="17"/>
                <w:szCs w:val="17"/>
                <w:lang w:eastAsia="zh-CN"/>
              </w:rPr>
            </w:pPr>
            <w:r w:rsidRPr="007027E2">
              <w:rPr>
                <w:rFonts w:eastAsia="Calibri"/>
                <w:kern w:val="14"/>
                <w:sz w:val="17"/>
                <w:szCs w:val="17"/>
                <w:lang w:eastAsia="zh-CN"/>
              </w:rPr>
              <w:t>6</w:t>
            </w:r>
          </w:p>
        </w:tc>
      </w:tr>
      <w:tr w:rsidR="007027E2" w:rsidRPr="007027E2" w14:paraId="517DA38F" w14:textId="77777777" w:rsidTr="00DB1C33">
        <w:tc>
          <w:tcPr>
            <w:tcW w:w="5749" w:type="dxa"/>
            <w:tcBorders>
              <w:top w:val="single" w:sz="4" w:space="0" w:color="auto"/>
              <w:left w:val="single" w:sz="4" w:space="0" w:color="auto"/>
              <w:bottom w:val="single" w:sz="4" w:space="0" w:color="auto"/>
              <w:right w:val="single" w:sz="4" w:space="0" w:color="auto"/>
            </w:tcBorders>
            <w:vAlign w:val="bottom"/>
            <w:hideMark/>
          </w:tcPr>
          <w:p w14:paraId="2027A4F4" w14:textId="77777777" w:rsidR="007027E2" w:rsidRPr="007027E2" w:rsidRDefault="007027E2" w:rsidP="007027E2">
            <w:pPr>
              <w:keepNext/>
              <w:tabs>
                <w:tab w:val="left" w:pos="285"/>
                <w:tab w:val="left" w:pos="1124"/>
              </w:tabs>
              <w:spacing w:before="40" w:after="40" w:line="210" w:lineRule="exact"/>
              <w:ind w:left="720" w:right="43"/>
              <w:rPr>
                <w:rFonts w:eastAsia="Calibri"/>
                <w:kern w:val="14"/>
                <w:sz w:val="17"/>
                <w:szCs w:val="22"/>
                <w:lang w:eastAsia="zh-CN"/>
              </w:rPr>
            </w:pPr>
            <w:r w:rsidRPr="007027E2">
              <w:rPr>
                <w:rFonts w:eastAsia="Calibri"/>
                <w:sz w:val="17"/>
              </w:rPr>
              <w:t>ii) Groupe d</w:t>
            </w:r>
            <w:r w:rsidR="00455787">
              <w:rPr>
                <w:rFonts w:eastAsia="Calibri"/>
                <w:sz w:val="17"/>
              </w:rPr>
              <w:t>’</w:t>
            </w:r>
            <w:r w:rsidRPr="007027E2">
              <w:rPr>
                <w:rFonts w:eastAsia="Calibri"/>
                <w:sz w:val="17"/>
              </w:rPr>
              <w:t>experts de l</w:t>
            </w:r>
            <w:r w:rsidR="00455787">
              <w:rPr>
                <w:rFonts w:eastAsia="Calibri"/>
                <w:sz w:val="17"/>
              </w:rPr>
              <w:t>’</w:t>
            </w:r>
            <w:r w:rsidRPr="007027E2">
              <w:rPr>
                <w:rFonts w:eastAsia="Calibri"/>
                <w:sz w:val="17"/>
              </w:rPr>
              <w:t>identification permanente du matériel roulant ferroviaire</w:t>
            </w:r>
          </w:p>
        </w:tc>
        <w:tc>
          <w:tcPr>
            <w:tcW w:w="1616" w:type="dxa"/>
            <w:tcBorders>
              <w:top w:val="single" w:sz="4" w:space="0" w:color="auto"/>
              <w:left w:val="single" w:sz="4" w:space="0" w:color="auto"/>
              <w:bottom w:val="single" w:sz="4" w:space="0" w:color="auto"/>
              <w:right w:val="single" w:sz="4" w:space="0" w:color="auto"/>
            </w:tcBorders>
            <w:hideMark/>
          </w:tcPr>
          <w:p w14:paraId="2BEFE24F" w14:textId="77777777" w:rsidR="007027E2" w:rsidRPr="007027E2" w:rsidRDefault="007027E2" w:rsidP="007027E2">
            <w:pPr>
              <w:keepNext/>
              <w:spacing w:before="40" w:after="40" w:line="210" w:lineRule="exact"/>
              <w:ind w:right="113"/>
              <w:jc w:val="right"/>
              <w:rPr>
                <w:rFonts w:eastAsia="Calibri"/>
                <w:sz w:val="17"/>
                <w:szCs w:val="17"/>
                <w:lang w:eastAsia="zh-CN"/>
              </w:rPr>
            </w:pPr>
            <w:r w:rsidRPr="007027E2">
              <w:rPr>
                <w:rFonts w:eastAsia="Calibri"/>
                <w:sz w:val="17"/>
                <w:szCs w:val="17"/>
              </w:rPr>
              <w:t>0</w:t>
            </w:r>
          </w:p>
        </w:tc>
        <w:tc>
          <w:tcPr>
            <w:tcW w:w="1661" w:type="dxa"/>
            <w:tcBorders>
              <w:top w:val="single" w:sz="4" w:space="0" w:color="auto"/>
              <w:left w:val="single" w:sz="4" w:space="0" w:color="auto"/>
              <w:bottom w:val="single" w:sz="4" w:space="0" w:color="auto"/>
              <w:right w:val="single" w:sz="4" w:space="0" w:color="auto"/>
            </w:tcBorders>
            <w:vAlign w:val="bottom"/>
            <w:hideMark/>
          </w:tcPr>
          <w:p w14:paraId="2CC9B6FC" w14:textId="77777777" w:rsidR="007027E2" w:rsidRPr="007027E2" w:rsidRDefault="007027E2" w:rsidP="007027E2">
            <w:pPr>
              <w:keepNext/>
              <w:spacing w:before="40" w:after="40" w:line="210" w:lineRule="exact"/>
              <w:ind w:right="113"/>
              <w:jc w:val="right"/>
              <w:rPr>
                <w:rFonts w:eastAsia="Calibri"/>
                <w:kern w:val="14"/>
                <w:sz w:val="17"/>
                <w:szCs w:val="17"/>
                <w:lang w:eastAsia="zh-CN"/>
              </w:rPr>
            </w:pPr>
            <w:r w:rsidRPr="007027E2">
              <w:rPr>
                <w:rFonts w:eastAsia="Calibri"/>
                <w:kern w:val="14"/>
                <w:sz w:val="17"/>
                <w:szCs w:val="17"/>
                <w:lang w:eastAsia="zh-CN"/>
              </w:rPr>
              <w:t>12</w:t>
            </w:r>
          </w:p>
        </w:tc>
      </w:tr>
      <w:tr w:rsidR="007027E2" w:rsidRPr="007027E2" w14:paraId="6873982E" w14:textId="77777777" w:rsidTr="00DB1C33">
        <w:tc>
          <w:tcPr>
            <w:tcW w:w="5749" w:type="dxa"/>
            <w:tcBorders>
              <w:top w:val="single" w:sz="4" w:space="0" w:color="auto"/>
              <w:left w:val="single" w:sz="4" w:space="0" w:color="auto"/>
              <w:bottom w:val="single" w:sz="4" w:space="0" w:color="auto"/>
              <w:right w:val="single" w:sz="4" w:space="0" w:color="auto"/>
            </w:tcBorders>
            <w:vAlign w:val="bottom"/>
          </w:tcPr>
          <w:p w14:paraId="5BF87FC3" w14:textId="77777777" w:rsidR="007027E2" w:rsidRPr="007027E2" w:rsidRDefault="007027E2" w:rsidP="00AF5984">
            <w:pPr>
              <w:tabs>
                <w:tab w:val="left" w:pos="285"/>
                <w:tab w:val="left" w:pos="1124"/>
              </w:tabs>
              <w:spacing w:before="40" w:after="40" w:line="210" w:lineRule="exact"/>
              <w:ind w:left="720" w:right="43"/>
              <w:rPr>
                <w:rFonts w:eastAsia="Calibri"/>
                <w:sz w:val="17"/>
              </w:rPr>
            </w:pPr>
            <w:r w:rsidRPr="007027E2">
              <w:rPr>
                <w:rFonts w:eastAsia="Calibri"/>
                <w:sz w:val="17"/>
              </w:rPr>
              <w:t>iii) Groupe d</w:t>
            </w:r>
            <w:r w:rsidR="00455787">
              <w:rPr>
                <w:rFonts w:eastAsia="Calibri"/>
                <w:sz w:val="17"/>
              </w:rPr>
              <w:t>’</w:t>
            </w:r>
            <w:r w:rsidRPr="007027E2">
              <w:rPr>
                <w:rFonts w:eastAsia="Calibri"/>
                <w:sz w:val="17"/>
              </w:rPr>
              <w:t xml:space="preserve">experts des nœuds de transport ferroviaire international de voyageurs </w:t>
            </w:r>
            <w:r w:rsidRPr="007027E2">
              <w:rPr>
                <w:rFonts w:eastAsia="Calibri"/>
                <w:sz w:val="17"/>
                <w:szCs w:val="17"/>
              </w:rPr>
              <w:t>(*voir mandats dans le tableau 2)</w:t>
            </w:r>
          </w:p>
        </w:tc>
        <w:tc>
          <w:tcPr>
            <w:tcW w:w="1616" w:type="dxa"/>
            <w:tcBorders>
              <w:top w:val="single" w:sz="4" w:space="0" w:color="auto"/>
              <w:left w:val="single" w:sz="4" w:space="0" w:color="auto"/>
              <w:bottom w:val="single" w:sz="4" w:space="0" w:color="auto"/>
              <w:right w:val="single" w:sz="4" w:space="0" w:color="auto"/>
            </w:tcBorders>
          </w:tcPr>
          <w:p w14:paraId="674A3B5F" w14:textId="77777777" w:rsidR="007027E2" w:rsidRPr="007027E2" w:rsidRDefault="007027E2" w:rsidP="00AF5984">
            <w:pPr>
              <w:spacing w:before="40" w:after="40" w:line="210" w:lineRule="exact"/>
              <w:ind w:right="113"/>
              <w:jc w:val="right"/>
              <w:rPr>
                <w:rFonts w:eastAsia="Calibri"/>
                <w:sz w:val="17"/>
                <w:szCs w:val="17"/>
              </w:rPr>
            </w:pPr>
            <w:r w:rsidRPr="007027E2">
              <w:rPr>
                <w:rFonts w:eastAsia="Calibri"/>
                <w:sz w:val="17"/>
                <w:szCs w:val="17"/>
              </w:rPr>
              <w:t>0</w:t>
            </w:r>
          </w:p>
        </w:tc>
        <w:tc>
          <w:tcPr>
            <w:tcW w:w="1661" w:type="dxa"/>
            <w:tcBorders>
              <w:top w:val="single" w:sz="4" w:space="0" w:color="auto"/>
              <w:left w:val="single" w:sz="4" w:space="0" w:color="auto"/>
              <w:bottom w:val="single" w:sz="4" w:space="0" w:color="auto"/>
              <w:right w:val="single" w:sz="4" w:space="0" w:color="auto"/>
            </w:tcBorders>
          </w:tcPr>
          <w:p w14:paraId="25D49C0E" w14:textId="77777777" w:rsidR="007027E2" w:rsidRPr="007027E2" w:rsidRDefault="007027E2" w:rsidP="00AF5984">
            <w:pPr>
              <w:spacing w:before="40" w:after="40" w:line="210" w:lineRule="exact"/>
              <w:ind w:right="113"/>
              <w:jc w:val="right"/>
              <w:rPr>
                <w:rFonts w:eastAsia="Calibri"/>
                <w:kern w:val="14"/>
                <w:sz w:val="17"/>
                <w:szCs w:val="17"/>
                <w:lang w:eastAsia="zh-CN"/>
              </w:rPr>
            </w:pPr>
            <w:r w:rsidRPr="007027E2">
              <w:rPr>
                <w:rFonts w:eastAsia="Calibri"/>
                <w:kern w:val="14"/>
                <w:sz w:val="17"/>
                <w:szCs w:val="17"/>
                <w:lang w:eastAsia="zh-CN"/>
              </w:rPr>
              <w:t>12</w:t>
            </w:r>
          </w:p>
        </w:tc>
      </w:tr>
      <w:tr w:rsidR="007027E2" w:rsidRPr="007027E2" w14:paraId="233EB1FB" w14:textId="77777777" w:rsidTr="00DB1C33">
        <w:tc>
          <w:tcPr>
            <w:tcW w:w="5749" w:type="dxa"/>
            <w:tcBorders>
              <w:top w:val="single" w:sz="4" w:space="0" w:color="auto"/>
              <w:left w:val="single" w:sz="4" w:space="0" w:color="auto"/>
              <w:bottom w:val="single" w:sz="4" w:space="0" w:color="auto"/>
              <w:right w:val="single" w:sz="4" w:space="0" w:color="auto"/>
            </w:tcBorders>
            <w:vAlign w:val="bottom"/>
            <w:hideMark/>
          </w:tcPr>
          <w:p w14:paraId="35A20769" w14:textId="77777777" w:rsidR="007027E2" w:rsidRPr="007027E2" w:rsidRDefault="007027E2" w:rsidP="00AF5984">
            <w:pPr>
              <w:tabs>
                <w:tab w:val="left" w:pos="285"/>
                <w:tab w:val="left" w:pos="1124"/>
              </w:tabs>
              <w:spacing w:before="40" w:after="40" w:line="210" w:lineRule="exact"/>
              <w:ind w:left="540" w:right="43"/>
              <w:rPr>
                <w:rFonts w:eastAsia="Calibri"/>
                <w:sz w:val="17"/>
                <w:szCs w:val="22"/>
                <w:lang w:eastAsia="zh-CN"/>
              </w:rPr>
            </w:pPr>
            <w:r w:rsidRPr="007027E2">
              <w:rPr>
                <w:rFonts w:eastAsia="Calibri"/>
                <w:sz w:val="17"/>
              </w:rPr>
              <w:t>b. Groupe de travail des transports routiers</w:t>
            </w:r>
          </w:p>
        </w:tc>
        <w:tc>
          <w:tcPr>
            <w:tcW w:w="1616" w:type="dxa"/>
            <w:tcBorders>
              <w:top w:val="single" w:sz="4" w:space="0" w:color="auto"/>
              <w:left w:val="single" w:sz="4" w:space="0" w:color="auto"/>
              <w:bottom w:val="single" w:sz="4" w:space="0" w:color="auto"/>
              <w:right w:val="single" w:sz="4" w:space="0" w:color="auto"/>
            </w:tcBorders>
            <w:hideMark/>
          </w:tcPr>
          <w:p w14:paraId="240313CC" w14:textId="77777777" w:rsidR="007027E2" w:rsidRPr="007027E2" w:rsidRDefault="007027E2" w:rsidP="000F3608">
            <w:pPr>
              <w:spacing w:before="40" w:after="40" w:line="210" w:lineRule="exact"/>
              <w:ind w:right="113"/>
              <w:jc w:val="right"/>
              <w:rPr>
                <w:rFonts w:eastAsia="Calibri"/>
                <w:sz w:val="17"/>
                <w:szCs w:val="17"/>
                <w:lang w:eastAsia="zh-CN"/>
              </w:rPr>
            </w:pPr>
            <w:r w:rsidRPr="007027E2">
              <w:rPr>
                <w:rFonts w:eastAsia="Calibri"/>
                <w:sz w:val="17"/>
                <w:szCs w:val="17"/>
              </w:rPr>
              <w:t>Pas de modification</w:t>
            </w:r>
          </w:p>
        </w:tc>
        <w:tc>
          <w:tcPr>
            <w:tcW w:w="1661" w:type="dxa"/>
            <w:tcBorders>
              <w:top w:val="single" w:sz="4" w:space="0" w:color="auto"/>
              <w:left w:val="single" w:sz="4" w:space="0" w:color="auto"/>
              <w:bottom w:val="single" w:sz="4" w:space="0" w:color="auto"/>
              <w:right w:val="single" w:sz="4" w:space="0" w:color="auto"/>
            </w:tcBorders>
            <w:hideMark/>
          </w:tcPr>
          <w:p w14:paraId="251B4BFB" w14:textId="77777777" w:rsidR="007027E2" w:rsidRPr="007027E2" w:rsidRDefault="007027E2" w:rsidP="000F3608">
            <w:pPr>
              <w:spacing w:before="40" w:after="40" w:line="210" w:lineRule="exact"/>
              <w:ind w:right="113"/>
              <w:jc w:val="right"/>
              <w:rPr>
                <w:rFonts w:eastAsia="Calibri"/>
                <w:sz w:val="17"/>
                <w:szCs w:val="17"/>
                <w:lang w:eastAsia="zh-CN"/>
              </w:rPr>
            </w:pPr>
            <w:r w:rsidRPr="007027E2">
              <w:rPr>
                <w:rFonts w:eastAsia="Calibri"/>
                <w:sz w:val="17"/>
                <w:szCs w:val="17"/>
              </w:rPr>
              <w:t>Pas de modification</w:t>
            </w:r>
          </w:p>
        </w:tc>
      </w:tr>
      <w:tr w:rsidR="007027E2" w:rsidRPr="007027E2" w14:paraId="0F95E5D3" w14:textId="77777777" w:rsidTr="00DB1C33">
        <w:tc>
          <w:tcPr>
            <w:tcW w:w="5749" w:type="dxa"/>
            <w:tcBorders>
              <w:top w:val="single" w:sz="4" w:space="0" w:color="auto"/>
              <w:left w:val="single" w:sz="4" w:space="0" w:color="auto"/>
              <w:bottom w:val="single" w:sz="4" w:space="0" w:color="auto"/>
              <w:right w:val="single" w:sz="4" w:space="0" w:color="auto"/>
            </w:tcBorders>
            <w:vAlign w:val="bottom"/>
            <w:hideMark/>
          </w:tcPr>
          <w:p w14:paraId="373E9CD6" w14:textId="77777777" w:rsidR="007027E2" w:rsidRPr="007027E2" w:rsidRDefault="007027E2" w:rsidP="00AF5984">
            <w:pPr>
              <w:spacing w:after="160" w:line="210" w:lineRule="exact"/>
              <w:ind w:left="720"/>
              <w:rPr>
                <w:rFonts w:eastAsia="Calibri"/>
                <w:sz w:val="17"/>
                <w:szCs w:val="17"/>
                <w:lang w:eastAsia="zh-CN"/>
              </w:rPr>
            </w:pPr>
            <w:r w:rsidRPr="007027E2">
              <w:rPr>
                <w:rFonts w:eastAsia="Calibri"/>
                <w:sz w:val="17"/>
                <w:szCs w:val="17"/>
              </w:rPr>
              <w:t>i) Groupe d</w:t>
            </w:r>
            <w:r w:rsidR="00455787">
              <w:rPr>
                <w:rFonts w:eastAsia="Calibri"/>
                <w:sz w:val="17"/>
                <w:szCs w:val="17"/>
              </w:rPr>
              <w:t>’</w:t>
            </w:r>
            <w:r w:rsidRPr="007027E2">
              <w:rPr>
                <w:rFonts w:eastAsia="Calibri"/>
                <w:sz w:val="17"/>
                <w:szCs w:val="17"/>
              </w:rPr>
              <w:t>experts de l</w:t>
            </w:r>
            <w:r w:rsidR="00455787">
              <w:rPr>
                <w:rFonts w:eastAsia="Calibri"/>
                <w:sz w:val="17"/>
                <w:szCs w:val="17"/>
              </w:rPr>
              <w:t>’</w:t>
            </w:r>
            <w:r w:rsidRPr="007027E2">
              <w:rPr>
                <w:rFonts w:eastAsia="Calibri"/>
                <w:sz w:val="17"/>
                <w:szCs w:val="17"/>
              </w:rPr>
              <w:t>AETR</w:t>
            </w:r>
          </w:p>
        </w:tc>
        <w:tc>
          <w:tcPr>
            <w:tcW w:w="1616" w:type="dxa"/>
            <w:tcBorders>
              <w:top w:val="single" w:sz="4" w:space="0" w:color="auto"/>
              <w:left w:val="single" w:sz="4" w:space="0" w:color="auto"/>
              <w:bottom w:val="single" w:sz="4" w:space="0" w:color="auto"/>
              <w:right w:val="single" w:sz="4" w:space="0" w:color="auto"/>
            </w:tcBorders>
            <w:hideMark/>
          </w:tcPr>
          <w:p w14:paraId="78138F7C" w14:textId="77777777" w:rsidR="007027E2" w:rsidRPr="007027E2" w:rsidRDefault="007027E2" w:rsidP="00AF5984">
            <w:pPr>
              <w:spacing w:after="160" w:line="210" w:lineRule="exact"/>
              <w:ind w:right="113"/>
              <w:jc w:val="right"/>
              <w:rPr>
                <w:rFonts w:eastAsia="Calibri"/>
                <w:sz w:val="17"/>
                <w:szCs w:val="17"/>
                <w:lang w:eastAsia="zh-CN"/>
              </w:rPr>
            </w:pPr>
            <w:r w:rsidRPr="007027E2">
              <w:rPr>
                <w:rFonts w:eastAsia="Calibri"/>
                <w:sz w:val="17"/>
                <w:szCs w:val="17"/>
              </w:rPr>
              <w:t>0</w:t>
            </w:r>
          </w:p>
        </w:tc>
        <w:tc>
          <w:tcPr>
            <w:tcW w:w="1661" w:type="dxa"/>
            <w:tcBorders>
              <w:top w:val="single" w:sz="4" w:space="0" w:color="auto"/>
              <w:left w:val="single" w:sz="4" w:space="0" w:color="auto"/>
              <w:bottom w:val="single" w:sz="4" w:space="0" w:color="auto"/>
              <w:right w:val="single" w:sz="4" w:space="0" w:color="auto"/>
            </w:tcBorders>
            <w:vAlign w:val="bottom"/>
            <w:hideMark/>
          </w:tcPr>
          <w:p w14:paraId="21748EC5" w14:textId="77777777" w:rsidR="007027E2" w:rsidRPr="007027E2" w:rsidRDefault="007027E2" w:rsidP="00AF5984">
            <w:pPr>
              <w:spacing w:after="160" w:line="210" w:lineRule="exact"/>
              <w:ind w:right="113"/>
              <w:jc w:val="right"/>
              <w:rPr>
                <w:rFonts w:eastAsia="Calibri"/>
                <w:sz w:val="17"/>
                <w:szCs w:val="17"/>
                <w:lang w:eastAsia="zh-CN"/>
              </w:rPr>
            </w:pPr>
            <w:r w:rsidRPr="007027E2">
              <w:rPr>
                <w:rFonts w:eastAsia="Calibri"/>
                <w:sz w:val="17"/>
                <w:szCs w:val="17"/>
              </w:rPr>
              <w:t>6</w:t>
            </w:r>
          </w:p>
        </w:tc>
      </w:tr>
      <w:tr w:rsidR="007027E2" w:rsidRPr="007027E2" w14:paraId="6DCF83DA" w14:textId="77777777" w:rsidTr="00DB1C33">
        <w:tc>
          <w:tcPr>
            <w:tcW w:w="5749" w:type="dxa"/>
            <w:tcBorders>
              <w:top w:val="single" w:sz="4" w:space="0" w:color="auto"/>
              <w:left w:val="single" w:sz="4" w:space="0" w:color="auto"/>
              <w:bottom w:val="single" w:sz="4" w:space="0" w:color="auto"/>
              <w:right w:val="single" w:sz="4" w:space="0" w:color="auto"/>
            </w:tcBorders>
            <w:vAlign w:val="bottom"/>
            <w:hideMark/>
          </w:tcPr>
          <w:p w14:paraId="049E835B" w14:textId="77777777" w:rsidR="007027E2" w:rsidRPr="007027E2" w:rsidRDefault="007027E2" w:rsidP="000F3608">
            <w:pPr>
              <w:spacing w:before="40" w:after="40" w:line="210" w:lineRule="exact"/>
              <w:ind w:left="540"/>
              <w:rPr>
                <w:rFonts w:eastAsia="Calibri"/>
                <w:sz w:val="17"/>
                <w:szCs w:val="17"/>
                <w:lang w:eastAsia="zh-CN"/>
              </w:rPr>
            </w:pPr>
            <w:r w:rsidRPr="007027E2">
              <w:rPr>
                <w:rFonts w:eastAsia="Calibri"/>
                <w:sz w:val="17"/>
                <w:szCs w:val="17"/>
              </w:rPr>
              <w:t>c. Forum mondial de la sécurité routière</w:t>
            </w:r>
          </w:p>
        </w:tc>
        <w:tc>
          <w:tcPr>
            <w:tcW w:w="1616" w:type="dxa"/>
            <w:tcBorders>
              <w:top w:val="single" w:sz="4" w:space="0" w:color="auto"/>
              <w:left w:val="single" w:sz="4" w:space="0" w:color="auto"/>
              <w:bottom w:val="single" w:sz="4" w:space="0" w:color="auto"/>
              <w:right w:val="single" w:sz="4" w:space="0" w:color="auto"/>
            </w:tcBorders>
            <w:hideMark/>
          </w:tcPr>
          <w:p w14:paraId="5021FA45" w14:textId="77777777" w:rsidR="007027E2" w:rsidRPr="007027E2" w:rsidRDefault="007027E2" w:rsidP="000F3608">
            <w:pPr>
              <w:tabs>
                <w:tab w:val="left" w:pos="315"/>
                <w:tab w:val="right" w:pos="1606"/>
              </w:tabs>
              <w:spacing w:before="40" w:after="40" w:line="210" w:lineRule="exact"/>
              <w:ind w:right="113"/>
              <w:jc w:val="right"/>
              <w:rPr>
                <w:rFonts w:eastAsia="Calibri"/>
                <w:sz w:val="17"/>
                <w:szCs w:val="17"/>
                <w:lang w:eastAsia="zh-CN"/>
              </w:rPr>
            </w:pPr>
            <w:r w:rsidRPr="007027E2">
              <w:rPr>
                <w:rFonts w:eastAsia="Calibri"/>
                <w:sz w:val="17"/>
                <w:szCs w:val="17"/>
              </w:rPr>
              <w:t>Pas de modification</w:t>
            </w:r>
          </w:p>
        </w:tc>
        <w:tc>
          <w:tcPr>
            <w:tcW w:w="1661" w:type="dxa"/>
            <w:tcBorders>
              <w:top w:val="single" w:sz="4" w:space="0" w:color="auto"/>
              <w:left w:val="single" w:sz="4" w:space="0" w:color="auto"/>
              <w:bottom w:val="single" w:sz="4" w:space="0" w:color="auto"/>
              <w:right w:val="single" w:sz="4" w:space="0" w:color="auto"/>
            </w:tcBorders>
            <w:hideMark/>
          </w:tcPr>
          <w:p w14:paraId="428B1C75" w14:textId="77777777" w:rsidR="007027E2" w:rsidRPr="007027E2" w:rsidRDefault="007027E2" w:rsidP="000F3608">
            <w:pPr>
              <w:spacing w:before="40" w:after="40" w:line="210" w:lineRule="exact"/>
              <w:ind w:right="113"/>
              <w:jc w:val="right"/>
              <w:rPr>
                <w:rFonts w:eastAsia="Calibri"/>
                <w:sz w:val="17"/>
                <w:szCs w:val="17"/>
                <w:lang w:eastAsia="zh-CN"/>
              </w:rPr>
            </w:pPr>
            <w:r w:rsidRPr="007027E2">
              <w:rPr>
                <w:rFonts w:eastAsia="Calibri"/>
                <w:sz w:val="17"/>
                <w:szCs w:val="17"/>
              </w:rPr>
              <w:t>Pas de modification</w:t>
            </w:r>
          </w:p>
        </w:tc>
      </w:tr>
      <w:tr w:rsidR="007027E2" w:rsidRPr="007027E2" w14:paraId="3CA3F8AA" w14:textId="77777777" w:rsidTr="00DB1C33">
        <w:tc>
          <w:tcPr>
            <w:tcW w:w="5749" w:type="dxa"/>
            <w:tcBorders>
              <w:top w:val="single" w:sz="4" w:space="0" w:color="auto"/>
              <w:left w:val="single" w:sz="4" w:space="0" w:color="auto"/>
              <w:bottom w:val="single" w:sz="4" w:space="0" w:color="auto"/>
              <w:right w:val="single" w:sz="4" w:space="0" w:color="auto"/>
            </w:tcBorders>
            <w:vAlign w:val="bottom"/>
            <w:hideMark/>
          </w:tcPr>
          <w:p w14:paraId="4D0229BF" w14:textId="77777777" w:rsidR="007027E2" w:rsidRPr="007027E2" w:rsidRDefault="007027E2" w:rsidP="00AF5984">
            <w:pPr>
              <w:spacing w:after="160" w:line="210" w:lineRule="exact"/>
              <w:ind w:left="720"/>
              <w:rPr>
                <w:rFonts w:eastAsia="Calibri"/>
                <w:sz w:val="17"/>
                <w:szCs w:val="17"/>
                <w:lang w:eastAsia="zh-CN"/>
              </w:rPr>
            </w:pPr>
            <w:r w:rsidRPr="007027E2">
              <w:rPr>
                <w:rFonts w:eastAsia="Calibri"/>
                <w:sz w:val="17"/>
                <w:szCs w:val="17"/>
              </w:rPr>
              <w:t>i) Groupe d</w:t>
            </w:r>
            <w:r w:rsidR="00455787">
              <w:rPr>
                <w:rFonts w:eastAsia="Calibri"/>
                <w:sz w:val="17"/>
                <w:szCs w:val="17"/>
              </w:rPr>
              <w:t>’</w:t>
            </w:r>
            <w:r w:rsidRPr="007027E2">
              <w:rPr>
                <w:rFonts w:eastAsia="Calibri"/>
                <w:sz w:val="17"/>
                <w:szCs w:val="17"/>
              </w:rPr>
              <w:t>experts de la signalisation routière (**voir mandats)</w:t>
            </w:r>
          </w:p>
        </w:tc>
        <w:tc>
          <w:tcPr>
            <w:tcW w:w="1616" w:type="dxa"/>
            <w:tcBorders>
              <w:top w:val="single" w:sz="4" w:space="0" w:color="auto"/>
              <w:left w:val="single" w:sz="4" w:space="0" w:color="auto"/>
              <w:bottom w:val="single" w:sz="4" w:space="0" w:color="auto"/>
              <w:right w:val="single" w:sz="4" w:space="0" w:color="auto"/>
            </w:tcBorders>
            <w:hideMark/>
          </w:tcPr>
          <w:p w14:paraId="67085F6C" w14:textId="77777777" w:rsidR="007027E2" w:rsidRPr="007027E2" w:rsidRDefault="007027E2" w:rsidP="00AF5984">
            <w:pPr>
              <w:spacing w:after="160" w:line="210" w:lineRule="exact"/>
              <w:ind w:right="113"/>
              <w:jc w:val="right"/>
              <w:rPr>
                <w:rFonts w:eastAsia="Calibri"/>
                <w:sz w:val="17"/>
                <w:szCs w:val="17"/>
                <w:lang w:eastAsia="zh-CN"/>
              </w:rPr>
            </w:pPr>
            <w:r w:rsidRPr="007027E2">
              <w:rPr>
                <w:rFonts w:eastAsia="Calibri"/>
                <w:sz w:val="17"/>
                <w:szCs w:val="17"/>
              </w:rPr>
              <w:t>0</w:t>
            </w:r>
          </w:p>
        </w:tc>
        <w:tc>
          <w:tcPr>
            <w:tcW w:w="1661" w:type="dxa"/>
            <w:tcBorders>
              <w:top w:val="single" w:sz="4" w:space="0" w:color="auto"/>
              <w:left w:val="single" w:sz="4" w:space="0" w:color="auto"/>
              <w:bottom w:val="single" w:sz="4" w:space="0" w:color="auto"/>
              <w:right w:val="single" w:sz="4" w:space="0" w:color="auto"/>
            </w:tcBorders>
            <w:vAlign w:val="bottom"/>
            <w:hideMark/>
          </w:tcPr>
          <w:p w14:paraId="4741A6AC" w14:textId="77777777" w:rsidR="007027E2" w:rsidRPr="007027E2" w:rsidRDefault="007027E2" w:rsidP="00AF5984">
            <w:pPr>
              <w:spacing w:after="160" w:line="210" w:lineRule="exact"/>
              <w:ind w:right="113"/>
              <w:jc w:val="right"/>
              <w:rPr>
                <w:rFonts w:eastAsia="Calibri"/>
                <w:sz w:val="17"/>
                <w:szCs w:val="17"/>
                <w:lang w:eastAsia="zh-CN"/>
              </w:rPr>
            </w:pPr>
            <w:r w:rsidRPr="007027E2">
              <w:rPr>
                <w:rFonts w:eastAsia="Calibri"/>
                <w:sz w:val="17"/>
                <w:szCs w:val="17"/>
              </w:rPr>
              <w:t>3</w:t>
            </w:r>
          </w:p>
        </w:tc>
      </w:tr>
      <w:tr w:rsidR="007027E2" w:rsidRPr="007027E2" w14:paraId="65A43E40" w14:textId="77777777" w:rsidTr="00DB1C33">
        <w:tc>
          <w:tcPr>
            <w:tcW w:w="5749" w:type="dxa"/>
            <w:tcBorders>
              <w:top w:val="single" w:sz="4" w:space="0" w:color="auto"/>
              <w:left w:val="single" w:sz="4" w:space="0" w:color="auto"/>
              <w:bottom w:val="single" w:sz="4" w:space="0" w:color="auto"/>
              <w:right w:val="single" w:sz="4" w:space="0" w:color="auto"/>
            </w:tcBorders>
            <w:vAlign w:val="bottom"/>
            <w:hideMark/>
          </w:tcPr>
          <w:p w14:paraId="798765F9" w14:textId="77777777" w:rsidR="007027E2" w:rsidRPr="007027E2" w:rsidRDefault="007027E2" w:rsidP="00AF5984">
            <w:pPr>
              <w:spacing w:after="160" w:line="210" w:lineRule="exact"/>
              <w:ind w:left="720"/>
              <w:rPr>
                <w:rFonts w:eastAsia="Calibri"/>
                <w:sz w:val="17"/>
                <w:szCs w:val="17"/>
                <w:lang w:eastAsia="zh-CN"/>
              </w:rPr>
            </w:pPr>
            <w:r w:rsidRPr="007027E2">
              <w:rPr>
                <w:rFonts w:eastAsia="Calibri"/>
                <w:sz w:val="17"/>
                <w:szCs w:val="17"/>
              </w:rPr>
              <w:t>ii) Groupe d</w:t>
            </w:r>
            <w:r w:rsidR="00455787">
              <w:rPr>
                <w:rFonts w:eastAsia="Calibri"/>
                <w:sz w:val="17"/>
                <w:szCs w:val="17"/>
              </w:rPr>
              <w:t>’</w:t>
            </w:r>
            <w:r w:rsidRPr="007027E2">
              <w:rPr>
                <w:rFonts w:eastAsia="Calibri"/>
                <w:sz w:val="17"/>
                <w:szCs w:val="17"/>
              </w:rPr>
              <w:t>experts chargé de l</w:t>
            </w:r>
            <w:r w:rsidR="00455787">
              <w:rPr>
                <w:rFonts w:eastAsia="Calibri"/>
                <w:sz w:val="17"/>
                <w:szCs w:val="17"/>
              </w:rPr>
              <w:t>’</w:t>
            </w:r>
            <w:r w:rsidRPr="007027E2">
              <w:rPr>
                <w:rFonts w:eastAsia="Calibri"/>
                <w:sz w:val="17"/>
                <w:szCs w:val="17"/>
              </w:rPr>
              <w:t>élaboration d</w:t>
            </w:r>
            <w:r w:rsidR="00455787">
              <w:rPr>
                <w:rFonts w:eastAsia="Calibri"/>
                <w:sz w:val="17"/>
                <w:szCs w:val="17"/>
              </w:rPr>
              <w:t>’</w:t>
            </w:r>
            <w:r w:rsidRPr="007027E2">
              <w:rPr>
                <w:rFonts w:eastAsia="Calibri"/>
                <w:sz w:val="17"/>
                <w:szCs w:val="17"/>
              </w:rPr>
              <w:t>un nouvel instrument juridique sur les véhicules automatisés dans la circulation (***voir mandats)</w:t>
            </w:r>
          </w:p>
        </w:tc>
        <w:tc>
          <w:tcPr>
            <w:tcW w:w="1616" w:type="dxa"/>
            <w:tcBorders>
              <w:top w:val="single" w:sz="4" w:space="0" w:color="auto"/>
              <w:left w:val="single" w:sz="4" w:space="0" w:color="auto"/>
              <w:bottom w:val="single" w:sz="4" w:space="0" w:color="auto"/>
              <w:right w:val="single" w:sz="4" w:space="0" w:color="auto"/>
            </w:tcBorders>
            <w:hideMark/>
          </w:tcPr>
          <w:p w14:paraId="5A6007F4" w14:textId="77777777" w:rsidR="007027E2" w:rsidRPr="007027E2" w:rsidRDefault="007027E2" w:rsidP="00AF5984">
            <w:pPr>
              <w:spacing w:after="160" w:line="210" w:lineRule="exact"/>
              <w:ind w:right="113"/>
              <w:jc w:val="right"/>
              <w:rPr>
                <w:rFonts w:eastAsia="Calibri"/>
                <w:sz w:val="17"/>
                <w:szCs w:val="17"/>
                <w:lang w:eastAsia="zh-CN"/>
              </w:rPr>
            </w:pPr>
            <w:r w:rsidRPr="007027E2">
              <w:rPr>
                <w:rFonts w:eastAsia="Calibri"/>
                <w:sz w:val="17"/>
                <w:szCs w:val="17"/>
              </w:rPr>
              <w:t>0</w:t>
            </w:r>
          </w:p>
        </w:tc>
        <w:tc>
          <w:tcPr>
            <w:tcW w:w="1661" w:type="dxa"/>
            <w:tcBorders>
              <w:top w:val="single" w:sz="4" w:space="0" w:color="auto"/>
              <w:left w:val="single" w:sz="4" w:space="0" w:color="auto"/>
              <w:bottom w:val="single" w:sz="4" w:space="0" w:color="auto"/>
              <w:right w:val="single" w:sz="4" w:space="0" w:color="auto"/>
            </w:tcBorders>
            <w:hideMark/>
          </w:tcPr>
          <w:p w14:paraId="311DF747" w14:textId="77777777" w:rsidR="007027E2" w:rsidRPr="007027E2" w:rsidRDefault="007027E2" w:rsidP="00297DAE">
            <w:pPr>
              <w:spacing w:after="160" w:line="210" w:lineRule="exact"/>
              <w:ind w:right="113"/>
              <w:jc w:val="right"/>
              <w:rPr>
                <w:rFonts w:eastAsia="Calibri"/>
                <w:sz w:val="17"/>
                <w:szCs w:val="17"/>
                <w:lang w:eastAsia="zh-CN"/>
              </w:rPr>
            </w:pPr>
            <w:r w:rsidRPr="007027E2">
              <w:rPr>
                <w:rFonts w:eastAsia="Calibri"/>
                <w:sz w:val="17"/>
                <w:szCs w:val="17"/>
              </w:rPr>
              <w:t>6</w:t>
            </w:r>
          </w:p>
        </w:tc>
      </w:tr>
      <w:tr w:rsidR="007027E2" w:rsidRPr="007027E2" w14:paraId="348ED1A2" w14:textId="77777777" w:rsidTr="00DB1C33">
        <w:tc>
          <w:tcPr>
            <w:tcW w:w="5749" w:type="dxa"/>
            <w:tcBorders>
              <w:top w:val="single" w:sz="4" w:space="0" w:color="auto"/>
              <w:left w:val="single" w:sz="4" w:space="0" w:color="auto"/>
              <w:bottom w:val="single" w:sz="4" w:space="0" w:color="auto"/>
              <w:right w:val="single" w:sz="4" w:space="0" w:color="auto"/>
            </w:tcBorders>
            <w:vAlign w:val="bottom"/>
            <w:hideMark/>
          </w:tcPr>
          <w:p w14:paraId="68F506D2" w14:textId="77777777" w:rsidR="007027E2" w:rsidRPr="007027E2" w:rsidRDefault="007027E2" w:rsidP="000F3608">
            <w:pPr>
              <w:spacing w:before="40" w:after="40" w:line="210" w:lineRule="exact"/>
              <w:ind w:left="540"/>
              <w:rPr>
                <w:rFonts w:eastAsia="Calibri"/>
                <w:sz w:val="17"/>
                <w:szCs w:val="17"/>
                <w:lang w:eastAsia="zh-CN"/>
              </w:rPr>
            </w:pPr>
            <w:r w:rsidRPr="007027E2">
              <w:rPr>
                <w:rFonts w:eastAsia="Calibri"/>
                <w:sz w:val="17"/>
                <w:szCs w:val="17"/>
              </w:rPr>
              <w:t>d. Groupe de travail chargé d</w:t>
            </w:r>
            <w:r w:rsidR="00455787">
              <w:rPr>
                <w:rFonts w:eastAsia="Calibri"/>
                <w:sz w:val="17"/>
                <w:szCs w:val="17"/>
              </w:rPr>
              <w:t>’</w:t>
            </w:r>
            <w:r w:rsidRPr="007027E2">
              <w:rPr>
                <w:rFonts w:eastAsia="Calibri"/>
                <w:sz w:val="17"/>
                <w:szCs w:val="17"/>
              </w:rPr>
              <w:t>examiner les tendances et l</w:t>
            </w:r>
            <w:r w:rsidR="00455787">
              <w:rPr>
                <w:rFonts w:eastAsia="Calibri"/>
                <w:sz w:val="17"/>
                <w:szCs w:val="17"/>
              </w:rPr>
              <w:t>’</w:t>
            </w:r>
            <w:r w:rsidRPr="007027E2">
              <w:rPr>
                <w:rFonts w:eastAsia="Calibri"/>
                <w:sz w:val="17"/>
                <w:szCs w:val="17"/>
              </w:rPr>
              <w:t>économie des transports</w:t>
            </w:r>
          </w:p>
        </w:tc>
        <w:tc>
          <w:tcPr>
            <w:tcW w:w="1616" w:type="dxa"/>
            <w:tcBorders>
              <w:top w:val="single" w:sz="4" w:space="0" w:color="auto"/>
              <w:left w:val="single" w:sz="4" w:space="0" w:color="auto"/>
              <w:bottom w:val="single" w:sz="4" w:space="0" w:color="auto"/>
              <w:right w:val="single" w:sz="4" w:space="0" w:color="auto"/>
            </w:tcBorders>
            <w:hideMark/>
          </w:tcPr>
          <w:p w14:paraId="1B13A3DF" w14:textId="77777777" w:rsidR="007027E2" w:rsidRPr="007027E2" w:rsidRDefault="007027E2" w:rsidP="000F3608">
            <w:pPr>
              <w:spacing w:before="40" w:after="40" w:line="210" w:lineRule="exact"/>
              <w:ind w:right="113"/>
              <w:jc w:val="right"/>
              <w:rPr>
                <w:rFonts w:eastAsia="Calibri"/>
                <w:sz w:val="17"/>
                <w:szCs w:val="17"/>
                <w:lang w:eastAsia="zh-CN"/>
              </w:rPr>
            </w:pPr>
            <w:r w:rsidRPr="007027E2">
              <w:rPr>
                <w:rFonts w:eastAsia="Calibri"/>
                <w:sz w:val="17"/>
                <w:szCs w:val="17"/>
              </w:rPr>
              <w:t>Pas de modification</w:t>
            </w:r>
          </w:p>
        </w:tc>
        <w:tc>
          <w:tcPr>
            <w:tcW w:w="1661" w:type="dxa"/>
            <w:tcBorders>
              <w:top w:val="single" w:sz="4" w:space="0" w:color="auto"/>
              <w:left w:val="single" w:sz="4" w:space="0" w:color="auto"/>
              <w:bottom w:val="single" w:sz="4" w:space="0" w:color="auto"/>
              <w:right w:val="single" w:sz="4" w:space="0" w:color="auto"/>
            </w:tcBorders>
            <w:hideMark/>
          </w:tcPr>
          <w:p w14:paraId="5B8265F8" w14:textId="77777777" w:rsidR="007027E2" w:rsidRPr="007027E2" w:rsidRDefault="007027E2" w:rsidP="000F3608">
            <w:pPr>
              <w:spacing w:before="40" w:after="40" w:line="210" w:lineRule="exact"/>
              <w:ind w:right="113"/>
              <w:jc w:val="right"/>
              <w:rPr>
                <w:rFonts w:eastAsia="Calibri"/>
                <w:sz w:val="17"/>
                <w:szCs w:val="17"/>
                <w:lang w:eastAsia="zh-CN"/>
              </w:rPr>
            </w:pPr>
            <w:r w:rsidRPr="007027E2">
              <w:rPr>
                <w:rFonts w:eastAsia="Calibri"/>
                <w:sz w:val="17"/>
                <w:szCs w:val="17"/>
              </w:rPr>
              <w:t>Pas de modification</w:t>
            </w:r>
          </w:p>
        </w:tc>
      </w:tr>
      <w:tr w:rsidR="007027E2" w:rsidRPr="007027E2" w14:paraId="5BA46525" w14:textId="77777777" w:rsidTr="00DB1C33">
        <w:tc>
          <w:tcPr>
            <w:tcW w:w="5749" w:type="dxa"/>
            <w:tcBorders>
              <w:top w:val="single" w:sz="4" w:space="0" w:color="auto"/>
              <w:left w:val="single" w:sz="4" w:space="0" w:color="auto"/>
              <w:bottom w:val="single" w:sz="4" w:space="0" w:color="auto"/>
              <w:right w:val="single" w:sz="4" w:space="0" w:color="auto"/>
            </w:tcBorders>
            <w:vAlign w:val="bottom"/>
            <w:hideMark/>
          </w:tcPr>
          <w:p w14:paraId="660CF4F6" w14:textId="77777777" w:rsidR="007027E2" w:rsidRPr="007027E2" w:rsidRDefault="007027E2" w:rsidP="00AF5984">
            <w:pPr>
              <w:spacing w:after="160" w:line="210" w:lineRule="exact"/>
              <w:ind w:left="720"/>
              <w:rPr>
                <w:rFonts w:eastAsia="Calibri"/>
                <w:sz w:val="17"/>
                <w:szCs w:val="17"/>
                <w:lang w:eastAsia="zh-CN"/>
              </w:rPr>
            </w:pPr>
            <w:r w:rsidRPr="007027E2">
              <w:rPr>
                <w:rFonts w:eastAsia="Calibri"/>
                <w:sz w:val="17"/>
                <w:szCs w:val="17"/>
              </w:rPr>
              <w:t>i) Groupe d</w:t>
            </w:r>
            <w:r w:rsidR="00455787">
              <w:rPr>
                <w:rFonts w:eastAsia="Calibri"/>
                <w:sz w:val="17"/>
                <w:szCs w:val="17"/>
              </w:rPr>
              <w:t>’</w:t>
            </w:r>
            <w:r w:rsidRPr="007027E2">
              <w:rPr>
                <w:rFonts w:eastAsia="Calibri"/>
                <w:sz w:val="17"/>
                <w:szCs w:val="17"/>
              </w:rPr>
              <w:t>experts de l</w:t>
            </w:r>
            <w:r w:rsidR="00455787">
              <w:rPr>
                <w:rFonts w:eastAsia="Calibri"/>
                <w:sz w:val="17"/>
                <w:szCs w:val="17"/>
              </w:rPr>
              <w:t>’</w:t>
            </w:r>
            <w:r w:rsidRPr="007027E2">
              <w:rPr>
                <w:rFonts w:eastAsia="Calibri"/>
                <w:sz w:val="17"/>
                <w:szCs w:val="17"/>
              </w:rPr>
              <w:t>évaluation comparative des coûts de construction des infrastructures de transport (****voir mandats dans le tableau 2)</w:t>
            </w:r>
          </w:p>
        </w:tc>
        <w:tc>
          <w:tcPr>
            <w:tcW w:w="1616" w:type="dxa"/>
            <w:tcBorders>
              <w:top w:val="single" w:sz="4" w:space="0" w:color="auto"/>
              <w:left w:val="single" w:sz="4" w:space="0" w:color="auto"/>
              <w:bottom w:val="single" w:sz="4" w:space="0" w:color="auto"/>
              <w:right w:val="single" w:sz="4" w:space="0" w:color="auto"/>
            </w:tcBorders>
            <w:hideMark/>
          </w:tcPr>
          <w:p w14:paraId="1A1E7BA7" w14:textId="77777777" w:rsidR="007027E2" w:rsidRPr="007027E2" w:rsidRDefault="007027E2" w:rsidP="00AF5984">
            <w:pPr>
              <w:spacing w:after="160" w:line="210" w:lineRule="exact"/>
              <w:ind w:right="113"/>
              <w:jc w:val="right"/>
              <w:rPr>
                <w:rFonts w:eastAsia="Calibri"/>
                <w:sz w:val="17"/>
                <w:szCs w:val="17"/>
                <w:lang w:eastAsia="zh-CN"/>
              </w:rPr>
            </w:pPr>
            <w:r w:rsidRPr="007027E2">
              <w:rPr>
                <w:rFonts w:eastAsia="Calibri"/>
                <w:sz w:val="17"/>
                <w:szCs w:val="17"/>
              </w:rPr>
              <w:t>0</w:t>
            </w:r>
          </w:p>
        </w:tc>
        <w:tc>
          <w:tcPr>
            <w:tcW w:w="1661" w:type="dxa"/>
            <w:tcBorders>
              <w:top w:val="single" w:sz="4" w:space="0" w:color="auto"/>
              <w:left w:val="single" w:sz="4" w:space="0" w:color="auto"/>
              <w:bottom w:val="single" w:sz="4" w:space="0" w:color="auto"/>
              <w:right w:val="single" w:sz="4" w:space="0" w:color="auto"/>
            </w:tcBorders>
            <w:hideMark/>
          </w:tcPr>
          <w:p w14:paraId="1E7A79EE" w14:textId="77777777" w:rsidR="007027E2" w:rsidRPr="007027E2" w:rsidRDefault="007027E2" w:rsidP="00AF5984">
            <w:pPr>
              <w:spacing w:after="160" w:line="210" w:lineRule="exact"/>
              <w:ind w:right="113"/>
              <w:jc w:val="right"/>
              <w:rPr>
                <w:rFonts w:eastAsia="Calibri"/>
                <w:sz w:val="17"/>
                <w:szCs w:val="17"/>
                <w:lang w:eastAsia="zh-CN"/>
              </w:rPr>
            </w:pPr>
            <w:r w:rsidRPr="007027E2">
              <w:rPr>
                <w:rFonts w:eastAsia="Calibri"/>
                <w:sz w:val="17"/>
                <w:szCs w:val="17"/>
              </w:rPr>
              <w:t>8</w:t>
            </w:r>
          </w:p>
        </w:tc>
      </w:tr>
      <w:tr w:rsidR="007027E2" w:rsidRPr="007027E2" w14:paraId="2F87034D" w14:textId="77777777" w:rsidTr="00DB1C33">
        <w:tc>
          <w:tcPr>
            <w:tcW w:w="5749" w:type="dxa"/>
            <w:tcBorders>
              <w:top w:val="single" w:sz="4" w:space="0" w:color="auto"/>
              <w:left w:val="single" w:sz="4" w:space="0" w:color="auto"/>
              <w:bottom w:val="single" w:sz="4" w:space="0" w:color="auto"/>
              <w:right w:val="single" w:sz="4" w:space="0" w:color="auto"/>
            </w:tcBorders>
            <w:vAlign w:val="bottom"/>
            <w:hideMark/>
          </w:tcPr>
          <w:p w14:paraId="4CC9136F" w14:textId="77777777" w:rsidR="007027E2" w:rsidRPr="007027E2" w:rsidRDefault="007027E2" w:rsidP="00AF5984">
            <w:pPr>
              <w:spacing w:after="160" w:line="210" w:lineRule="exact"/>
              <w:ind w:left="720"/>
              <w:rPr>
                <w:rFonts w:eastAsia="Calibri"/>
                <w:sz w:val="17"/>
                <w:szCs w:val="17"/>
                <w:lang w:eastAsia="zh-CN"/>
              </w:rPr>
            </w:pPr>
            <w:r w:rsidRPr="007027E2">
              <w:rPr>
                <w:rFonts w:eastAsia="Calibri"/>
                <w:sz w:val="17"/>
                <w:szCs w:val="17"/>
              </w:rPr>
              <w:t>ii) Groupe d</w:t>
            </w:r>
            <w:r w:rsidR="00455787">
              <w:rPr>
                <w:rFonts w:eastAsia="Calibri"/>
                <w:sz w:val="17"/>
                <w:szCs w:val="17"/>
              </w:rPr>
              <w:t>’</w:t>
            </w:r>
            <w:r w:rsidRPr="007027E2">
              <w:rPr>
                <w:rFonts w:eastAsia="Calibri"/>
                <w:sz w:val="17"/>
                <w:szCs w:val="17"/>
              </w:rPr>
              <w:t>experts chargé d</w:t>
            </w:r>
            <w:r w:rsidR="00455787">
              <w:rPr>
                <w:rFonts w:eastAsia="Calibri"/>
                <w:sz w:val="17"/>
                <w:szCs w:val="17"/>
              </w:rPr>
              <w:t>’</w:t>
            </w:r>
            <w:r w:rsidRPr="007027E2">
              <w:rPr>
                <w:rFonts w:eastAsia="Calibri"/>
                <w:sz w:val="17"/>
                <w:szCs w:val="17"/>
              </w:rPr>
              <w:t>évaluer les effets des changements climatiques sur les transports intérieurs et l</w:t>
            </w:r>
            <w:r w:rsidR="00455787">
              <w:rPr>
                <w:rFonts w:eastAsia="Calibri"/>
                <w:sz w:val="17"/>
                <w:szCs w:val="17"/>
              </w:rPr>
              <w:t>’</w:t>
            </w:r>
            <w:r w:rsidRPr="007027E2">
              <w:rPr>
                <w:rFonts w:eastAsia="Calibri"/>
                <w:sz w:val="17"/>
                <w:szCs w:val="17"/>
              </w:rPr>
              <w:t>adaptation à ces changements</w:t>
            </w:r>
          </w:p>
        </w:tc>
        <w:tc>
          <w:tcPr>
            <w:tcW w:w="1616" w:type="dxa"/>
            <w:tcBorders>
              <w:top w:val="single" w:sz="4" w:space="0" w:color="auto"/>
              <w:left w:val="single" w:sz="4" w:space="0" w:color="auto"/>
              <w:bottom w:val="single" w:sz="4" w:space="0" w:color="auto"/>
              <w:right w:val="single" w:sz="4" w:space="0" w:color="auto"/>
            </w:tcBorders>
            <w:hideMark/>
          </w:tcPr>
          <w:p w14:paraId="58FB5EBE" w14:textId="77777777" w:rsidR="007027E2" w:rsidRPr="007027E2" w:rsidRDefault="007027E2" w:rsidP="00AF5984">
            <w:pPr>
              <w:spacing w:after="160" w:line="210" w:lineRule="exact"/>
              <w:ind w:right="113"/>
              <w:jc w:val="right"/>
              <w:rPr>
                <w:rFonts w:eastAsia="Calibri"/>
                <w:sz w:val="17"/>
                <w:szCs w:val="17"/>
                <w:lang w:eastAsia="zh-CN"/>
              </w:rPr>
            </w:pPr>
            <w:r w:rsidRPr="007027E2">
              <w:rPr>
                <w:rFonts w:eastAsia="Calibri"/>
                <w:sz w:val="17"/>
                <w:szCs w:val="17"/>
              </w:rPr>
              <w:t>0</w:t>
            </w:r>
          </w:p>
        </w:tc>
        <w:tc>
          <w:tcPr>
            <w:tcW w:w="1661" w:type="dxa"/>
            <w:tcBorders>
              <w:top w:val="single" w:sz="4" w:space="0" w:color="auto"/>
              <w:left w:val="single" w:sz="4" w:space="0" w:color="auto"/>
              <w:bottom w:val="single" w:sz="4" w:space="0" w:color="auto"/>
              <w:right w:val="single" w:sz="4" w:space="0" w:color="auto"/>
            </w:tcBorders>
            <w:hideMark/>
          </w:tcPr>
          <w:p w14:paraId="3E6E7B8F" w14:textId="77777777" w:rsidR="007027E2" w:rsidRPr="007027E2" w:rsidRDefault="007027E2" w:rsidP="00AF5984">
            <w:pPr>
              <w:spacing w:after="160" w:line="210" w:lineRule="exact"/>
              <w:ind w:right="113"/>
              <w:jc w:val="right"/>
              <w:rPr>
                <w:rFonts w:eastAsia="Calibri"/>
                <w:sz w:val="17"/>
                <w:szCs w:val="17"/>
                <w:lang w:eastAsia="zh-CN"/>
              </w:rPr>
            </w:pPr>
            <w:r w:rsidRPr="007027E2">
              <w:rPr>
                <w:rFonts w:eastAsia="Calibri"/>
                <w:sz w:val="17"/>
                <w:szCs w:val="17"/>
              </w:rPr>
              <w:t>8</w:t>
            </w:r>
          </w:p>
        </w:tc>
      </w:tr>
      <w:tr w:rsidR="007027E2" w:rsidRPr="007027E2" w14:paraId="3BFB8E3C" w14:textId="77777777" w:rsidTr="00DB1C33">
        <w:tc>
          <w:tcPr>
            <w:tcW w:w="5749" w:type="dxa"/>
            <w:tcBorders>
              <w:top w:val="single" w:sz="4" w:space="0" w:color="auto"/>
              <w:left w:val="single" w:sz="4" w:space="0" w:color="auto"/>
              <w:bottom w:val="single" w:sz="4" w:space="0" w:color="auto"/>
              <w:right w:val="single" w:sz="4" w:space="0" w:color="auto"/>
            </w:tcBorders>
            <w:vAlign w:val="bottom"/>
            <w:hideMark/>
          </w:tcPr>
          <w:p w14:paraId="69967F74" w14:textId="77777777" w:rsidR="007027E2" w:rsidRPr="007027E2" w:rsidRDefault="007027E2" w:rsidP="000F3608">
            <w:pPr>
              <w:spacing w:before="40" w:after="40" w:line="210" w:lineRule="exact"/>
              <w:ind w:left="540"/>
              <w:rPr>
                <w:rFonts w:eastAsia="Calibri"/>
                <w:sz w:val="17"/>
                <w:szCs w:val="17"/>
                <w:lang w:eastAsia="zh-CN"/>
              </w:rPr>
            </w:pPr>
            <w:r w:rsidRPr="007027E2">
              <w:rPr>
                <w:rFonts w:eastAsia="Calibri"/>
                <w:sz w:val="17"/>
                <w:szCs w:val="17"/>
              </w:rPr>
              <w:t>d. Groupe de travail des problèmes douaniers intéressant les transports</w:t>
            </w:r>
          </w:p>
        </w:tc>
        <w:tc>
          <w:tcPr>
            <w:tcW w:w="1616" w:type="dxa"/>
            <w:tcBorders>
              <w:top w:val="single" w:sz="4" w:space="0" w:color="auto"/>
              <w:left w:val="single" w:sz="4" w:space="0" w:color="auto"/>
              <w:bottom w:val="single" w:sz="4" w:space="0" w:color="auto"/>
              <w:right w:val="single" w:sz="4" w:space="0" w:color="auto"/>
            </w:tcBorders>
            <w:hideMark/>
          </w:tcPr>
          <w:p w14:paraId="4DA48737" w14:textId="77777777" w:rsidR="007027E2" w:rsidRPr="007027E2" w:rsidRDefault="007027E2" w:rsidP="000F3608">
            <w:pPr>
              <w:spacing w:before="40" w:after="40" w:line="210" w:lineRule="exact"/>
              <w:ind w:right="113"/>
              <w:jc w:val="right"/>
              <w:rPr>
                <w:rFonts w:eastAsia="Calibri"/>
                <w:sz w:val="17"/>
                <w:szCs w:val="17"/>
                <w:lang w:eastAsia="zh-CN"/>
              </w:rPr>
            </w:pPr>
            <w:r w:rsidRPr="007027E2">
              <w:rPr>
                <w:rFonts w:eastAsia="Calibri"/>
                <w:sz w:val="17"/>
                <w:szCs w:val="17"/>
              </w:rPr>
              <w:t>Pas de modification</w:t>
            </w:r>
          </w:p>
        </w:tc>
        <w:tc>
          <w:tcPr>
            <w:tcW w:w="1661" w:type="dxa"/>
            <w:tcBorders>
              <w:top w:val="single" w:sz="4" w:space="0" w:color="auto"/>
              <w:left w:val="single" w:sz="4" w:space="0" w:color="auto"/>
              <w:bottom w:val="single" w:sz="4" w:space="0" w:color="auto"/>
              <w:right w:val="single" w:sz="4" w:space="0" w:color="auto"/>
            </w:tcBorders>
            <w:hideMark/>
          </w:tcPr>
          <w:p w14:paraId="3BE42F68" w14:textId="77777777" w:rsidR="007027E2" w:rsidRPr="007027E2" w:rsidRDefault="007027E2" w:rsidP="000F3608">
            <w:pPr>
              <w:spacing w:before="40" w:after="40" w:line="210" w:lineRule="exact"/>
              <w:ind w:right="113"/>
              <w:jc w:val="right"/>
              <w:rPr>
                <w:rFonts w:eastAsia="Calibri"/>
                <w:sz w:val="17"/>
                <w:szCs w:val="17"/>
                <w:lang w:eastAsia="zh-CN"/>
              </w:rPr>
            </w:pPr>
            <w:r w:rsidRPr="007027E2">
              <w:rPr>
                <w:rFonts w:eastAsia="Calibri"/>
                <w:sz w:val="17"/>
                <w:szCs w:val="17"/>
              </w:rPr>
              <w:t>Pas de modification</w:t>
            </w:r>
          </w:p>
        </w:tc>
      </w:tr>
      <w:tr w:rsidR="007027E2" w:rsidRPr="007027E2" w14:paraId="58FA51C6" w14:textId="77777777" w:rsidTr="00DB1C33">
        <w:tc>
          <w:tcPr>
            <w:tcW w:w="5749" w:type="dxa"/>
            <w:tcBorders>
              <w:top w:val="single" w:sz="4" w:space="0" w:color="auto"/>
              <w:left w:val="single" w:sz="4" w:space="0" w:color="auto"/>
              <w:bottom w:val="single" w:sz="4" w:space="0" w:color="auto"/>
              <w:right w:val="single" w:sz="4" w:space="0" w:color="auto"/>
            </w:tcBorders>
            <w:vAlign w:val="bottom"/>
            <w:hideMark/>
          </w:tcPr>
          <w:p w14:paraId="3C8C6B63" w14:textId="77777777" w:rsidR="007027E2" w:rsidRPr="007027E2" w:rsidRDefault="007027E2" w:rsidP="000F3608">
            <w:pPr>
              <w:spacing w:before="40" w:after="40" w:line="210" w:lineRule="exact"/>
              <w:ind w:left="720"/>
              <w:rPr>
                <w:rFonts w:eastAsia="Calibri"/>
                <w:sz w:val="17"/>
                <w:szCs w:val="17"/>
                <w:lang w:eastAsia="zh-CN"/>
              </w:rPr>
            </w:pPr>
            <w:r w:rsidRPr="007027E2">
              <w:rPr>
                <w:rFonts w:eastAsia="Calibri"/>
                <w:sz w:val="17"/>
                <w:szCs w:val="17"/>
              </w:rPr>
              <w:t>i) Groupe d</w:t>
            </w:r>
            <w:r w:rsidR="00455787">
              <w:rPr>
                <w:rFonts w:eastAsia="Calibri"/>
                <w:sz w:val="17"/>
                <w:szCs w:val="17"/>
              </w:rPr>
              <w:t>’</w:t>
            </w:r>
            <w:r w:rsidRPr="007027E2">
              <w:rPr>
                <w:rFonts w:eastAsia="Calibri"/>
                <w:sz w:val="17"/>
                <w:szCs w:val="17"/>
              </w:rPr>
              <w:t>experts des aspects théoriques et techniques de l</w:t>
            </w:r>
            <w:r w:rsidR="00455787">
              <w:rPr>
                <w:rFonts w:eastAsia="Calibri"/>
                <w:sz w:val="17"/>
                <w:szCs w:val="17"/>
              </w:rPr>
              <w:t>’</w:t>
            </w:r>
            <w:r w:rsidRPr="007027E2">
              <w:rPr>
                <w:rFonts w:eastAsia="Calibri"/>
                <w:sz w:val="17"/>
                <w:szCs w:val="17"/>
              </w:rPr>
              <w:t>informatisation du régime TIR</w:t>
            </w:r>
          </w:p>
        </w:tc>
        <w:tc>
          <w:tcPr>
            <w:tcW w:w="1616" w:type="dxa"/>
            <w:tcBorders>
              <w:top w:val="single" w:sz="4" w:space="0" w:color="auto"/>
              <w:left w:val="single" w:sz="4" w:space="0" w:color="auto"/>
              <w:bottom w:val="single" w:sz="4" w:space="0" w:color="auto"/>
              <w:right w:val="single" w:sz="4" w:space="0" w:color="auto"/>
            </w:tcBorders>
            <w:hideMark/>
          </w:tcPr>
          <w:p w14:paraId="72009BC4" w14:textId="77777777" w:rsidR="007027E2" w:rsidRPr="007027E2" w:rsidRDefault="007027E2" w:rsidP="000F3608">
            <w:pPr>
              <w:spacing w:before="40" w:after="40" w:line="210" w:lineRule="exact"/>
              <w:ind w:right="113"/>
              <w:jc w:val="right"/>
              <w:rPr>
                <w:rFonts w:eastAsia="Calibri"/>
                <w:sz w:val="17"/>
                <w:szCs w:val="17"/>
                <w:lang w:eastAsia="zh-CN"/>
              </w:rPr>
            </w:pPr>
            <w:r w:rsidRPr="007027E2">
              <w:rPr>
                <w:rFonts w:eastAsia="Calibri"/>
                <w:sz w:val="17"/>
                <w:szCs w:val="17"/>
              </w:rPr>
              <w:t>0</w:t>
            </w:r>
          </w:p>
        </w:tc>
        <w:tc>
          <w:tcPr>
            <w:tcW w:w="1661" w:type="dxa"/>
            <w:tcBorders>
              <w:top w:val="single" w:sz="4" w:space="0" w:color="auto"/>
              <w:left w:val="single" w:sz="4" w:space="0" w:color="auto"/>
              <w:bottom w:val="single" w:sz="4" w:space="0" w:color="auto"/>
              <w:right w:val="single" w:sz="4" w:space="0" w:color="auto"/>
            </w:tcBorders>
            <w:hideMark/>
          </w:tcPr>
          <w:p w14:paraId="1C649023" w14:textId="77777777" w:rsidR="007027E2" w:rsidRPr="007027E2" w:rsidRDefault="007027E2" w:rsidP="000F3608">
            <w:pPr>
              <w:spacing w:before="40" w:after="40" w:line="210" w:lineRule="exact"/>
              <w:ind w:right="113"/>
              <w:jc w:val="right"/>
              <w:rPr>
                <w:rFonts w:eastAsia="Calibri"/>
                <w:sz w:val="17"/>
                <w:szCs w:val="17"/>
                <w:lang w:eastAsia="zh-CN"/>
              </w:rPr>
            </w:pPr>
            <w:r w:rsidRPr="007027E2">
              <w:rPr>
                <w:rFonts w:eastAsia="Calibri"/>
                <w:sz w:val="17"/>
                <w:szCs w:val="17"/>
              </w:rPr>
              <w:t>6</w:t>
            </w:r>
          </w:p>
        </w:tc>
      </w:tr>
      <w:tr w:rsidR="007027E2" w:rsidRPr="007027E2" w14:paraId="4E950C74" w14:textId="77777777" w:rsidTr="00DB1C33">
        <w:tc>
          <w:tcPr>
            <w:tcW w:w="5749" w:type="dxa"/>
            <w:tcBorders>
              <w:top w:val="single" w:sz="4" w:space="0" w:color="auto"/>
              <w:left w:val="single" w:sz="4" w:space="0" w:color="auto"/>
              <w:bottom w:val="single" w:sz="4" w:space="0" w:color="auto"/>
              <w:right w:val="single" w:sz="4" w:space="0" w:color="auto"/>
            </w:tcBorders>
            <w:vAlign w:val="bottom"/>
            <w:hideMark/>
          </w:tcPr>
          <w:p w14:paraId="16200893" w14:textId="77777777" w:rsidR="007027E2" w:rsidRPr="007027E2" w:rsidRDefault="007027E2" w:rsidP="00AF5984">
            <w:pPr>
              <w:tabs>
                <w:tab w:val="left" w:pos="285"/>
                <w:tab w:val="left" w:pos="567"/>
              </w:tabs>
              <w:spacing w:before="40" w:after="40" w:line="210" w:lineRule="exact"/>
              <w:ind w:right="43"/>
              <w:rPr>
                <w:rFonts w:eastAsia="Calibri"/>
                <w:b/>
                <w:bCs/>
                <w:kern w:val="14"/>
                <w:sz w:val="17"/>
                <w:szCs w:val="22"/>
                <w:lang w:eastAsia="zh-CN"/>
              </w:rPr>
            </w:pPr>
            <w:r w:rsidRPr="007027E2">
              <w:rPr>
                <w:rFonts w:eastAsia="Calibri"/>
                <w:kern w:val="14"/>
                <w:sz w:val="17"/>
              </w:rPr>
              <w:tab/>
            </w:r>
            <w:r w:rsidRPr="007027E2">
              <w:rPr>
                <w:rFonts w:eastAsia="Calibri"/>
                <w:b/>
                <w:bCs/>
                <w:kern w:val="14"/>
                <w:sz w:val="17"/>
              </w:rPr>
              <w:t>5.</w:t>
            </w:r>
            <w:r w:rsidRPr="007027E2">
              <w:rPr>
                <w:rFonts w:eastAsia="Calibri"/>
                <w:b/>
                <w:bCs/>
                <w:kern w:val="14"/>
                <w:sz w:val="17"/>
              </w:rPr>
              <w:tab/>
            </w:r>
            <w:r w:rsidRPr="007027E2">
              <w:rPr>
                <w:rFonts w:eastAsia="Calibri"/>
                <w:b/>
                <w:bCs/>
                <w:kern w:val="14"/>
                <w:sz w:val="17"/>
                <w:szCs w:val="17"/>
              </w:rPr>
              <w:t>Séances du Conseil économique et social – données révisées ou séances supplémentaires</w:t>
            </w:r>
          </w:p>
        </w:tc>
        <w:tc>
          <w:tcPr>
            <w:tcW w:w="1616" w:type="dxa"/>
            <w:tcBorders>
              <w:top w:val="single" w:sz="4" w:space="0" w:color="auto"/>
              <w:left w:val="single" w:sz="4" w:space="0" w:color="auto"/>
              <w:bottom w:val="single" w:sz="4" w:space="0" w:color="auto"/>
              <w:right w:val="single" w:sz="4" w:space="0" w:color="auto"/>
            </w:tcBorders>
            <w:hideMark/>
          </w:tcPr>
          <w:p w14:paraId="65F5BB9A" w14:textId="77777777" w:rsidR="007027E2" w:rsidRPr="007027E2" w:rsidRDefault="007027E2" w:rsidP="000F3608">
            <w:pPr>
              <w:spacing w:before="40" w:after="40" w:line="210" w:lineRule="exact"/>
              <w:ind w:right="113"/>
              <w:jc w:val="right"/>
              <w:rPr>
                <w:rFonts w:eastAsia="Calibri"/>
                <w:sz w:val="17"/>
                <w:szCs w:val="17"/>
                <w:lang w:eastAsia="zh-CN"/>
              </w:rPr>
            </w:pPr>
            <w:r w:rsidRPr="007027E2">
              <w:rPr>
                <w:rFonts w:eastAsia="Calibri"/>
                <w:sz w:val="17"/>
                <w:szCs w:val="17"/>
              </w:rPr>
              <w:t>Pas de modification</w:t>
            </w:r>
          </w:p>
        </w:tc>
        <w:tc>
          <w:tcPr>
            <w:tcW w:w="1661" w:type="dxa"/>
            <w:tcBorders>
              <w:top w:val="single" w:sz="4" w:space="0" w:color="auto"/>
              <w:left w:val="single" w:sz="4" w:space="0" w:color="auto"/>
              <w:bottom w:val="single" w:sz="4" w:space="0" w:color="auto"/>
              <w:right w:val="single" w:sz="4" w:space="0" w:color="auto"/>
            </w:tcBorders>
            <w:hideMark/>
          </w:tcPr>
          <w:p w14:paraId="1F2AF8BC" w14:textId="77777777" w:rsidR="007027E2" w:rsidRPr="007027E2" w:rsidRDefault="007027E2" w:rsidP="000F3608">
            <w:pPr>
              <w:spacing w:before="40" w:after="40" w:line="210" w:lineRule="exact"/>
              <w:ind w:right="113"/>
              <w:jc w:val="right"/>
              <w:rPr>
                <w:rFonts w:eastAsia="Calibri"/>
                <w:sz w:val="17"/>
                <w:szCs w:val="17"/>
                <w:lang w:eastAsia="zh-CN"/>
              </w:rPr>
            </w:pPr>
            <w:r w:rsidRPr="007027E2">
              <w:rPr>
                <w:rFonts w:eastAsia="Calibri"/>
                <w:sz w:val="17"/>
                <w:szCs w:val="17"/>
              </w:rPr>
              <w:t>Pas de modification</w:t>
            </w:r>
          </w:p>
        </w:tc>
      </w:tr>
      <w:tr w:rsidR="007027E2" w:rsidRPr="007027E2" w14:paraId="48CB7330" w14:textId="77777777" w:rsidTr="00DB1C33">
        <w:tc>
          <w:tcPr>
            <w:tcW w:w="5749" w:type="dxa"/>
            <w:tcBorders>
              <w:top w:val="single" w:sz="4" w:space="0" w:color="auto"/>
              <w:left w:val="single" w:sz="4" w:space="0" w:color="auto"/>
              <w:bottom w:val="single" w:sz="4" w:space="0" w:color="auto"/>
              <w:right w:val="single" w:sz="4" w:space="0" w:color="auto"/>
            </w:tcBorders>
            <w:vAlign w:val="bottom"/>
            <w:hideMark/>
          </w:tcPr>
          <w:p w14:paraId="470B94E8" w14:textId="77777777" w:rsidR="007027E2" w:rsidRPr="007027E2" w:rsidRDefault="007027E2" w:rsidP="00AF5984">
            <w:pPr>
              <w:tabs>
                <w:tab w:val="left" w:pos="297"/>
                <w:tab w:val="left" w:pos="567"/>
              </w:tabs>
              <w:spacing w:before="40" w:after="40" w:line="210" w:lineRule="exact"/>
              <w:ind w:right="43"/>
              <w:rPr>
                <w:rFonts w:eastAsia="Calibri"/>
                <w:b/>
                <w:bCs/>
                <w:kern w:val="14"/>
                <w:sz w:val="17"/>
                <w:szCs w:val="22"/>
                <w:lang w:eastAsia="zh-CN"/>
              </w:rPr>
            </w:pPr>
            <w:r w:rsidRPr="007027E2">
              <w:rPr>
                <w:rFonts w:eastAsia="Calibri"/>
                <w:kern w:val="14"/>
                <w:sz w:val="17"/>
              </w:rPr>
              <w:tab/>
            </w:r>
            <w:r w:rsidRPr="007027E2">
              <w:rPr>
                <w:rFonts w:eastAsia="Calibri"/>
                <w:b/>
                <w:bCs/>
                <w:kern w:val="14"/>
                <w:sz w:val="17"/>
              </w:rPr>
              <w:t>6.</w:t>
            </w:r>
            <w:r w:rsidRPr="007027E2">
              <w:rPr>
                <w:rFonts w:eastAsia="Calibri"/>
                <w:b/>
                <w:bCs/>
                <w:kern w:val="14"/>
                <w:sz w:val="17"/>
              </w:rPr>
              <w:tab/>
            </w:r>
            <w:r w:rsidRPr="007027E2">
              <w:rPr>
                <w:rFonts w:eastAsia="Calibri"/>
                <w:b/>
                <w:bCs/>
                <w:kern w:val="14"/>
                <w:sz w:val="17"/>
                <w:szCs w:val="17"/>
              </w:rPr>
              <w:t>Séances de la Réunion de haut niveau sur les transports, la santé et l</w:t>
            </w:r>
            <w:r w:rsidR="00455787">
              <w:rPr>
                <w:rFonts w:eastAsia="Calibri"/>
                <w:b/>
                <w:bCs/>
                <w:kern w:val="14"/>
                <w:sz w:val="17"/>
                <w:szCs w:val="17"/>
              </w:rPr>
              <w:t>’</w:t>
            </w:r>
            <w:r w:rsidRPr="007027E2">
              <w:rPr>
                <w:rFonts w:eastAsia="Calibri"/>
                <w:b/>
                <w:bCs/>
                <w:kern w:val="14"/>
                <w:sz w:val="17"/>
                <w:szCs w:val="17"/>
              </w:rPr>
              <w:t>environnement – données révisées ou séances supplémentaires</w:t>
            </w:r>
          </w:p>
        </w:tc>
        <w:tc>
          <w:tcPr>
            <w:tcW w:w="1616" w:type="dxa"/>
            <w:tcBorders>
              <w:top w:val="single" w:sz="4" w:space="0" w:color="auto"/>
              <w:left w:val="single" w:sz="4" w:space="0" w:color="auto"/>
              <w:bottom w:val="single" w:sz="4" w:space="0" w:color="auto"/>
              <w:right w:val="single" w:sz="4" w:space="0" w:color="auto"/>
            </w:tcBorders>
            <w:hideMark/>
          </w:tcPr>
          <w:p w14:paraId="225C6F29" w14:textId="77777777" w:rsidR="007027E2" w:rsidRPr="007027E2" w:rsidRDefault="007027E2" w:rsidP="000F3608">
            <w:pPr>
              <w:spacing w:before="40" w:after="40" w:line="210" w:lineRule="exact"/>
              <w:ind w:right="113"/>
              <w:jc w:val="right"/>
              <w:rPr>
                <w:rFonts w:eastAsia="Calibri"/>
                <w:sz w:val="17"/>
                <w:szCs w:val="17"/>
                <w:lang w:eastAsia="zh-CN"/>
              </w:rPr>
            </w:pPr>
            <w:r w:rsidRPr="007027E2">
              <w:rPr>
                <w:rFonts w:eastAsia="Calibri"/>
                <w:sz w:val="17"/>
                <w:szCs w:val="17"/>
              </w:rPr>
              <w:t>Pas de modification</w:t>
            </w:r>
          </w:p>
        </w:tc>
        <w:tc>
          <w:tcPr>
            <w:tcW w:w="1661" w:type="dxa"/>
            <w:tcBorders>
              <w:top w:val="single" w:sz="4" w:space="0" w:color="auto"/>
              <w:left w:val="single" w:sz="4" w:space="0" w:color="auto"/>
              <w:bottom w:val="single" w:sz="4" w:space="0" w:color="auto"/>
              <w:right w:val="single" w:sz="4" w:space="0" w:color="auto"/>
            </w:tcBorders>
            <w:hideMark/>
          </w:tcPr>
          <w:p w14:paraId="4F213A6E" w14:textId="77777777" w:rsidR="007027E2" w:rsidRPr="007027E2" w:rsidRDefault="007027E2" w:rsidP="000F3608">
            <w:pPr>
              <w:spacing w:before="40" w:after="40" w:line="210" w:lineRule="exact"/>
              <w:ind w:right="113"/>
              <w:jc w:val="right"/>
              <w:rPr>
                <w:rFonts w:eastAsia="Calibri"/>
                <w:sz w:val="17"/>
                <w:szCs w:val="17"/>
                <w:lang w:eastAsia="zh-CN"/>
              </w:rPr>
            </w:pPr>
            <w:r w:rsidRPr="007027E2">
              <w:rPr>
                <w:rFonts w:eastAsia="Calibri"/>
                <w:sz w:val="17"/>
                <w:szCs w:val="17"/>
              </w:rPr>
              <w:t>Pas de modification</w:t>
            </w:r>
          </w:p>
        </w:tc>
      </w:tr>
    </w:tbl>
    <w:p w14:paraId="400EE17D" w14:textId="77777777" w:rsidR="004D6315" w:rsidRPr="002274DC" w:rsidRDefault="004D6315" w:rsidP="007027E2">
      <w:pPr>
        <w:pStyle w:val="Titre1"/>
        <w:spacing w:before="240" w:after="240"/>
        <w:ind w:left="0"/>
        <w:rPr>
          <w:b/>
          <w:bCs/>
        </w:rPr>
      </w:pPr>
      <w:r w:rsidRPr="002274DC">
        <w:t>Tableau 2</w:t>
      </w:r>
      <w:r w:rsidR="007027E2">
        <w:t xml:space="preserve"> </w:t>
      </w:r>
      <w:r w:rsidR="007027E2">
        <w:br/>
      </w:r>
      <w:r>
        <w:rPr>
          <w:b/>
          <w:bCs/>
        </w:rPr>
        <w:t xml:space="preserve">Liste des </w:t>
      </w:r>
      <w:r w:rsidRPr="00D01FDF">
        <w:rPr>
          <w:b/>
          <w:bCs/>
        </w:rPr>
        <w:t>organes d</w:t>
      </w:r>
      <w:r w:rsidR="00455787">
        <w:rPr>
          <w:b/>
          <w:bCs/>
        </w:rPr>
        <w:t>’</w:t>
      </w:r>
      <w:r w:rsidRPr="00D01FDF">
        <w:rPr>
          <w:b/>
          <w:bCs/>
        </w:rPr>
        <w:t>experts créés ou dont le mandat a été prorogé</w:t>
      </w:r>
      <w:r w:rsidRPr="00D13EA5">
        <w:rPr>
          <w:b/>
          <w:bCs/>
        </w:rPr>
        <w:t xml:space="preserve"> </w:t>
      </w:r>
      <w:r w:rsidRPr="00D01FDF">
        <w:rPr>
          <w:b/>
          <w:bCs/>
        </w:rPr>
        <w:t>récemment</w:t>
      </w:r>
    </w:p>
    <w:tbl>
      <w:tblPr>
        <w:tblStyle w:val="Grilledutableau"/>
        <w:tblW w:w="9639" w:type="dxa"/>
        <w:tblLook w:val="04A0" w:firstRow="1" w:lastRow="0" w:firstColumn="1" w:lastColumn="0" w:noHBand="0" w:noVBand="1"/>
      </w:tblPr>
      <w:tblGrid>
        <w:gridCol w:w="3295"/>
        <w:gridCol w:w="3336"/>
        <w:gridCol w:w="3008"/>
      </w:tblGrid>
      <w:tr w:rsidR="000F3608" w:rsidRPr="002274DC" w14:paraId="38F35392" w14:textId="77777777" w:rsidTr="00DB1C33">
        <w:trPr>
          <w:tblHeader/>
        </w:trPr>
        <w:tc>
          <w:tcPr>
            <w:tcW w:w="3082" w:type="dxa"/>
            <w:tcBorders>
              <w:top w:val="single" w:sz="4" w:space="0" w:color="auto"/>
              <w:left w:val="single" w:sz="4" w:space="0" w:color="auto"/>
              <w:bottom w:val="single" w:sz="4" w:space="0" w:color="auto"/>
              <w:right w:val="single" w:sz="4" w:space="0" w:color="auto"/>
            </w:tcBorders>
            <w:hideMark/>
          </w:tcPr>
          <w:p w14:paraId="15ED4537" w14:textId="77777777" w:rsidR="000F3608" w:rsidRPr="002274DC" w:rsidRDefault="000F3608" w:rsidP="000F3608">
            <w:pPr>
              <w:tabs>
                <w:tab w:val="left" w:pos="360"/>
              </w:tabs>
              <w:spacing w:before="40" w:after="40" w:line="210" w:lineRule="exact"/>
              <w:ind w:left="57"/>
              <w:rPr>
                <w:rFonts w:eastAsia="Calibri"/>
                <w:b/>
                <w:bCs/>
                <w:sz w:val="17"/>
                <w:szCs w:val="17"/>
                <w:lang w:eastAsia="zh-CN"/>
              </w:rPr>
            </w:pPr>
            <w:r w:rsidRPr="002274DC">
              <w:rPr>
                <w:rFonts w:eastAsia="Calibri"/>
                <w:b/>
                <w:bCs/>
                <w:sz w:val="17"/>
                <w:szCs w:val="17"/>
              </w:rPr>
              <w:t>Groupe intergouvernemental d</w:t>
            </w:r>
            <w:r w:rsidR="00455787">
              <w:rPr>
                <w:rFonts w:eastAsia="Calibri"/>
                <w:b/>
                <w:bCs/>
                <w:sz w:val="17"/>
                <w:szCs w:val="17"/>
              </w:rPr>
              <w:t>’</w:t>
            </w:r>
            <w:r w:rsidRPr="002274DC">
              <w:rPr>
                <w:rFonts w:eastAsia="Calibri"/>
                <w:b/>
                <w:bCs/>
                <w:sz w:val="17"/>
                <w:szCs w:val="17"/>
              </w:rPr>
              <w:t>experts créé</w:t>
            </w:r>
            <w:r>
              <w:rPr>
                <w:rFonts w:eastAsia="Calibri"/>
                <w:b/>
                <w:bCs/>
                <w:sz w:val="17"/>
                <w:szCs w:val="17"/>
              </w:rPr>
              <w:t xml:space="preserve"> ou dont le mandat a été prorogé</w:t>
            </w:r>
            <w:r w:rsidRPr="002274DC">
              <w:rPr>
                <w:rFonts w:eastAsia="Calibri"/>
                <w:b/>
                <w:bCs/>
                <w:sz w:val="17"/>
                <w:szCs w:val="17"/>
              </w:rPr>
              <w:t xml:space="preserve"> en 2020</w:t>
            </w:r>
          </w:p>
        </w:tc>
        <w:tc>
          <w:tcPr>
            <w:tcW w:w="3120" w:type="dxa"/>
            <w:tcBorders>
              <w:top w:val="single" w:sz="4" w:space="0" w:color="auto"/>
              <w:left w:val="single" w:sz="4" w:space="0" w:color="auto"/>
              <w:bottom w:val="single" w:sz="4" w:space="0" w:color="auto"/>
              <w:right w:val="single" w:sz="4" w:space="0" w:color="auto"/>
            </w:tcBorders>
            <w:hideMark/>
          </w:tcPr>
          <w:p w14:paraId="4A85096D" w14:textId="77777777" w:rsidR="000F3608" w:rsidRPr="002274DC" w:rsidRDefault="000F3608" w:rsidP="000F3608">
            <w:pPr>
              <w:tabs>
                <w:tab w:val="left" w:pos="360"/>
              </w:tabs>
              <w:spacing w:before="40" w:after="40" w:line="210" w:lineRule="exact"/>
              <w:ind w:left="57" w:right="43"/>
              <w:rPr>
                <w:rFonts w:eastAsia="Calibri"/>
                <w:b/>
                <w:bCs/>
                <w:sz w:val="17"/>
                <w:szCs w:val="17"/>
                <w:lang w:eastAsia="zh-CN"/>
              </w:rPr>
            </w:pPr>
            <w:r w:rsidRPr="002274DC">
              <w:rPr>
                <w:rFonts w:eastAsia="Calibri"/>
                <w:b/>
                <w:bCs/>
                <w:sz w:val="17"/>
                <w:szCs w:val="17"/>
              </w:rPr>
              <w:t>Mandat</w:t>
            </w:r>
          </w:p>
        </w:tc>
        <w:tc>
          <w:tcPr>
            <w:tcW w:w="2814" w:type="dxa"/>
            <w:tcBorders>
              <w:top w:val="single" w:sz="4" w:space="0" w:color="auto"/>
              <w:left w:val="single" w:sz="4" w:space="0" w:color="auto"/>
              <w:bottom w:val="single" w:sz="4" w:space="0" w:color="auto"/>
              <w:right w:val="single" w:sz="4" w:space="0" w:color="auto"/>
            </w:tcBorders>
            <w:hideMark/>
          </w:tcPr>
          <w:p w14:paraId="6CC76825" w14:textId="77777777" w:rsidR="000F3608" w:rsidRPr="002274DC" w:rsidRDefault="000F3608" w:rsidP="000F3608">
            <w:pPr>
              <w:tabs>
                <w:tab w:val="left" w:pos="360"/>
              </w:tabs>
              <w:spacing w:before="40" w:after="40" w:line="210" w:lineRule="exact"/>
              <w:ind w:left="57" w:right="43"/>
              <w:rPr>
                <w:rFonts w:eastAsia="Calibri"/>
                <w:b/>
                <w:bCs/>
                <w:sz w:val="17"/>
                <w:szCs w:val="17"/>
                <w:lang w:eastAsia="zh-CN"/>
              </w:rPr>
            </w:pPr>
            <w:r w:rsidRPr="002274DC">
              <w:rPr>
                <w:rFonts w:eastAsia="Calibri"/>
                <w:b/>
                <w:bCs/>
                <w:sz w:val="17"/>
                <w:szCs w:val="17"/>
              </w:rPr>
              <w:t>Date d</w:t>
            </w:r>
            <w:r w:rsidR="00455787">
              <w:rPr>
                <w:rFonts w:eastAsia="Calibri"/>
                <w:b/>
                <w:bCs/>
                <w:sz w:val="17"/>
                <w:szCs w:val="17"/>
              </w:rPr>
              <w:t>’</w:t>
            </w:r>
            <w:r w:rsidRPr="002274DC">
              <w:rPr>
                <w:rFonts w:eastAsia="Calibri"/>
                <w:b/>
                <w:bCs/>
                <w:sz w:val="17"/>
                <w:szCs w:val="17"/>
              </w:rPr>
              <w:t>expiration</w:t>
            </w:r>
          </w:p>
        </w:tc>
      </w:tr>
      <w:tr w:rsidR="000F3608" w:rsidRPr="002274DC" w14:paraId="4C0EFC97" w14:textId="77777777" w:rsidTr="00DB1C33">
        <w:tc>
          <w:tcPr>
            <w:tcW w:w="3082" w:type="dxa"/>
            <w:tcBorders>
              <w:top w:val="single" w:sz="4" w:space="0" w:color="auto"/>
              <w:left w:val="single" w:sz="4" w:space="0" w:color="auto"/>
              <w:bottom w:val="single" w:sz="4" w:space="0" w:color="auto"/>
              <w:right w:val="single" w:sz="4" w:space="0" w:color="auto"/>
            </w:tcBorders>
            <w:hideMark/>
          </w:tcPr>
          <w:p w14:paraId="69D9D2E4" w14:textId="77777777" w:rsidR="000F3608" w:rsidRPr="002274DC" w:rsidRDefault="000F3608" w:rsidP="000F3608">
            <w:pPr>
              <w:tabs>
                <w:tab w:val="left" w:pos="297"/>
                <w:tab w:val="left" w:pos="567"/>
              </w:tabs>
              <w:spacing w:before="40" w:after="40" w:line="210" w:lineRule="exact"/>
              <w:ind w:left="57"/>
              <w:rPr>
                <w:rFonts w:asciiTheme="majorBidi" w:eastAsia="Calibri" w:hAnsiTheme="majorBidi" w:cstheme="majorBidi"/>
                <w:spacing w:val="4"/>
                <w:w w:val="103"/>
                <w:kern w:val="14"/>
                <w:sz w:val="17"/>
                <w:szCs w:val="17"/>
                <w:lang w:eastAsia="zh-CN"/>
              </w:rPr>
            </w:pPr>
            <w:r w:rsidRPr="002274DC">
              <w:rPr>
                <w:rFonts w:eastAsia="Calibri"/>
                <w:sz w:val="17"/>
              </w:rPr>
              <w:t>Groupe d</w:t>
            </w:r>
            <w:r w:rsidR="00455787">
              <w:rPr>
                <w:rFonts w:eastAsia="Calibri"/>
                <w:sz w:val="17"/>
              </w:rPr>
              <w:t>’</w:t>
            </w:r>
            <w:r w:rsidRPr="002274DC">
              <w:rPr>
                <w:rFonts w:eastAsia="Calibri"/>
                <w:sz w:val="17"/>
              </w:rPr>
              <w:t>experts de l</w:t>
            </w:r>
            <w:r w:rsidR="00455787">
              <w:rPr>
                <w:rFonts w:eastAsia="Calibri"/>
                <w:sz w:val="17"/>
              </w:rPr>
              <w:t>’</w:t>
            </w:r>
            <w:r w:rsidRPr="002274DC">
              <w:rPr>
                <w:rFonts w:eastAsia="Calibri"/>
                <w:sz w:val="17"/>
              </w:rPr>
              <w:t>identification permanente du matériel roulant ferroviaire</w:t>
            </w:r>
          </w:p>
        </w:tc>
        <w:tc>
          <w:tcPr>
            <w:tcW w:w="3120" w:type="dxa"/>
            <w:tcBorders>
              <w:top w:val="single" w:sz="4" w:space="0" w:color="auto"/>
              <w:left w:val="single" w:sz="4" w:space="0" w:color="auto"/>
              <w:bottom w:val="single" w:sz="4" w:space="0" w:color="auto"/>
              <w:right w:val="single" w:sz="4" w:space="0" w:color="auto"/>
            </w:tcBorders>
            <w:hideMark/>
          </w:tcPr>
          <w:p w14:paraId="647C6046" w14:textId="77777777" w:rsidR="000F3608" w:rsidRPr="002274DC" w:rsidRDefault="000F3608" w:rsidP="000F3608">
            <w:pPr>
              <w:tabs>
                <w:tab w:val="left" w:pos="297"/>
                <w:tab w:val="left" w:pos="567"/>
              </w:tabs>
              <w:spacing w:before="40" w:after="40" w:line="210" w:lineRule="exact"/>
              <w:ind w:left="57" w:right="43"/>
              <w:rPr>
                <w:rFonts w:asciiTheme="majorBidi" w:eastAsia="Calibri" w:hAnsiTheme="majorBidi" w:cstheme="majorBidi"/>
                <w:spacing w:val="4"/>
                <w:w w:val="103"/>
                <w:kern w:val="14"/>
                <w:sz w:val="17"/>
                <w:szCs w:val="17"/>
              </w:rPr>
            </w:pPr>
            <w:r w:rsidRPr="002274DC">
              <w:rPr>
                <w:rFonts w:asciiTheme="majorBidi" w:eastAsia="Calibri" w:hAnsiTheme="majorBidi" w:cstheme="majorBidi"/>
                <w:spacing w:val="4"/>
                <w:w w:val="103"/>
                <w:kern w:val="14"/>
                <w:sz w:val="17"/>
                <w:szCs w:val="17"/>
              </w:rPr>
              <w:t>ECE/TRANS/294, par. 101 ;</w:t>
            </w:r>
          </w:p>
          <w:p w14:paraId="12864968" w14:textId="77777777" w:rsidR="000F3608" w:rsidRPr="002274DC" w:rsidRDefault="000F3608" w:rsidP="000F3608">
            <w:pPr>
              <w:tabs>
                <w:tab w:val="left" w:pos="297"/>
                <w:tab w:val="left" w:pos="567"/>
              </w:tabs>
              <w:spacing w:before="40" w:after="40" w:line="210" w:lineRule="exact"/>
              <w:ind w:left="57" w:right="43"/>
              <w:rPr>
                <w:rFonts w:asciiTheme="majorBidi" w:eastAsia="Calibri" w:hAnsiTheme="majorBidi" w:cstheme="majorBidi"/>
                <w:spacing w:val="4"/>
                <w:w w:val="103"/>
                <w:kern w:val="14"/>
                <w:sz w:val="17"/>
                <w:szCs w:val="17"/>
                <w:lang w:eastAsia="zh-CN"/>
              </w:rPr>
            </w:pPr>
            <w:r w:rsidRPr="002274DC">
              <w:rPr>
                <w:rFonts w:asciiTheme="majorBidi" w:eastAsia="Calibri" w:hAnsiTheme="majorBidi" w:cstheme="majorBidi"/>
                <w:spacing w:val="4"/>
                <w:w w:val="103"/>
                <w:kern w:val="14"/>
                <w:sz w:val="17"/>
                <w:szCs w:val="17"/>
              </w:rPr>
              <w:t xml:space="preserve">ECE/EX/2020/L.2 </w:t>
            </w:r>
          </w:p>
        </w:tc>
        <w:tc>
          <w:tcPr>
            <w:tcW w:w="2814" w:type="dxa"/>
            <w:tcBorders>
              <w:top w:val="single" w:sz="4" w:space="0" w:color="auto"/>
              <w:left w:val="single" w:sz="4" w:space="0" w:color="auto"/>
              <w:bottom w:val="single" w:sz="4" w:space="0" w:color="auto"/>
              <w:right w:val="single" w:sz="4" w:space="0" w:color="auto"/>
            </w:tcBorders>
            <w:hideMark/>
          </w:tcPr>
          <w:p w14:paraId="44BAC471" w14:textId="77777777" w:rsidR="000F3608" w:rsidRPr="002274DC" w:rsidRDefault="000F3608" w:rsidP="000F3608">
            <w:pPr>
              <w:tabs>
                <w:tab w:val="left" w:pos="297"/>
                <w:tab w:val="left" w:pos="567"/>
              </w:tabs>
              <w:spacing w:before="40" w:after="40" w:line="210" w:lineRule="exact"/>
              <w:ind w:left="57" w:right="43"/>
              <w:rPr>
                <w:rFonts w:asciiTheme="majorBidi" w:eastAsia="Calibri" w:hAnsiTheme="majorBidi" w:cstheme="majorBidi"/>
                <w:spacing w:val="4"/>
                <w:w w:val="103"/>
                <w:kern w:val="14"/>
                <w:sz w:val="17"/>
                <w:szCs w:val="17"/>
                <w:lang w:eastAsia="zh-CN"/>
              </w:rPr>
            </w:pPr>
            <w:r w:rsidRPr="002274DC">
              <w:rPr>
                <w:rFonts w:asciiTheme="majorBidi" w:eastAsia="Calibri" w:hAnsiTheme="majorBidi" w:cstheme="majorBidi"/>
                <w:spacing w:val="4"/>
                <w:w w:val="103"/>
                <w:kern w:val="14"/>
                <w:sz w:val="17"/>
                <w:szCs w:val="17"/>
              </w:rPr>
              <w:t>2020</w:t>
            </w:r>
            <w:r>
              <w:rPr>
                <w:rFonts w:asciiTheme="majorBidi" w:eastAsia="Calibri" w:hAnsiTheme="majorBidi" w:cstheme="majorBidi"/>
                <w:spacing w:val="4"/>
                <w:w w:val="103"/>
                <w:kern w:val="14"/>
                <w:sz w:val="17"/>
                <w:szCs w:val="17"/>
              </w:rPr>
              <w:t>-</w:t>
            </w:r>
            <w:r w:rsidRPr="002274DC">
              <w:rPr>
                <w:rFonts w:asciiTheme="majorBidi" w:eastAsia="Calibri" w:hAnsiTheme="majorBidi" w:cstheme="majorBidi"/>
                <w:spacing w:val="4"/>
                <w:w w:val="103"/>
                <w:kern w:val="14"/>
                <w:sz w:val="17"/>
                <w:szCs w:val="17"/>
              </w:rPr>
              <w:t>2023</w:t>
            </w:r>
          </w:p>
        </w:tc>
      </w:tr>
      <w:tr w:rsidR="000F3608" w:rsidRPr="002274DC" w14:paraId="5C98E259" w14:textId="77777777" w:rsidTr="00DB1C33">
        <w:tc>
          <w:tcPr>
            <w:tcW w:w="3082" w:type="dxa"/>
            <w:tcBorders>
              <w:top w:val="single" w:sz="4" w:space="0" w:color="auto"/>
              <w:left w:val="single" w:sz="4" w:space="0" w:color="auto"/>
              <w:bottom w:val="single" w:sz="4" w:space="0" w:color="auto"/>
              <w:right w:val="single" w:sz="4" w:space="0" w:color="auto"/>
            </w:tcBorders>
            <w:hideMark/>
          </w:tcPr>
          <w:p w14:paraId="75FD0904" w14:textId="77777777" w:rsidR="000F3608" w:rsidRPr="002274DC" w:rsidRDefault="000F3608" w:rsidP="000F3608">
            <w:pPr>
              <w:tabs>
                <w:tab w:val="left" w:pos="297"/>
                <w:tab w:val="left" w:pos="567"/>
              </w:tabs>
              <w:spacing w:before="40" w:after="40" w:line="210" w:lineRule="exact"/>
              <w:ind w:left="57"/>
              <w:rPr>
                <w:rFonts w:asciiTheme="majorBidi" w:eastAsia="Calibri" w:hAnsiTheme="majorBidi" w:cstheme="majorBidi"/>
                <w:spacing w:val="4"/>
                <w:w w:val="103"/>
                <w:kern w:val="14"/>
                <w:sz w:val="17"/>
                <w:szCs w:val="17"/>
                <w:lang w:eastAsia="zh-CN"/>
              </w:rPr>
            </w:pPr>
            <w:r w:rsidRPr="002274DC">
              <w:rPr>
                <w:rFonts w:eastAsia="Calibri"/>
                <w:sz w:val="17"/>
              </w:rPr>
              <w:t>Groupe d</w:t>
            </w:r>
            <w:r w:rsidR="00455787">
              <w:rPr>
                <w:rFonts w:eastAsia="Calibri"/>
                <w:sz w:val="17"/>
              </w:rPr>
              <w:t>’</w:t>
            </w:r>
            <w:r w:rsidRPr="002274DC">
              <w:rPr>
                <w:rFonts w:eastAsia="Calibri"/>
                <w:sz w:val="17"/>
              </w:rPr>
              <w:t>experts pour l</w:t>
            </w:r>
            <w:r w:rsidR="00455787">
              <w:rPr>
                <w:rFonts w:eastAsia="Calibri"/>
                <w:sz w:val="17"/>
              </w:rPr>
              <w:t>’</w:t>
            </w:r>
            <w:r w:rsidRPr="002274DC">
              <w:rPr>
                <w:rFonts w:eastAsia="Calibri"/>
                <w:sz w:val="17"/>
              </w:rPr>
              <w:t>uniformisation du droit ferroviaire</w:t>
            </w:r>
          </w:p>
        </w:tc>
        <w:tc>
          <w:tcPr>
            <w:tcW w:w="3120" w:type="dxa"/>
            <w:tcBorders>
              <w:top w:val="single" w:sz="4" w:space="0" w:color="auto"/>
              <w:left w:val="single" w:sz="4" w:space="0" w:color="auto"/>
              <w:bottom w:val="single" w:sz="4" w:space="0" w:color="auto"/>
              <w:right w:val="single" w:sz="4" w:space="0" w:color="auto"/>
            </w:tcBorders>
            <w:hideMark/>
          </w:tcPr>
          <w:p w14:paraId="074FC855" w14:textId="77777777" w:rsidR="000F3608" w:rsidRPr="002274DC" w:rsidRDefault="000F3608" w:rsidP="000F3608">
            <w:pPr>
              <w:spacing w:line="240" w:lineRule="auto"/>
              <w:ind w:left="57"/>
              <w:rPr>
                <w:rFonts w:asciiTheme="majorBidi" w:eastAsia="Calibri" w:hAnsiTheme="majorBidi" w:cstheme="majorBidi"/>
                <w:spacing w:val="4"/>
                <w:w w:val="103"/>
                <w:kern w:val="14"/>
                <w:sz w:val="17"/>
                <w:szCs w:val="17"/>
              </w:rPr>
            </w:pPr>
            <w:r w:rsidRPr="002274DC">
              <w:rPr>
                <w:rFonts w:asciiTheme="majorBidi" w:eastAsia="Calibri" w:hAnsiTheme="majorBidi" w:cstheme="majorBidi"/>
                <w:spacing w:val="4"/>
                <w:w w:val="103"/>
                <w:kern w:val="14"/>
                <w:sz w:val="17"/>
                <w:szCs w:val="17"/>
              </w:rPr>
              <w:t>ECE/TRANS/294, par. 100 ; ECE/EX/2020/L.2 ;</w:t>
            </w:r>
          </w:p>
          <w:p w14:paraId="1AC50B52" w14:textId="77777777" w:rsidR="000F3608" w:rsidRPr="002274DC" w:rsidRDefault="000F3608" w:rsidP="000F3608">
            <w:pPr>
              <w:spacing w:line="240" w:lineRule="auto"/>
              <w:ind w:left="57"/>
              <w:rPr>
                <w:rFonts w:asciiTheme="majorBidi" w:eastAsia="Calibri" w:hAnsiTheme="majorBidi" w:cstheme="majorBidi"/>
                <w:spacing w:val="4"/>
                <w:w w:val="103"/>
                <w:kern w:val="14"/>
                <w:sz w:val="17"/>
                <w:szCs w:val="17"/>
                <w:lang w:eastAsia="zh-CN"/>
              </w:rPr>
            </w:pPr>
            <w:r w:rsidRPr="002274DC">
              <w:rPr>
                <w:rFonts w:asciiTheme="majorBidi" w:eastAsia="Calibri" w:hAnsiTheme="majorBidi" w:cstheme="majorBidi"/>
                <w:spacing w:val="4"/>
                <w:w w:val="103"/>
                <w:kern w:val="14"/>
                <w:sz w:val="17"/>
                <w:szCs w:val="17"/>
              </w:rPr>
              <w:t>ECE/EX/2020/L.8</w:t>
            </w:r>
          </w:p>
        </w:tc>
        <w:tc>
          <w:tcPr>
            <w:tcW w:w="2814" w:type="dxa"/>
            <w:tcBorders>
              <w:top w:val="single" w:sz="4" w:space="0" w:color="auto"/>
              <w:left w:val="single" w:sz="4" w:space="0" w:color="auto"/>
              <w:bottom w:val="single" w:sz="4" w:space="0" w:color="auto"/>
              <w:right w:val="single" w:sz="4" w:space="0" w:color="auto"/>
            </w:tcBorders>
            <w:hideMark/>
          </w:tcPr>
          <w:p w14:paraId="1450033C" w14:textId="77777777" w:rsidR="000F3608" w:rsidRPr="002274DC" w:rsidRDefault="000F3608" w:rsidP="000F3608">
            <w:pPr>
              <w:tabs>
                <w:tab w:val="left" w:pos="297"/>
                <w:tab w:val="left" w:pos="567"/>
              </w:tabs>
              <w:spacing w:before="40" w:after="40" w:line="210" w:lineRule="exact"/>
              <w:ind w:left="57" w:right="43"/>
              <w:rPr>
                <w:rFonts w:asciiTheme="majorBidi" w:eastAsia="Calibri" w:hAnsiTheme="majorBidi" w:cstheme="majorBidi"/>
                <w:spacing w:val="4"/>
                <w:w w:val="103"/>
                <w:kern w:val="14"/>
                <w:sz w:val="17"/>
                <w:szCs w:val="17"/>
                <w:lang w:eastAsia="zh-CN"/>
              </w:rPr>
            </w:pPr>
            <w:r w:rsidRPr="002274DC">
              <w:rPr>
                <w:rFonts w:asciiTheme="majorBidi" w:eastAsia="Calibri" w:hAnsiTheme="majorBidi" w:cstheme="majorBidi"/>
                <w:spacing w:val="4"/>
                <w:w w:val="103"/>
                <w:kern w:val="14"/>
                <w:sz w:val="17"/>
                <w:szCs w:val="17"/>
              </w:rPr>
              <w:t>2021</w:t>
            </w:r>
          </w:p>
        </w:tc>
      </w:tr>
      <w:tr w:rsidR="000F3608" w:rsidRPr="002274DC" w14:paraId="0156FD1D" w14:textId="77777777" w:rsidTr="00DB1C33">
        <w:tc>
          <w:tcPr>
            <w:tcW w:w="3082" w:type="dxa"/>
            <w:tcBorders>
              <w:top w:val="single" w:sz="4" w:space="0" w:color="auto"/>
              <w:left w:val="single" w:sz="4" w:space="0" w:color="auto"/>
              <w:bottom w:val="single" w:sz="4" w:space="0" w:color="auto"/>
              <w:right w:val="single" w:sz="4" w:space="0" w:color="auto"/>
            </w:tcBorders>
          </w:tcPr>
          <w:p w14:paraId="70304A18" w14:textId="77777777" w:rsidR="000F3608" w:rsidRPr="002274DC" w:rsidRDefault="000F3608" w:rsidP="000F3608">
            <w:pPr>
              <w:spacing w:line="240" w:lineRule="auto"/>
              <w:ind w:left="57"/>
              <w:rPr>
                <w:rFonts w:asciiTheme="majorBidi" w:hAnsiTheme="majorBidi" w:cstheme="majorBidi"/>
                <w:sz w:val="17"/>
                <w:szCs w:val="17"/>
              </w:rPr>
            </w:pPr>
            <w:r w:rsidRPr="002274DC">
              <w:rPr>
                <w:rFonts w:eastAsia="Calibri"/>
                <w:sz w:val="17"/>
              </w:rPr>
              <w:t>*</w:t>
            </w:r>
            <w:r w:rsidRPr="002274DC">
              <w:t xml:space="preserve"> </w:t>
            </w:r>
            <w:r w:rsidRPr="002274DC">
              <w:rPr>
                <w:rFonts w:eastAsia="Calibri"/>
                <w:sz w:val="17"/>
              </w:rPr>
              <w:t>Groupe d</w:t>
            </w:r>
            <w:r w:rsidR="00455787">
              <w:rPr>
                <w:rFonts w:eastAsia="Calibri"/>
                <w:sz w:val="17"/>
              </w:rPr>
              <w:t>’</w:t>
            </w:r>
            <w:r w:rsidRPr="002274DC">
              <w:rPr>
                <w:rFonts w:eastAsia="Calibri"/>
                <w:sz w:val="17"/>
              </w:rPr>
              <w:t>experts des nœuds de transport ferroviaire international de voyageurs</w:t>
            </w:r>
          </w:p>
        </w:tc>
        <w:tc>
          <w:tcPr>
            <w:tcW w:w="3120" w:type="dxa"/>
            <w:tcBorders>
              <w:top w:val="single" w:sz="4" w:space="0" w:color="auto"/>
              <w:left w:val="single" w:sz="4" w:space="0" w:color="auto"/>
              <w:bottom w:val="single" w:sz="4" w:space="0" w:color="auto"/>
              <w:right w:val="single" w:sz="4" w:space="0" w:color="auto"/>
            </w:tcBorders>
          </w:tcPr>
          <w:p w14:paraId="07976BCA" w14:textId="77777777" w:rsidR="000F3608" w:rsidRPr="002274DC" w:rsidRDefault="000F3608" w:rsidP="000F3608">
            <w:pPr>
              <w:spacing w:line="240" w:lineRule="auto"/>
              <w:ind w:left="57"/>
              <w:rPr>
                <w:rFonts w:asciiTheme="majorBidi" w:hAnsiTheme="majorBidi" w:cstheme="majorBidi"/>
                <w:sz w:val="17"/>
                <w:szCs w:val="17"/>
              </w:rPr>
            </w:pPr>
            <w:r w:rsidRPr="002274DC">
              <w:rPr>
                <w:rFonts w:asciiTheme="majorBidi" w:hAnsiTheme="majorBidi" w:cstheme="majorBidi"/>
                <w:sz w:val="17"/>
                <w:szCs w:val="17"/>
              </w:rPr>
              <w:t>Inclus dans le présent tableau sans préjudice de l</w:t>
            </w:r>
            <w:r w:rsidR="00455787">
              <w:rPr>
                <w:rFonts w:asciiTheme="majorBidi" w:hAnsiTheme="majorBidi" w:cstheme="majorBidi"/>
                <w:sz w:val="17"/>
                <w:szCs w:val="17"/>
              </w:rPr>
              <w:t>’</w:t>
            </w:r>
            <w:r w:rsidRPr="002274DC">
              <w:rPr>
                <w:rFonts w:asciiTheme="majorBidi" w:hAnsiTheme="majorBidi" w:cstheme="majorBidi"/>
                <w:sz w:val="17"/>
                <w:szCs w:val="17"/>
              </w:rPr>
              <w:t>approbation du CTI et du Comité exécutif et sous réserve de celle-ci</w:t>
            </w:r>
          </w:p>
          <w:p w14:paraId="570EDB9B" w14:textId="77777777" w:rsidR="000F3608" w:rsidRPr="002274DC" w:rsidRDefault="000F3608" w:rsidP="000F3608">
            <w:pPr>
              <w:spacing w:line="240" w:lineRule="auto"/>
              <w:ind w:left="57"/>
              <w:rPr>
                <w:rFonts w:asciiTheme="majorBidi" w:hAnsiTheme="majorBidi" w:cstheme="majorBidi"/>
                <w:sz w:val="17"/>
                <w:szCs w:val="17"/>
              </w:rPr>
            </w:pPr>
            <w:r w:rsidRPr="002274DC">
              <w:rPr>
                <w:rFonts w:asciiTheme="majorBidi" w:hAnsiTheme="majorBidi" w:cstheme="majorBidi"/>
                <w:sz w:val="17"/>
                <w:szCs w:val="17"/>
              </w:rPr>
              <w:t xml:space="preserve">Décisions de référence : </w:t>
            </w:r>
          </w:p>
          <w:p w14:paraId="700B9E20" w14:textId="77777777" w:rsidR="000F3608" w:rsidRPr="002274DC" w:rsidRDefault="000F3608" w:rsidP="000F3608">
            <w:pPr>
              <w:spacing w:line="240" w:lineRule="auto"/>
              <w:ind w:left="57"/>
              <w:rPr>
                <w:rFonts w:asciiTheme="majorBidi" w:hAnsiTheme="majorBidi" w:cstheme="majorBidi"/>
                <w:sz w:val="17"/>
                <w:szCs w:val="17"/>
              </w:rPr>
            </w:pPr>
            <w:r w:rsidRPr="002274DC">
              <w:rPr>
                <w:rFonts w:asciiTheme="majorBidi" w:hAnsiTheme="majorBidi" w:cstheme="majorBidi"/>
                <w:sz w:val="17"/>
                <w:szCs w:val="17"/>
              </w:rPr>
              <w:t>ECE/TRANS/304</w:t>
            </w:r>
          </w:p>
        </w:tc>
        <w:tc>
          <w:tcPr>
            <w:tcW w:w="2814" w:type="dxa"/>
            <w:tcBorders>
              <w:top w:val="single" w:sz="4" w:space="0" w:color="auto"/>
              <w:left w:val="single" w:sz="4" w:space="0" w:color="auto"/>
              <w:bottom w:val="single" w:sz="4" w:space="0" w:color="auto"/>
              <w:right w:val="single" w:sz="4" w:space="0" w:color="auto"/>
            </w:tcBorders>
          </w:tcPr>
          <w:p w14:paraId="08BE2325" w14:textId="77777777" w:rsidR="000F3608" w:rsidRPr="002274DC" w:rsidRDefault="000F3608" w:rsidP="000F3608">
            <w:pPr>
              <w:spacing w:line="240" w:lineRule="auto"/>
              <w:ind w:left="57"/>
              <w:rPr>
                <w:rFonts w:asciiTheme="majorBidi" w:hAnsiTheme="majorBidi" w:cstheme="majorBidi"/>
                <w:sz w:val="17"/>
                <w:szCs w:val="17"/>
              </w:rPr>
            </w:pPr>
            <w:r w:rsidRPr="002274DC">
              <w:rPr>
                <w:rFonts w:asciiTheme="majorBidi" w:hAnsiTheme="majorBidi" w:cstheme="majorBidi"/>
                <w:sz w:val="17"/>
                <w:szCs w:val="17"/>
              </w:rPr>
              <w:t>[</w:t>
            </w:r>
            <w:r w:rsidRPr="002274DC">
              <w:rPr>
                <w:rFonts w:asciiTheme="majorBidi" w:hAnsiTheme="majorBidi" w:cstheme="majorBidi"/>
                <w:i/>
                <w:iCs/>
                <w:sz w:val="17"/>
                <w:szCs w:val="17"/>
              </w:rPr>
              <w:t>Sous réserve d</w:t>
            </w:r>
            <w:r w:rsidR="00455787">
              <w:rPr>
                <w:rFonts w:asciiTheme="majorBidi" w:hAnsiTheme="majorBidi" w:cstheme="majorBidi"/>
                <w:i/>
                <w:iCs/>
                <w:sz w:val="17"/>
                <w:szCs w:val="17"/>
              </w:rPr>
              <w:t>’</w:t>
            </w:r>
            <w:r w:rsidRPr="002274DC">
              <w:rPr>
                <w:rFonts w:asciiTheme="majorBidi" w:hAnsiTheme="majorBidi" w:cstheme="majorBidi"/>
                <w:i/>
                <w:iCs/>
                <w:sz w:val="17"/>
                <w:szCs w:val="17"/>
              </w:rPr>
              <w:t>approbation</w:t>
            </w:r>
            <w:r w:rsidRPr="002274DC">
              <w:rPr>
                <w:rFonts w:asciiTheme="majorBidi" w:hAnsiTheme="majorBidi" w:cstheme="majorBidi"/>
                <w:sz w:val="17"/>
                <w:szCs w:val="17"/>
              </w:rPr>
              <w:t xml:space="preserve">] </w:t>
            </w:r>
            <w:r>
              <w:rPr>
                <w:rFonts w:asciiTheme="majorBidi" w:hAnsiTheme="majorBidi" w:cstheme="majorBidi"/>
                <w:sz w:val="17"/>
                <w:szCs w:val="17"/>
              </w:rPr>
              <w:br/>
            </w:r>
            <w:r w:rsidRPr="002274DC">
              <w:rPr>
                <w:rFonts w:asciiTheme="majorBidi" w:hAnsiTheme="majorBidi" w:cstheme="majorBidi"/>
                <w:sz w:val="17"/>
                <w:szCs w:val="17"/>
              </w:rPr>
              <w:t>2021</w:t>
            </w:r>
            <w:r>
              <w:rPr>
                <w:rFonts w:asciiTheme="majorBidi" w:hAnsiTheme="majorBidi" w:cstheme="majorBidi"/>
                <w:sz w:val="17"/>
                <w:szCs w:val="17"/>
              </w:rPr>
              <w:t>-</w:t>
            </w:r>
            <w:r w:rsidRPr="002274DC">
              <w:rPr>
                <w:rFonts w:asciiTheme="majorBidi" w:hAnsiTheme="majorBidi" w:cstheme="majorBidi"/>
                <w:sz w:val="17"/>
                <w:szCs w:val="17"/>
              </w:rPr>
              <w:t>2023</w:t>
            </w:r>
          </w:p>
        </w:tc>
      </w:tr>
      <w:tr w:rsidR="000F3608" w:rsidRPr="002274DC" w14:paraId="0A4FAC7B" w14:textId="77777777" w:rsidTr="00DB1C33">
        <w:tc>
          <w:tcPr>
            <w:tcW w:w="3082" w:type="dxa"/>
            <w:tcBorders>
              <w:top w:val="single" w:sz="4" w:space="0" w:color="auto"/>
              <w:left w:val="single" w:sz="4" w:space="0" w:color="auto"/>
              <w:bottom w:val="single" w:sz="4" w:space="0" w:color="auto"/>
              <w:right w:val="single" w:sz="4" w:space="0" w:color="auto"/>
            </w:tcBorders>
            <w:hideMark/>
          </w:tcPr>
          <w:p w14:paraId="0138FDA2" w14:textId="77777777" w:rsidR="000F3608" w:rsidRPr="002274DC" w:rsidRDefault="000F3608" w:rsidP="000F3608">
            <w:pPr>
              <w:spacing w:line="240" w:lineRule="auto"/>
              <w:ind w:left="57"/>
              <w:rPr>
                <w:rFonts w:asciiTheme="majorBidi" w:hAnsiTheme="majorBidi" w:cstheme="majorBidi"/>
                <w:sz w:val="17"/>
                <w:szCs w:val="17"/>
                <w:lang w:eastAsia="zh-CN"/>
              </w:rPr>
            </w:pPr>
            <w:r w:rsidRPr="002274DC">
              <w:rPr>
                <w:rFonts w:asciiTheme="majorBidi" w:hAnsiTheme="majorBidi" w:cstheme="majorBidi"/>
                <w:sz w:val="17"/>
                <w:szCs w:val="17"/>
              </w:rPr>
              <w:t>Groupe d</w:t>
            </w:r>
            <w:r w:rsidR="00455787">
              <w:rPr>
                <w:rFonts w:asciiTheme="majorBidi" w:hAnsiTheme="majorBidi" w:cstheme="majorBidi"/>
                <w:sz w:val="17"/>
                <w:szCs w:val="17"/>
              </w:rPr>
              <w:t>’</w:t>
            </w:r>
            <w:r w:rsidRPr="002274DC">
              <w:rPr>
                <w:rFonts w:asciiTheme="majorBidi" w:hAnsiTheme="majorBidi" w:cstheme="majorBidi"/>
                <w:sz w:val="17"/>
                <w:szCs w:val="17"/>
              </w:rPr>
              <w:t>experts de l</w:t>
            </w:r>
            <w:r w:rsidR="00455787">
              <w:rPr>
                <w:rFonts w:asciiTheme="majorBidi" w:hAnsiTheme="majorBidi" w:cstheme="majorBidi"/>
                <w:sz w:val="17"/>
                <w:szCs w:val="17"/>
              </w:rPr>
              <w:t>’</w:t>
            </w:r>
            <w:r w:rsidRPr="002274DC">
              <w:rPr>
                <w:rFonts w:asciiTheme="majorBidi" w:hAnsiTheme="majorBidi" w:cstheme="majorBidi"/>
                <w:sz w:val="17"/>
                <w:szCs w:val="17"/>
              </w:rPr>
              <w:t>AETR</w:t>
            </w:r>
          </w:p>
        </w:tc>
        <w:tc>
          <w:tcPr>
            <w:tcW w:w="3120" w:type="dxa"/>
            <w:tcBorders>
              <w:top w:val="single" w:sz="4" w:space="0" w:color="auto"/>
              <w:left w:val="single" w:sz="4" w:space="0" w:color="auto"/>
              <w:bottom w:val="single" w:sz="4" w:space="0" w:color="auto"/>
              <w:right w:val="single" w:sz="4" w:space="0" w:color="auto"/>
            </w:tcBorders>
            <w:hideMark/>
          </w:tcPr>
          <w:p w14:paraId="0266D6E5" w14:textId="77777777" w:rsidR="000F3608" w:rsidRPr="002274DC" w:rsidRDefault="000F3608" w:rsidP="000F3608">
            <w:pPr>
              <w:spacing w:line="240" w:lineRule="auto"/>
              <w:ind w:left="57"/>
              <w:rPr>
                <w:rFonts w:asciiTheme="majorBidi" w:hAnsiTheme="majorBidi" w:cstheme="majorBidi"/>
                <w:sz w:val="17"/>
                <w:szCs w:val="17"/>
              </w:rPr>
            </w:pPr>
            <w:r w:rsidRPr="002274DC">
              <w:rPr>
                <w:rFonts w:asciiTheme="majorBidi" w:hAnsiTheme="majorBidi" w:cstheme="majorBidi"/>
                <w:sz w:val="17"/>
                <w:szCs w:val="17"/>
              </w:rPr>
              <w:t>ECE/TRANS/288, par.69 ;</w:t>
            </w:r>
          </w:p>
          <w:p w14:paraId="3E4EC028" w14:textId="77777777" w:rsidR="000F3608" w:rsidRPr="002274DC" w:rsidRDefault="000F3608" w:rsidP="000F3608">
            <w:pPr>
              <w:spacing w:line="240" w:lineRule="auto"/>
              <w:ind w:left="57"/>
              <w:rPr>
                <w:rFonts w:asciiTheme="majorBidi" w:hAnsiTheme="majorBidi" w:cstheme="majorBidi"/>
                <w:sz w:val="17"/>
                <w:szCs w:val="17"/>
                <w:lang w:eastAsia="zh-CN"/>
              </w:rPr>
            </w:pPr>
            <w:r w:rsidRPr="002274DC">
              <w:rPr>
                <w:rFonts w:asciiTheme="majorBidi" w:hAnsiTheme="majorBidi" w:cstheme="majorBidi"/>
                <w:sz w:val="17"/>
                <w:szCs w:val="17"/>
              </w:rPr>
              <w:t xml:space="preserve">ECE/EX/2019/L.4 </w:t>
            </w:r>
          </w:p>
        </w:tc>
        <w:tc>
          <w:tcPr>
            <w:tcW w:w="2814" w:type="dxa"/>
            <w:tcBorders>
              <w:top w:val="single" w:sz="4" w:space="0" w:color="auto"/>
              <w:left w:val="single" w:sz="4" w:space="0" w:color="auto"/>
              <w:bottom w:val="single" w:sz="4" w:space="0" w:color="auto"/>
              <w:right w:val="single" w:sz="4" w:space="0" w:color="auto"/>
            </w:tcBorders>
            <w:hideMark/>
          </w:tcPr>
          <w:p w14:paraId="6E2E8921" w14:textId="77777777" w:rsidR="000F3608" w:rsidRPr="002274DC" w:rsidRDefault="000F3608" w:rsidP="000F3608">
            <w:pPr>
              <w:spacing w:line="240" w:lineRule="auto"/>
              <w:ind w:left="57"/>
              <w:rPr>
                <w:rFonts w:asciiTheme="majorBidi" w:hAnsiTheme="majorBidi" w:cstheme="majorBidi"/>
                <w:sz w:val="17"/>
                <w:szCs w:val="17"/>
                <w:lang w:eastAsia="zh-CN"/>
              </w:rPr>
            </w:pPr>
            <w:r w:rsidRPr="002274DC">
              <w:rPr>
                <w:rFonts w:asciiTheme="majorBidi" w:hAnsiTheme="majorBidi" w:cstheme="majorBidi"/>
                <w:sz w:val="17"/>
                <w:szCs w:val="17"/>
              </w:rPr>
              <w:t>Juin 2019 à juin 2021</w:t>
            </w:r>
          </w:p>
        </w:tc>
      </w:tr>
      <w:tr w:rsidR="000F3608" w:rsidRPr="00860746" w14:paraId="319DA13C" w14:textId="77777777" w:rsidTr="00DB1C33">
        <w:tc>
          <w:tcPr>
            <w:tcW w:w="3082" w:type="dxa"/>
            <w:tcBorders>
              <w:top w:val="single" w:sz="4" w:space="0" w:color="auto"/>
              <w:left w:val="single" w:sz="4" w:space="0" w:color="auto"/>
              <w:bottom w:val="single" w:sz="4" w:space="0" w:color="auto"/>
              <w:right w:val="single" w:sz="4" w:space="0" w:color="auto"/>
            </w:tcBorders>
            <w:hideMark/>
          </w:tcPr>
          <w:p w14:paraId="2D9896F8" w14:textId="77777777" w:rsidR="000F3608" w:rsidRPr="002274DC" w:rsidRDefault="000F3608" w:rsidP="000F3608">
            <w:pPr>
              <w:spacing w:line="240" w:lineRule="auto"/>
              <w:ind w:left="57"/>
              <w:rPr>
                <w:rFonts w:asciiTheme="majorBidi" w:hAnsiTheme="majorBidi" w:cstheme="majorBidi"/>
                <w:sz w:val="17"/>
                <w:szCs w:val="17"/>
                <w:lang w:eastAsia="zh-CN"/>
              </w:rPr>
            </w:pPr>
            <w:r w:rsidRPr="002274DC">
              <w:rPr>
                <w:rFonts w:asciiTheme="majorBidi" w:hAnsiTheme="majorBidi" w:cstheme="majorBidi"/>
                <w:sz w:val="17"/>
                <w:szCs w:val="17"/>
              </w:rPr>
              <w:t>**</w:t>
            </w:r>
            <w:r w:rsidRPr="002274DC">
              <w:rPr>
                <w:rFonts w:eastAsia="Calibri"/>
                <w:sz w:val="17"/>
                <w:szCs w:val="17"/>
              </w:rPr>
              <w:t xml:space="preserve"> Groupe d</w:t>
            </w:r>
            <w:r w:rsidR="00455787">
              <w:rPr>
                <w:rFonts w:eastAsia="Calibri"/>
                <w:sz w:val="17"/>
                <w:szCs w:val="17"/>
              </w:rPr>
              <w:t>’</w:t>
            </w:r>
            <w:r w:rsidRPr="002274DC">
              <w:rPr>
                <w:rFonts w:eastAsia="Calibri"/>
                <w:sz w:val="17"/>
                <w:szCs w:val="17"/>
              </w:rPr>
              <w:t>experts de la signalisation routière</w:t>
            </w:r>
          </w:p>
        </w:tc>
        <w:tc>
          <w:tcPr>
            <w:tcW w:w="3120" w:type="dxa"/>
            <w:tcBorders>
              <w:top w:val="single" w:sz="4" w:space="0" w:color="auto"/>
              <w:left w:val="single" w:sz="4" w:space="0" w:color="auto"/>
              <w:bottom w:val="single" w:sz="4" w:space="0" w:color="auto"/>
              <w:right w:val="single" w:sz="4" w:space="0" w:color="auto"/>
            </w:tcBorders>
            <w:hideMark/>
          </w:tcPr>
          <w:p w14:paraId="51E468FB" w14:textId="77777777" w:rsidR="000F3608" w:rsidRPr="002274DC" w:rsidRDefault="000F3608" w:rsidP="000F3608">
            <w:pPr>
              <w:spacing w:line="240" w:lineRule="auto"/>
              <w:ind w:left="57"/>
              <w:rPr>
                <w:rFonts w:asciiTheme="majorBidi" w:hAnsiTheme="majorBidi" w:cstheme="majorBidi"/>
                <w:sz w:val="17"/>
                <w:szCs w:val="17"/>
              </w:rPr>
            </w:pPr>
            <w:r w:rsidRPr="002274DC">
              <w:rPr>
                <w:rFonts w:asciiTheme="majorBidi" w:hAnsiTheme="majorBidi" w:cstheme="majorBidi"/>
                <w:sz w:val="17"/>
                <w:szCs w:val="17"/>
              </w:rPr>
              <w:t>Inclus dans le présent tableau sans préjudice de l</w:t>
            </w:r>
            <w:r w:rsidR="00455787">
              <w:rPr>
                <w:rFonts w:asciiTheme="majorBidi" w:hAnsiTheme="majorBidi" w:cstheme="majorBidi"/>
                <w:sz w:val="17"/>
                <w:szCs w:val="17"/>
              </w:rPr>
              <w:t>’</w:t>
            </w:r>
            <w:r w:rsidRPr="002274DC">
              <w:rPr>
                <w:rFonts w:asciiTheme="majorBidi" w:hAnsiTheme="majorBidi" w:cstheme="majorBidi"/>
                <w:sz w:val="17"/>
                <w:szCs w:val="17"/>
              </w:rPr>
              <w:t>approbation du CTI et du Comité exécutif et sous réserve de celle-ci</w:t>
            </w:r>
          </w:p>
          <w:p w14:paraId="429C4A90" w14:textId="77777777" w:rsidR="000F3608" w:rsidRPr="002274DC" w:rsidRDefault="000F3608" w:rsidP="000F3608">
            <w:pPr>
              <w:spacing w:line="240" w:lineRule="auto"/>
              <w:ind w:left="57"/>
              <w:rPr>
                <w:rFonts w:asciiTheme="majorBidi" w:hAnsiTheme="majorBidi" w:cstheme="majorBidi"/>
                <w:sz w:val="17"/>
                <w:szCs w:val="17"/>
              </w:rPr>
            </w:pPr>
            <w:r w:rsidRPr="002274DC">
              <w:rPr>
                <w:rFonts w:asciiTheme="majorBidi" w:hAnsiTheme="majorBidi" w:cstheme="majorBidi"/>
                <w:sz w:val="17"/>
                <w:szCs w:val="17"/>
              </w:rPr>
              <w:t xml:space="preserve">Mandat actuel : </w:t>
            </w:r>
          </w:p>
          <w:p w14:paraId="00E546F1" w14:textId="77777777" w:rsidR="000F3608" w:rsidRPr="002274DC" w:rsidRDefault="000F3608" w:rsidP="000F3608">
            <w:pPr>
              <w:spacing w:line="240" w:lineRule="auto"/>
              <w:ind w:left="57"/>
              <w:rPr>
                <w:rFonts w:asciiTheme="majorBidi" w:hAnsiTheme="majorBidi" w:cstheme="majorBidi"/>
                <w:sz w:val="17"/>
                <w:szCs w:val="17"/>
                <w:lang w:eastAsia="zh-CN"/>
              </w:rPr>
            </w:pPr>
            <w:r w:rsidRPr="002274DC">
              <w:rPr>
                <w:rFonts w:asciiTheme="majorBidi" w:hAnsiTheme="majorBidi" w:cstheme="majorBidi"/>
                <w:sz w:val="17"/>
                <w:szCs w:val="17"/>
              </w:rPr>
              <w:t>ECE/TRANS/294, par. 55 ;</w:t>
            </w:r>
            <w:r w:rsidRPr="002274DC">
              <w:rPr>
                <w:rFonts w:asciiTheme="majorBidi" w:hAnsiTheme="majorBidi" w:cstheme="majorBidi"/>
                <w:sz w:val="17"/>
                <w:szCs w:val="17"/>
              </w:rPr>
              <w:br/>
              <w:t xml:space="preserve">ECE/EX/2020/L.2 </w:t>
            </w:r>
          </w:p>
        </w:tc>
        <w:tc>
          <w:tcPr>
            <w:tcW w:w="2814" w:type="dxa"/>
            <w:tcBorders>
              <w:top w:val="single" w:sz="4" w:space="0" w:color="auto"/>
              <w:left w:val="single" w:sz="4" w:space="0" w:color="auto"/>
              <w:bottom w:val="single" w:sz="4" w:space="0" w:color="auto"/>
              <w:right w:val="single" w:sz="4" w:space="0" w:color="auto"/>
            </w:tcBorders>
            <w:hideMark/>
          </w:tcPr>
          <w:p w14:paraId="76DF29BE" w14:textId="77777777" w:rsidR="000F3608" w:rsidRPr="002274DC" w:rsidRDefault="000F3608" w:rsidP="000F3608">
            <w:pPr>
              <w:spacing w:line="240" w:lineRule="auto"/>
              <w:ind w:left="57"/>
              <w:rPr>
                <w:rFonts w:asciiTheme="majorBidi" w:hAnsiTheme="majorBidi" w:cstheme="majorBidi"/>
                <w:sz w:val="17"/>
                <w:szCs w:val="17"/>
              </w:rPr>
            </w:pPr>
            <w:r w:rsidRPr="002274DC">
              <w:rPr>
                <w:rFonts w:asciiTheme="majorBidi" w:hAnsiTheme="majorBidi" w:cstheme="majorBidi"/>
                <w:sz w:val="17"/>
                <w:szCs w:val="17"/>
              </w:rPr>
              <w:t xml:space="preserve">Actuelle : 2020 </w:t>
            </w:r>
          </w:p>
          <w:p w14:paraId="6A5165F1" w14:textId="77777777" w:rsidR="000F3608" w:rsidRDefault="000F3608" w:rsidP="000F3608">
            <w:pPr>
              <w:spacing w:line="240" w:lineRule="auto"/>
              <w:ind w:left="57"/>
              <w:rPr>
                <w:rFonts w:asciiTheme="majorBidi" w:hAnsiTheme="majorBidi" w:cstheme="majorBidi"/>
                <w:sz w:val="17"/>
                <w:szCs w:val="17"/>
              </w:rPr>
            </w:pPr>
            <w:r w:rsidRPr="002274DC">
              <w:rPr>
                <w:rFonts w:asciiTheme="majorBidi" w:hAnsiTheme="majorBidi" w:cstheme="majorBidi"/>
                <w:sz w:val="17"/>
                <w:szCs w:val="17"/>
              </w:rPr>
              <w:t>[</w:t>
            </w:r>
            <w:r w:rsidRPr="002274DC">
              <w:rPr>
                <w:rFonts w:asciiTheme="majorBidi" w:hAnsiTheme="majorBidi" w:cstheme="majorBidi"/>
                <w:i/>
                <w:iCs/>
                <w:sz w:val="17"/>
                <w:szCs w:val="17"/>
              </w:rPr>
              <w:t>Sous réserve d</w:t>
            </w:r>
            <w:r w:rsidR="00455787">
              <w:rPr>
                <w:rFonts w:asciiTheme="majorBidi" w:hAnsiTheme="majorBidi" w:cstheme="majorBidi"/>
                <w:i/>
                <w:iCs/>
                <w:sz w:val="17"/>
                <w:szCs w:val="17"/>
              </w:rPr>
              <w:t>’</w:t>
            </w:r>
            <w:r w:rsidRPr="002274DC">
              <w:rPr>
                <w:rFonts w:asciiTheme="majorBidi" w:hAnsiTheme="majorBidi" w:cstheme="majorBidi"/>
                <w:i/>
                <w:iCs/>
                <w:sz w:val="17"/>
                <w:szCs w:val="17"/>
              </w:rPr>
              <w:t>approbation</w:t>
            </w:r>
            <w:r w:rsidRPr="002274DC">
              <w:rPr>
                <w:rFonts w:asciiTheme="majorBidi" w:hAnsiTheme="majorBidi" w:cstheme="majorBidi"/>
                <w:sz w:val="17"/>
                <w:szCs w:val="17"/>
              </w:rPr>
              <w:t>]</w:t>
            </w:r>
          </w:p>
          <w:p w14:paraId="4FC0C6F6" w14:textId="77777777" w:rsidR="000F3608" w:rsidRPr="002274DC" w:rsidRDefault="000F3608" w:rsidP="000F3608">
            <w:pPr>
              <w:spacing w:line="240" w:lineRule="auto"/>
              <w:ind w:left="57"/>
              <w:rPr>
                <w:rFonts w:asciiTheme="majorBidi" w:hAnsiTheme="majorBidi" w:cstheme="majorBidi"/>
                <w:sz w:val="17"/>
                <w:szCs w:val="17"/>
                <w:lang w:eastAsia="zh-CN"/>
              </w:rPr>
            </w:pPr>
            <w:r w:rsidRPr="002274DC">
              <w:rPr>
                <w:rFonts w:asciiTheme="majorBidi" w:hAnsiTheme="majorBidi" w:cstheme="majorBidi"/>
                <w:sz w:val="17"/>
                <w:szCs w:val="17"/>
              </w:rPr>
              <w:t xml:space="preserve">Extension : </w:t>
            </w:r>
            <w:r w:rsidRPr="002274DC">
              <w:rPr>
                <w:rFonts w:asciiTheme="majorBidi" w:hAnsiTheme="majorBidi" w:cstheme="majorBidi"/>
                <w:color w:val="FF0000"/>
                <w:sz w:val="17"/>
                <w:szCs w:val="17"/>
              </w:rPr>
              <w:t>2021</w:t>
            </w:r>
            <w:r>
              <w:rPr>
                <w:rFonts w:asciiTheme="majorBidi" w:hAnsiTheme="majorBidi" w:cstheme="majorBidi"/>
                <w:color w:val="FF0000"/>
                <w:sz w:val="17"/>
                <w:szCs w:val="17"/>
              </w:rPr>
              <w:t>-</w:t>
            </w:r>
            <w:r w:rsidRPr="002274DC">
              <w:rPr>
                <w:rFonts w:asciiTheme="majorBidi" w:hAnsiTheme="majorBidi" w:cstheme="majorBidi"/>
                <w:color w:val="FF0000"/>
                <w:sz w:val="17"/>
                <w:szCs w:val="17"/>
              </w:rPr>
              <w:t>2022</w:t>
            </w:r>
          </w:p>
        </w:tc>
      </w:tr>
      <w:tr w:rsidR="000F3608" w:rsidRPr="00860746" w14:paraId="2FB631FA" w14:textId="77777777" w:rsidTr="00DB1C33">
        <w:tc>
          <w:tcPr>
            <w:tcW w:w="3082" w:type="dxa"/>
            <w:tcBorders>
              <w:top w:val="single" w:sz="4" w:space="0" w:color="auto"/>
              <w:left w:val="single" w:sz="4" w:space="0" w:color="auto"/>
              <w:bottom w:val="single" w:sz="4" w:space="0" w:color="auto"/>
              <w:right w:val="single" w:sz="4" w:space="0" w:color="auto"/>
            </w:tcBorders>
            <w:hideMark/>
          </w:tcPr>
          <w:p w14:paraId="073F5AC9" w14:textId="77777777" w:rsidR="000F3608" w:rsidRPr="002274DC" w:rsidRDefault="000F3608" w:rsidP="000F3608">
            <w:pPr>
              <w:spacing w:line="240" w:lineRule="auto"/>
              <w:ind w:left="57"/>
              <w:rPr>
                <w:rFonts w:asciiTheme="majorBidi" w:hAnsiTheme="majorBidi" w:cstheme="majorBidi"/>
                <w:sz w:val="17"/>
                <w:szCs w:val="17"/>
                <w:lang w:eastAsia="zh-CN"/>
              </w:rPr>
            </w:pPr>
            <w:r w:rsidRPr="002274DC">
              <w:rPr>
                <w:rFonts w:asciiTheme="majorBidi" w:hAnsiTheme="majorBidi" w:cstheme="majorBidi"/>
                <w:sz w:val="17"/>
                <w:szCs w:val="17"/>
              </w:rPr>
              <w:t>***</w:t>
            </w:r>
            <w:r w:rsidRPr="002274DC">
              <w:rPr>
                <w:rFonts w:eastAsia="Calibri"/>
                <w:sz w:val="17"/>
                <w:szCs w:val="17"/>
              </w:rPr>
              <w:t xml:space="preserve"> Groupe d</w:t>
            </w:r>
            <w:r w:rsidR="00455787">
              <w:rPr>
                <w:rFonts w:eastAsia="Calibri"/>
                <w:sz w:val="17"/>
                <w:szCs w:val="17"/>
              </w:rPr>
              <w:t>’</w:t>
            </w:r>
            <w:r w:rsidRPr="002274DC">
              <w:rPr>
                <w:rFonts w:eastAsia="Calibri"/>
                <w:sz w:val="17"/>
                <w:szCs w:val="17"/>
              </w:rPr>
              <w:t>experts chargé de l</w:t>
            </w:r>
            <w:r w:rsidR="00455787">
              <w:rPr>
                <w:rFonts w:eastAsia="Calibri"/>
                <w:sz w:val="17"/>
                <w:szCs w:val="17"/>
              </w:rPr>
              <w:t>’</w:t>
            </w:r>
            <w:r w:rsidRPr="002274DC">
              <w:rPr>
                <w:rFonts w:eastAsia="Calibri"/>
                <w:sz w:val="17"/>
                <w:szCs w:val="17"/>
              </w:rPr>
              <w:t>élaboration d</w:t>
            </w:r>
            <w:r w:rsidR="00455787">
              <w:rPr>
                <w:rFonts w:eastAsia="Calibri"/>
                <w:sz w:val="17"/>
                <w:szCs w:val="17"/>
              </w:rPr>
              <w:t>’</w:t>
            </w:r>
            <w:r w:rsidRPr="002274DC">
              <w:rPr>
                <w:rFonts w:eastAsia="Calibri"/>
                <w:sz w:val="17"/>
                <w:szCs w:val="17"/>
              </w:rPr>
              <w:t xml:space="preserve">un nouvel instrument juridique sur les véhicules automatisés </w:t>
            </w:r>
            <w:r w:rsidR="00297DAE">
              <w:rPr>
                <w:rFonts w:eastAsia="Calibri"/>
                <w:sz w:val="17"/>
                <w:szCs w:val="17"/>
              </w:rPr>
              <w:br/>
            </w:r>
            <w:r w:rsidRPr="002274DC">
              <w:rPr>
                <w:rFonts w:eastAsia="Calibri"/>
                <w:sz w:val="17"/>
                <w:szCs w:val="17"/>
              </w:rPr>
              <w:t>dans la circulation</w:t>
            </w:r>
          </w:p>
        </w:tc>
        <w:tc>
          <w:tcPr>
            <w:tcW w:w="3120" w:type="dxa"/>
            <w:tcBorders>
              <w:top w:val="single" w:sz="4" w:space="0" w:color="auto"/>
              <w:left w:val="single" w:sz="4" w:space="0" w:color="auto"/>
              <w:bottom w:val="single" w:sz="4" w:space="0" w:color="auto"/>
              <w:right w:val="single" w:sz="4" w:space="0" w:color="auto"/>
            </w:tcBorders>
            <w:hideMark/>
          </w:tcPr>
          <w:p w14:paraId="248A7849" w14:textId="77777777" w:rsidR="000F3608" w:rsidRPr="002274DC" w:rsidRDefault="000F3608" w:rsidP="000F3608">
            <w:pPr>
              <w:spacing w:line="240" w:lineRule="auto"/>
              <w:ind w:left="57"/>
              <w:rPr>
                <w:rFonts w:asciiTheme="majorBidi" w:hAnsiTheme="majorBidi" w:cstheme="majorBidi"/>
                <w:sz w:val="17"/>
                <w:szCs w:val="17"/>
              </w:rPr>
            </w:pPr>
            <w:r w:rsidRPr="002274DC">
              <w:rPr>
                <w:rFonts w:asciiTheme="majorBidi" w:hAnsiTheme="majorBidi" w:cstheme="majorBidi"/>
                <w:sz w:val="17"/>
                <w:szCs w:val="17"/>
              </w:rPr>
              <w:t>Inclus dans le présent tableau sans préjudice de l</w:t>
            </w:r>
            <w:r w:rsidR="00455787">
              <w:rPr>
                <w:rFonts w:asciiTheme="majorBidi" w:hAnsiTheme="majorBidi" w:cstheme="majorBidi"/>
                <w:sz w:val="17"/>
                <w:szCs w:val="17"/>
              </w:rPr>
              <w:t>’</w:t>
            </w:r>
            <w:r w:rsidRPr="002274DC">
              <w:rPr>
                <w:rFonts w:asciiTheme="majorBidi" w:hAnsiTheme="majorBidi" w:cstheme="majorBidi"/>
                <w:sz w:val="17"/>
                <w:szCs w:val="17"/>
              </w:rPr>
              <w:t xml:space="preserve">approbation du CTI ou de son Bureau </w:t>
            </w:r>
            <w:r w:rsidR="00297DAE">
              <w:rPr>
                <w:rFonts w:asciiTheme="majorBidi" w:hAnsiTheme="majorBidi" w:cstheme="majorBidi"/>
                <w:sz w:val="17"/>
                <w:szCs w:val="17"/>
              </w:rPr>
              <w:br/>
            </w:r>
            <w:r w:rsidRPr="002274DC">
              <w:rPr>
                <w:rFonts w:asciiTheme="majorBidi" w:hAnsiTheme="majorBidi" w:cstheme="majorBidi"/>
                <w:sz w:val="17"/>
                <w:szCs w:val="17"/>
              </w:rPr>
              <w:t>et du Comité exécutif et sous réserve de</w:t>
            </w:r>
            <w:r w:rsidR="00297DAE">
              <w:rPr>
                <w:rFonts w:asciiTheme="majorBidi" w:hAnsiTheme="majorBidi" w:cstheme="majorBidi"/>
                <w:sz w:val="17"/>
                <w:szCs w:val="17"/>
              </w:rPr>
              <w:t> </w:t>
            </w:r>
            <w:r w:rsidRPr="002274DC">
              <w:rPr>
                <w:rFonts w:asciiTheme="majorBidi" w:hAnsiTheme="majorBidi" w:cstheme="majorBidi"/>
                <w:sz w:val="17"/>
                <w:szCs w:val="17"/>
              </w:rPr>
              <w:t>celle-ci</w:t>
            </w:r>
          </w:p>
          <w:p w14:paraId="6F3542E3" w14:textId="77777777" w:rsidR="000F3608" w:rsidRPr="002274DC" w:rsidRDefault="000F3608" w:rsidP="000F3608">
            <w:pPr>
              <w:spacing w:line="240" w:lineRule="auto"/>
              <w:ind w:left="57"/>
              <w:rPr>
                <w:rFonts w:asciiTheme="majorBidi" w:hAnsiTheme="majorBidi" w:cstheme="majorBidi"/>
                <w:sz w:val="17"/>
                <w:szCs w:val="17"/>
              </w:rPr>
            </w:pPr>
            <w:r w:rsidRPr="002274DC">
              <w:rPr>
                <w:rFonts w:asciiTheme="majorBidi" w:hAnsiTheme="majorBidi" w:cstheme="majorBidi"/>
                <w:sz w:val="17"/>
                <w:szCs w:val="17"/>
              </w:rPr>
              <w:t xml:space="preserve">Décisions de référence : </w:t>
            </w:r>
          </w:p>
          <w:p w14:paraId="6953EB69" w14:textId="77777777" w:rsidR="000F3608" w:rsidRPr="002274DC" w:rsidRDefault="000F3608" w:rsidP="000F3608">
            <w:pPr>
              <w:spacing w:line="240" w:lineRule="auto"/>
              <w:ind w:left="57"/>
              <w:rPr>
                <w:rFonts w:asciiTheme="majorBidi" w:hAnsiTheme="majorBidi" w:cstheme="majorBidi"/>
                <w:sz w:val="17"/>
                <w:szCs w:val="17"/>
                <w:lang w:eastAsia="zh-CN"/>
              </w:rPr>
            </w:pPr>
            <w:r w:rsidRPr="002274DC">
              <w:rPr>
                <w:rFonts w:asciiTheme="majorBidi" w:hAnsiTheme="majorBidi" w:cstheme="majorBidi"/>
                <w:sz w:val="17"/>
                <w:szCs w:val="17"/>
              </w:rPr>
              <w:t>ECE/TRANS/294, par. 54</w:t>
            </w:r>
          </w:p>
        </w:tc>
        <w:tc>
          <w:tcPr>
            <w:tcW w:w="2814" w:type="dxa"/>
            <w:tcBorders>
              <w:top w:val="single" w:sz="4" w:space="0" w:color="auto"/>
              <w:left w:val="single" w:sz="4" w:space="0" w:color="auto"/>
              <w:bottom w:val="single" w:sz="4" w:space="0" w:color="auto"/>
              <w:right w:val="single" w:sz="4" w:space="0" w:color="auto"/>
            </w:tcBorders>
            <w:hideMark/>
          </w:tcPr>
          <w:p w14:paraId="537AF92E" w14:textId="77777777" w:rsidR="000F3608" w:rsidRPr="002274DC" w:rsidRDefault="000F3608" w:rsidP="000F3608">
            <w:pPr>
              <w:spacing w:line="240" w:lineRule="auto"/>
              <w:ind w:left="57"/>
              <w:rPr>
                <w:rFonts w:asciiTheme="majorBidi" w:hAnsiTheme="majorBidi" w:cstheme="majorBidi"/>
                <w:sz w:val="17"/>
                <w:szCs w:val="17"/>
                <w:lang w:eastAsia="zh-CN"/>
              </w:rPr>
            </w:pPr>
            <w:r w:rsidRPr="002274DC">
              <w:rPr>
                <w:rFonts w:asciiTheme="majorBidi" w:hAnsiTheme="majorBidi" w:cstheme="majorBidi"/>
                <w:sz w:val="17"/>
                <w:szCs w:val="17"/>
              </w:rPr>
              <w:t>[</w:t>
            </w:r>
            <w:r w:rsidRPr="002274DC">
              <w:rPr>
                <w:rFonts w:asciiTheme="majorBidi" w:hAnsiTheme="majorBidi" w:cstheme="majorBidi"/>
                <w:i/>
                <w:iCs/>
                <w:sz w:val="17"/>
                <w:szCs w:val="17"/>
              </w:rPr>
              <w:t>Sous réserve d</w:t>
            </w:r>
            <w:r w:rsidR="00455787">
              <w:rPr>
                <w:rFonts w:asciiTheme="majorBidi" w:hAnsiTheme="majorBidi" w:cstheme="majorBidi"/>
                <w:i/>
                <w:iCs/>
                <w:sz w:val="17"/>
                <w:szCs w:val="17"/>
              </w:rPr>
              <w:t>’</w:t>
            </w:r>
            <w:r w:rsidRPr="002274DC">
              <w:rPr>
                <w:rFonts w:asciiTheme="majorBidi" w:hAnsiTheme="majorBidi" w:cstheme="majorBidi"/>
                <w:i/>
                <w:iCs/>
                <w:sz w:val="17"/>
                <w:szCs w:val="17"/>
              </w:rPr>
              <w:t>approbation</w:t>
            </w:r>
            <w:r w:rsidRPr="002274DC">
              <w:rPr>
                <w:rFonts w:asciiTheme="majorBidi" w:hAnsiTheme="majorBidi" w:cstheme="majorBidi"/>
                <w:sz w:val="17"/>
                <w:szCs w:val="17"/>
              </w:rPr>
              <w:t>] juillet 2021-juillet 2023</w:t>
            </w:r>
          </w:p>
        </w:tc>
      </w:tr>
      <w:tr w:rsidR="000F3608" w:rsidRPr="00860746" w14:paraId="4C7F8CD1" w14:textId="77777777" w:rsidTr="00DB1C33">
        <w:tc>
          <w:tcPr>
            <w:tcW w:w="3082" w:type="dxa"/>
            <w:tcBorders>
              <w:top w:val="single" w:sz="4" w:space="0" w:color="auto"/>
              <w:left w:val="single" w:sz="4" w:space="0" w:color="auto"/>
              <w:bottom w:val="single" w:sz="4" w:space="0" w:color="auto"/>
              <w:right w:val="single" w:sz="4" w:space="0" w:color="auto"/>
            </w:tcBorders>
            <w:hideMark/>
          </w:tcPr>
          <w:p w14:paraId="7BA81C9B" w14:textId="77777777" w:rsidR="000F3608" w:rsidRPr="002274DC" w:rsidRDefault="000F3608" w:rsidP="000F3608">
            <w:pPr>
              <w:spacing w:line="240" w:lineRule="auto"/>
              <w:ind w:left="57"/>
              <w:rPr>
                <w:rFonts w:asciiTheme="majorBidi" w:hAnsiTheme="majorBidi" w:cstheme="majorBidi"/>
                <w:sz w:val="17"/>
                <w:szCs w:val="17"/>
                <w:lang w:eastAsia="zh-CN"/>
              </w:rPr>
            </w:pPr>
            <w:r w:rsidRPr="002274DC">
              <w:rPr>
                <w:rFonts w:asciiTheme="majorBidi" w:hAnsiTheme="majorBidi" w:cstheme="majorBidi"/>
                <w:sz w:val="17"/>
                <w:szCs w:val="17"/>
              </w:rPr>
              <w:lastRenderedPageBreak/>
              <w:t>****</w:t>
            </w:r>
            <w:r w:rsidRPr="002274DC">
              <w:rPr>
                <w:rFonts w:eastAsia="Calibri"/>
                <w:sz w:val="17"/>
                <w:szCs w:val="17"/>
              </w:rPr>
              <w:t xml:space="preserve"> Groupe d</w:t>
            </w:r>
            <w:r w:rsidR="00455787">
              <w:rPr>
                <w:rFonts w:eastAsia="Calibri"/>
                <w:sz w:val="17"/>
                <w:szCs w:val="17"/>
              </w:rPr>
              <w:t>’</w:t>
            </w:r>
            <w:r w:rsidRPr="002274DC">
              <w:rPr>
                <w:rFonts w:eastAsia="Calibri"/>
                <w:sz w:val="17"/>
                <w:szCs w:val="17"/>
              </w:rPr>
              <w:t>experts de l</w:t>
            </w:r>
            <w:r w:rsidR="00455787">
              <w:rPr>
                <w:rFonts w:eastAsia="Calibri"/>
                <w:sz w:val="17"/>
                <w:szCs w:val="17"/>
              </w:rPr>
              <w:t>’</w:t>
            </w:r>
            <w:r w:rsidRPr="002274DC">
              <w:rPr>
                <w:rFonts w:eastAsia="Calibri"/>
                <w:sz w:val="17"/>
                <w:szCs w:val="17"/>
              </w:rPr>
              <w:t>évaluation comparative des coûts de construction des infrastructures de transport</w:t>
            </w:r>
          </w:p>
        </w:tc>
        <w:tc>
          <w:tcPr>
            <w:tcW w:w="3120" w:type="dxa"/>
            <w:tcBorders>
              <w:top w:val="single" w:sz="4" w:space="0" w:color="auto"/>
              <w:left w:val="single" w:sz="4" w:space="0" w:color="auto"/>
              <w:bottom w:val="single" w:sz="4" w:space="0" w:color="auto"/>
              <w:right w:val="single" w:sz="4" w:space="0" w:color="auto"/>
            </w:tcBorders>
          </w:tcPr>
          <w:p w14:paraId="7B5E6FE0" w14:textId="77777777" w:rsidR="000F3608" w:rsidRPr="002274DC" w:rsidRDefault="000F3608" w:rsidP="000F3608">
            <w:pPr>
              <w:spacing w:line="240" w:lineRule="auto"/>
              <w:ind w:left="57"/>
              <w:rPr>
                <w:rFonts w:asciiTheme="majorBidi" w:hAnsiTheme="majorBidi" w:cstheme="majorBidi"/>
                <w:sz w:val="17"/>
                <w:szCs w:val="17"/>
              </w:rPr>
            </w:pPr>
            <w:r w:rsidRPr="002274DC">
              <w:rPr>
                <w:rFonts w:asciiTheme="majorBidi" w:hAnsiTheme="majorBidi" w:cstheme="majorBidi"/>
                <w:sz w:val="17"/>
                <w:szCs w:val="17"/>
              </w:rPr>
              <w:t>Inclus dans le présent tableau sans préjudice de l</w:t>
            </w:r>
            <w:r w:rsidR="00455787">
              <w:rPr>
                <w:rFonts w:asciiTheme="majorBidi" w:hAnsiTheme="majorBidi" w:cstheme="majorBidi"/>
                <w:sz w:val="17"/>
                <w:szCs w:val="17"/>
              </w:rPr>
              <w:t>’</w:t>
            </w:r>
            <w:r w:rsidRPr="002274DC">
              <w:rPr>
                <w:rFonts w:asciiTheme="majorBidi" w:hAnsiTheme="majorBidi" w:cstheme="majorBidi"/>
                <w:sz w:val="17"/>
                <w:szCs w:val="17"/>
              </w:rPr>
              <w:t>approbation du CTI</w:t>
            </w:r>
            <w:bookmarkStart w:id="1" w:name="_GoBack"/>
            <w:bookmarkEnd w:id="1"/>
            <w:r w:rsidRPr="002274DC">
              <w:rPr>
                <w:rFonts w:asciiTheme="majorBidi" w:hAnsiTheme="majorBidi" w:cstheme="majorBidi"/>
                <w:sz w:val="17"/>
                <w:szCs w:val="17"/>
              </w:rPr>
              <w:t xml:space="preserve"> et du Comité exécutif et sous réserve de celle-ci</w:t>
            </w:r>
          </w:p>
          <w:p w14:paraId="70F6D118" w14:textId="77777777" w:rsidR="000F3608" w:rsidRPr="002274DC" w:rsidRDefault="000F3608" w:rsidP="000F3608">
            <w:pPr>
              <w:spacing w:line="240" w:lineRule="auto"/>
              <w:ind w:left="57"/>
              <w:rPr>
                <w:rFonts w:asciiTheme="majorBidi" w:hAnsiTheme="majorBidi" w:cstheme="majorBidi"/>
                <w:sz w:val="17"/>
                <w:szCs w:val="17"/>
              </w:rPr>
            </w:pPr>
            <w:r w:rsidRPr="002274DC">
              <w:rPr>
                <w:rFonts w:asciiTheme="majorBidi" w:hAnsiTheme="majorBidi" w:cstheme="majorBidi"/>
                <w:sz w:val="17"/>
                <w:szCs w:val="17"/>
              </w:rPr>
              <w:t>Mandat actuel :</w:t>
            </w:r>
          </w:p>
          <w:p w14:paraId="47C07523" w14:textId="77777777" w:rsidR="000F3608" w:rsidRPr="002274DC" w:rsidRDefault="000F3608" w:rsidP="000F3608">
            <w:pPr>
              <w:spacing w:line="240" w:lineRule="auto"/>
              <w:ind w:left="57"/>
              <w:rPr>
                <w:rFonts w:asciiTheme="majorBidi" w:hAnsiTheme="majorBidi" w:cstheme="majorBidi"/>
                <w:sz w:val="17"/>
                <w:szCs w:val="17"/>
              </w:rPr>
            </w:pPr>
            <w:r w:rsidRPr="002274DC">
              <w:rPr>
                <w:rFonts w:asciiTheme="majorBidi" w:hAnsiTheme="majorBidi" w:cstheme="majorBidi"/>
                <w:sz w:val="17"/>
                <w:szCs w:val="17"/>
              </w:rPr>
              <w:t>ECE/TRANS/288, par. 23</w:t>
            </w:r>
          </w:p>
          <w:p w14:paraId="3D5A9D73" w14:textId="77777777" w:rsidR="000F3608" w:rsidRPr="002274DC" w:rsidRDefault="000F3608" w:rsidP="000F3608">
            <w:pPr>
              <w:spacing w:line="240" w:lineRule="auto"/>
              <w:ind w:left="57"/>
              <w:rPr>
                <w:rFonts w:asciiTheme="majorBidi" w:hAnsiTheme="majorBidi" w:cstheme="majorBidi"/>
                <w:sz w:val="17"/>
                <w:szCs w:val="17"/>
              </w:rPr>
            </w:pPr>
            <w:r w:rsidRPr="002274DC">
              <w:rPr>
                <w:rFonts w:asciiTheme="majorBidi" w:hAnsiTheme="majorBidi" w:cstheme="majorBidi"/>
                <w:sz w:val="17"/>
                <w:szCs w:val="17"/>
              </w:rPr>
              <w:t>ECE/EX/2019/L.4</w:t>
            </w:r>
          </w:p>
        </w:tc>
        <w:tc>
          <w:tcPr>
            <w:tcW w:w="2814" w:type="dxa"/>
            <w:tcBorders>
              <w:top w:val="single" w:sz="4" w:space="0" w:color="auto"/>
              <w:left w:val="single" w:sz="4" w:space="0" w:color="auto"/>
              <w:bottom w:val="single" w:sz="4" w:space="0" w:color="auto"/>
              <w:right w:val="single" w:sz="4" w:space="0" w:color="auto"/>
            </w:tcBorders>
            <w:hideMark/>
          </w:tcPr>
          <w:p w14:paraId="58572788" w14:textId="77777777" w:rsidR="000F3608" w:rsidRPr="002274DC" w:rsidRDefault="000F3608" w:rsidP="000F3608">
            <w:pPr>
              <w:spacing w:line="240" w:lineRule="auto"/>
              <w:ind w:left="57"/>
              <w:rPr>
                <w:rFonts w:asciiTheme="majorBidi" w:hAnsiTheme="majorBidi" w:cstheme="majorBidi"/>
                <w:sz w:val="17"/>
                <w:szCs w:val="17"/>
              </w:rPr>
            </w:pPr>
            <w:r w:rsidRPr="002274DC">
              <w:rPr>
                <w:rFonts w:asciiTheme="majorBidi" w:hAnsiTheme="majorBidi" w:cstheme="majorBidi"/>
                <w:sz w:val="17"/>
                <w:szCs w:val="17"/>
              </w:rPr>
              <w:t>Actuelle : 2020</w:t>
            </w:r>
          </w:p>
          <w:p w14:paraId="229475AF" w14:textId="77777777" w:rsidR="000F3608" w:rsidRDefault="000F3608" w:rsidP="000F3608">
            <w:pPr>
              <w:spacing w:line="240" w:lineRule="auto"/>
              <w:ind w:left="57"/>
              <w:rPr>
                <w:rFonts w:asciiTheme="majorBidi" w:hAnsiTheme="majorBidi" w:cstheme="majorBidi"/>
                <w:sz w:val="17"/>
                <w:szCs w:val="17"/>
              </w:rPr>
            </w:pPr>
            <w:r w:rsidRPr="002274DC">
              <w:rPr>
                <w:rFonts w:asciiTheme="majorBidi" w:hAnsiTheme="majorBidi" w:cstheme="majorBidi"/>
                <w:sz w:val="17"/>
                <w:szCs w:val="17"/>
              </w:rPr>
              <w:t>[</w:t>
            </w:r>
            <w:r w:rsidRPr="002274DC">
              <w:rPr>
                <w:rFonts w:asciiTheme="majorBidi" w:hAnsiTheme="majorBidi" w:cstheme="majorBidi"/>
                <w:i/>
                <w:iCs/>
                <w:sz w:val="17"/>
                <w:szCs w:val="17"/>
              </w:rPr>
              <w:t>Sous réserve d</w:t>
            </w:r>
            <w:r w:rsidR="00455787">
              <w:rPr>
                <w:rFonts w:asciiTheme="majorBidi" w:hAnsiTheme="majorBidi" w:cstheme="majorBidi"/>
                <w:i/>
                <w:iCs/>
                <w:sz w:val="17"/>
                <w:szCs w:val="17"/>
              </w:rPr>
              <w:t>’</w:t>
            </w:r>
            <w:r w:rsidRPr="002274DC">
              <w:rPr>
                <w:rFonts w:asciiTheme="majorBidi" w:hAnsiTheme="majorBidi" w:cstheme="majorBidi"/>
                <w:i/>
                <w:iCs/>
                <w:sz w:val="17"/>
                <w:szCs w:val="17"/>
              </w:rPr>
              <w:t>approbation</w:t>
            </w:r>
            <w:r w:rsidRPr="002274DC">
              <w:rPr>
                <w:rFonts w:asciiTheme="majorBidi" w:hAnsiTheme="majorBidi" w:cstheme="majorBidi"/>
                <w:sz w:val="17"/>
                <w:szCs w:val="17"/>
              </w:rPr>
              <w:t>]</w:t>
            </w:r>
          </w:p>
          <w:p w14:paraId="347375EB" w14:textId="77777777" w:rsidR="000F3608" w:rsidRPr="002274DC" w:rsidRDefault="000F3608" w:rsidP="000F3608">
            <w:pPr>
              <w:spacing w:line="240" w:lineRule="auto"/>
              <w:ind w:left="57"/>
              <w:rPr>
                <w:rFonts w:asciiTheme="majorBidi" w:hAnsiTheme="majorBidi" w:cstheme="majorBidi"/>
                <w:sz w:val="17"/>
                <w:szCs w:val="17"/>
                <w:lang w:eastAsia="zh-CN"/>
              </w:rPr>
            </w:pPr>
            <w:r w:rsidRPr="002274DC">
              <w:rPr>
                <w:rFonts w:asciiTheme="majorBidi" w:hAnsiTheme="majorBidi" w:cstheme="majorBidi"/>
                <w:sz w:val="17"/>
                <w:szCs w:val="17"/>
              </w:rPr>
              <w:t>Extension</w:t>
            </w:r>
            <w:r>
              <w:rPr>
                <w:rFonts w:asciiTheme="majorBidi" w:hAnsiTheme="majorBidi" w:cstheme="majorBidi"/>
                <w:sz w:val="17"/>
                <w:szCs w:val="17"/>
              </w:rPr>
              <w:t> </w:t>
            </w:r>
            <w:r w:rsidRPr="002274DC">
              <w:rPr>
                <w:rFonts w:asciiTheme="majorBidi" w:hAnsiTheme="majorBidi" w:cstheme="majorBidi"/>
                <w:sz w:val="17"/>
                <w:szCs w:val="17"/>
              </w:rPr>
              <w:t>: mars 2021-juin 2021</w:t>
            </w:r>
          </w:p>
        </w:tc>
      </w:tr>
      <w:tr w:rsidR="000F3608" w:rsidRPr="002274DC" w14:paraId="18C727BC" w14:textId="77777777" w:rsidTr="00DB1C33">
        <w:tc>
          <w:tcPr>
            <w:tcW w:w="3082" w:type="dxa"/>
            <w:tcBorders>
              <w:top w:val="single" w:sz="4" w:space="0" w:color="auto"/>
              <w:left w:val="single" w:sz="4" w:space="0" w:color="auto"/>
              <w:bottom w:val="single" w:sz="4" w:space="0" w:color="auto"/>
              <w:right w:val="single" w:sz="4" w:space="0" w:color="auto"/>
            </w:tcBorders>
          </w:tcPr>
          <w:p w14:paraId="5449FC99" w14:textId="77777777" w:rsidR="000F3608" w:rsidRPr="002274DC" w:rsidRDefault="000F3608" w:rsidP="000F3608">
            <w:pPr>
              <w:spacing w:line="240" w:lineRule="auto"/>
              <w:ind w:left="57"/>
              <w:rPr>
                <w:rFonts w:asciiTheme="majorBidi" w:hAnsiTheme="majorBidi" w:cstheme="majorBidi"/>
                <w:sz w:val="17"/>
                <w:szCs w:val="17"/>
              </w:rPr>
            </w:pPr>
            <w:r w:rsidRPr="002274DC">
              <w:rPr>
                <w:rFonts w:eastAsia="Calibri"/>
                <w:sz w:val="17"/>
                <w:szCs w:val="17"/>
              </w:rPr>
              <w:t>Groupe d</w:t>
            </w:r>
            <w:r w:rsidR="00455787">
              <w:rPr>
                <w:rFonts w:eastAsia="Calibri"/>
                <w:sz w:val="17"/>
                <w:szCs w:val="17"/>
              </w:rPr>
              <w:t>’</w:t>
            </w:r>
            <w:r w:rsidRPr="002274DC">
              <w:rPr>
                <w:rFonts w:eastAsia="Calibri"/>
                <w:sz w:val="17"/>
                <w:szCs w:val="17"/>
              </w:rPr>
              <w:t>experts des aspects théoriques et techniques de l</w:t>
            </w:r>
            <w:r w:rsidR="00455787">
              <w:rPr>
                <w:rFonts w:eastAsia="Calibri"/>
                <w:sz w:val="17"/>
                <w:szCs w:val="17"/>
              </w:rPr>
              <w:t>’</w:t>
            </w:r>
            <w:r w:rsidRPr="002274DC">
              <w:rPr>
                <w:rFonts w:eastAsia="Calibri"/>
                <w:sz w:val="17"/>
                <w:szCs w:val="17"/>
              </w:rPr>
              <w:t xml:space="preserve">informatisation </w:t>
            </w:r>
            <w:r w:rsidR="00297DAE">
              <w:rPr>
                <w:rFonts w:eastAsia="Calibri"/>
                <w:sz w:val="17"/>
                <w:szCs w:val="17"/>
              </w:rPr>
              <w:br/>
            </w:r>
            <w:r w:rsidRPr="002274DC">
              <w:rPr>
                <w:rFonts w:eastAsia="Calibri"/>
                <w:sz w:val="17"/>
                <w:szCs w:val="17"/>
              </w:rPr>
              <w:t>du régime TIR</w:t>
            </w:r>
          </w:p>
        </w:tc>
        <w:tc>
          <w:tcPr>
            <w:tcW w:w="3120" w:type="dxa"/>
            <w:tcBorders>
              <w:top w:val="single" w:sz="4" w:space="0" w:color="auto"/>
              <w:left w:val="single" w:sz="4" w:space="0" w:color="auto"/>
              <w:bottom w:val="single" w:sz="4" w:space="0" w:color="auto"/>
              <w:right w:val="single" w:sz="4" w:space="0" w:color="auto"/>
            </w:tcBorders>
          </w:tcPr>
          <w:p w14:paraId="356C6F25" w14:textId="77777777" w:rsidR="000F3608" w:rsidRPr="002274DC" w:rsidRDefault="000F3608" w:rsidP="000F3608">
            <w:pPr>
              <w:ind w:left="57"/>
              <w:rPr>
                <w:rFonts w:asciiTheme="majorBidi" w:hAnsiTheme="majorBidi" w:cstheme="majorBidi"/>
                <w:sz w:val="17"/>
                <w:szCs w:val="17"/>
              </w:rPr>
            </w:pPr>
            <w:r w:rsidRPr="002274DC">
              <w:rPr>
                <w:rFonts w:asciiTheme="majorBidi" w:hAnsiTheme="majorBidi" w:cstheme="majorBidi"/>
                <w:sz w:val="17"/>
                <w:szCs w:val="17"/>
              </w:rPr>
              <w:t>ECE/TRANS/294, par. 84</w:t>
            </w:r>
          </w:p>
          <w:p w14:paraId="1BF0B80F" w14:textId="77777777" w:rsidR="000F3608" w:rsidRPr="00297DAE" w:rsidRDefault="000F3608" w:rsidP="00297DAE">
            <w:pPr>
              <w:ind w:left="57"/>
              <w:rPr>
                <w:rFonts w:asciiTheme="majorBidi" w:eastAsia="Calibri" w:hAnsiTheme="majorBidi" w:cstheme="majorBidi"/>
                <w:sz w:val="17"/>
                <w:szCs w:val="17"/>
              </w:rPr>
            </w:pPr>
            <w:r w:rsidRPr="002274DC">
              <w:rPr>
                <w:rFonts w:asciiTheme="majorBidi" w:hAnsiTheme="majorBidi" w:cstheme="majorBidi"/>
                <w:sz w:val="17"/>
                <w:szCs w:val="17"/>
              </w:rPr>
              <w:t>ECE/EX/2020/L.2</w:t>
            </w:r>
          </w:p>
        </w:tc>
        <w:tc>
          <w:tcPr>
            <w:tcW w:w="2814" w:type="dxa"/>
            <w:tcBorders>
              <w:top w:val="single" w:sz="4" w:space="0" w:color="auto"/>
              <w:left w:val="single" w:sz="4" w:space="0" w:color="auto"/>
              <w:bottom w:val="single" w:sz="4" w:space="0" w:color="auto"/>
              <w:right w:val="single" w:sz="4" w:space="0" w:color="auto"/>
            </w:tcBorders>
          </w:tcPr>
          <w:p w14:paraId="7CD1D436" w14:textId="77777777" w:rsidR="000F3608" w:rsidRPr="002274DC" w:rsidRDefault="000F3608" w:rsidP="000F3608">
            <w:pPr>
              <w:spacing w:line="240" w:lineRule="auto"/>
              <w:ind w:left="57"/>
              <w:rPr>
                <w:rFonts w:asciiTheme="majorBidi" w:hAnsiTheme="majorBidi" w:cstheme="majorBidi"/>
                <w:sz w:val="17"/>
                <w:szCs w:val="17"/>
              </w:rPr>
            </w:pPr>
            <w:r w:rsidRPr="002274DC">
              <w:rPr>
                <w:rFonts w:asciiTheme="majorBidi" w:hAnsiTheme="majorBidi" w:cstheme="majorBidi"/>
                <w:sz w:val="17"/>
                <w:szCs w:val="17"/>
              </w:rPr>
              <w:t>2022</w:t>
            </w:r>
          </w:p>
        </w:tc>
      </w:tr>
      <w:tr w:rsidR="000F3608" w:rsidRPr="002274DC" w14:paraId="45A02B48" w14:textId="77777777" w:rsidTr="00DB1C33">
        <w:tc>
          <w:tcPr>
            <w:tcW w:w="3082" w:type="dxa"/>
            <w:tcBorders>
              <w:top w:val="single" w:sz="4" w:space="0" w:color="auto"/>
              <w:left w:val="single" w:sz="4" w:space="0" w:color="auto"/>
              <w:bottom w:val="single" w:sz="4" w:space="0" w:color="auto"/>
              <w:right w:val="single" w:sz="4" w:space="0" w:color="auto"/>
            </w:tcBorders>
            <w:hideMark/>
          </w:tcPr>
          <w:p w14:paraId="2B4C248D" w14:textId="77777777" w:rsidR="000F3608" w:rsidRPr="002274DC" w:rsidRDefault="000F3608" w:rsidP="000F3608">
            <w:pPr>
              <w:spacing w:line="240" w:lineRule="auto"/>
              <w:ind w:left="57"/>
              <w:rPr>
                <w:rFonts w:asciiTheme="majorBidi" w:hAnsiTheme="majorBidi" w:cstheme="majorBidi"/>
                <w:sz w:val="17"/>
                <w:szCs w:val="17"/>
                <w:lang w:eastAsia="zh-CN"/>
              </w:rPr>
            </w:pPr>
            <w:r w:rsidRPr="002274DC">
              <w:rPr>
                <w:rFonts w:eastAsia="Calibri"/>
                <w:sz w:val="17"/>
                <w:szCs w:val="17"/>
              </w:rPr>
              <w:t>Groupe d</w:t>
            </w:r>
            <w:r w:rsidR="00455787">
              <w:rPr>
                <w:rFonts w:eastAsia="Calibri"/>
                <w:sz w:val="17"/>
                <w:szCs w:val="17"/>
              </w:rPr>
              <w:t>’</w:t>
            </w:r>
            <w:r w:rsidRPr="002274DC">
              <w:rPr>
                <w:rFonts w:eastAsia="Calibri"/>
                <w:sz w:val="17"/>
                <w:szCs w:val="17"/>
              </w:rPr>
              <w:t>experts chargé d</w:t>
            </w:r>
            <w:r w:rsidR="00455787">
              <w:rPr>
                <w:rFonts w:eastAsia="Calibri"/>
                <w:sz w:val="17"/>
                <w:szCs w:val="17"/>
              </w:rPr>
              <w:t>’</w:t>
            </w:r>
            <w:r w:rsidRPr="002274DC">
              <w:rPr>
                <w:rFonts w:eastAsia="Calibri"/>
                <w:sz w:val="17"/>
                <w:szCs w:val="17"/>
              </w:rPr>
              <w:t>évaluer les effets des changements climatiques sur les transports intérieurs et l</w:t>
            </w:r>
            <w:r w:rsidR="00455787">
              <w:rPr>
                <w:rFonts w:eastAsia="Calibri"/>
                <w:sz w:val="17"/>
                <w:szCs w:val="17"/>
              </w:rPr>
              <w:t>’</w:t>
            </w:r>
            <w:r w:rsidRPr="002274DC">
              <w:rPr>
                <w:rFonts w:eastAsia="Calibri"/>
                <w:sz w:val="17"/>
                <w:szCs w:val="17"/>
              </w:rPr>
              <w:t xml:space="preserve">adaptation </w:t>
            </w:r>
            <w:r w:rsidR="00297DAE">
              <w:rPr>
                <w:rFonts w:eastAsia="Calibri"/>
                <w:sz w:val="17"/>
                <w:szCs w:val="17"/>
              </w:rPr>
              <w:br/>
            </w:r>
            <w:r w:rsidRPr="002274DC">
              <w:rPr>
                <w:rFonts w:eastAsia="Calibri"/>
                <w:sz w:val="17"/>
                <w:szCs w:val="17"/>
              </w:rPr>
              <w:t>à ces changements</w:t>
            </w:r>
          </w:p>
        </w:tc>
        <w:tc>
          <w:tcPr>
            <w:tcW w:w="3120" w:type="dxa"/>
            <w:tcBorders>
              <w:top w:val="single" w:sz="4" w:space="0" w:color="auto"/>
              <w:left w:val="single" w:sz="4" w:space="0" w:color="auto"/>
              <w:bottom w:val="single" w:sz="4" w:space="0" w:color="auto"/>
              <w:right w:val="single" w:sz="4" w:space="0" w:color="auto"/>
            </w:tcBorders>
          </w:tcPr>
          <w:p w14:paraId="2322F31E" w14:textId="77777777" w:rsidR="000F3608" w:rsidRPr="002274DC" w:rsidRDefault="000F3608" w:rsidP="000F3608">
            <w:pPr>
              <w:spacing w:line="240" w:lineRule="auto"/>
              <w:ind w:left="57"/>
              <w:rPr>
                <w:rFonts w:asciiTheme="majorBidi" w:hAnsiTheme="majorBidi" w:cstheme="majorBidi"/>
                <w:sz w:val="17"/>
                <w:szCs w:val="17"/>
              </w:rPr>
            </w:pPr>
            <w:r w:rsidRPr="002274DC">
              <w:rPr>
                <w:rFonts w:asciiTheme="majorBidi" w:hAnsiTheme="majorBidi" w:cstheme="majorBidi"/>
                <w:sz w:val="17"/>
                <w:szCs w:val="17"/>
              </w:rPr>
              <w:t>ECE/TRANS/294, par. 54</w:t>
            </w:r>
          </w:p>
          <w:p w14:paraId="0ED57ABA" w14:textId="77777777" w:rsidR="000F3608" w:rsidRPr="00297DAE" w:rsidRDefault="000F3608" w:rsidP="000F3608">
            <w:pPr>
              <w:spacing w:line="240" w:lineRule="auto"/>
              <w:ind w:left="57"/>
              <w:rPr>
                <w:rFonts w:asciiTheme="majorBidi" w:eastAsia="Calibri" w:hAnsiTheme="majorBidi" w:cstheme="majorBidi"/>
                <w:sz w:val="17"/>
                <w:szCs w:val="17"/>
              </w:rPr>
            </w:pPr>
            <w:r w:rsidRPr="002274DC">
              <w:rPr>
                <w:rFonts w:asciiTheme="majorBidi" w:hAnsiTheme="majorBidi" w:cstheme="majorBidi"/>
                <w:sz w:val="17"/>
                <w:szCs w:val="17"/>
              </w:rPr>
              <w:t>ECE/EX/2020/L.2</w:t>
            </w:r>
          </w:p>
        </w:tc>
        <w:tc>
          <w:tcPr>
            <w:tcW w:w="2814" w:type="dxa"/>
            <w:tcBorders>
              <w:top w:val="single" w:sz="4" w:space="0" w:color="auto"/>
              <w:left w:val="single" w:sz="4" w:space="0" w:color="auto"/>
              <w:bottom w:val="single" w:sz="4" w:space="0" w:color="auto"/>
              <w:right w:val="single" w:sz="4" w:space="0" w:color="auto"/>
            </w:tcBorders>
            <w:hideMark/>
          </w:tcPr>
          <w:p w14:paraId="2ED1E738" w14:textId="77777777" w:rsidR="000F3608" w:rsidRPr="002274DC" w:rsidRDefault="000F3608" w:rsidP="000F3608">
            <w:pPr>
              <w:spacing w:line="240" w:lineRule="auto"/>
              <w:ind w:left="57"/>
              <w:rPr>
                <w:rFonts w:asciiTheme="majorBidi" w:hAnsiTheme="majorBidi" w:cstheme="majorBidi"/>
                <w:sz w:val="17"/>
                <w:szCs w:val="17"/>
                <w:lang w:eastAsia="zh-CN"/>
              </w:rPr>
            </w:pPr>
            <w:r w:rsidRPr="002274DC">
              <w:rPr>
                <w:rFonts w:asciiTheme="majorBidi" w:eastAsia="Calibri" w:hAnsiTheme="majorBidi" w:cstheme="majorBidi"/>
                <w:sz w:val="17"/>
                <w:szCs w:val="17"/>
              </w:rPr>
              <w:t>2020-2025</w:t>
            </w:r>
          </w:p>
        </w:tc>
      </w:tr>
    </w:tbl>
    <w:p w14:paraId="2CA93E20" w14:textId="77777777" w:rsidR="00F9573C" w:rsidRPr="000F3608" w:rsidRDefault="000F3608" w:rsidP="000F3608">
      <w:pPr>
        <w:pStyle w:val="SingleTxtG"/>
        <w:spacing w:before="240" w:after="0"/>
        <w:jc w:val="center"/>
        <w:rPr>
          <w:u w:val="single"/>
        </w:rPr>
      </w:pPr>
      <w:r>
        <w:rPr>
          <w:u w:val="single"/>
        </w:rPr>
        <w:tab/>
      </w:r>
      <w:r>
        <w:rPr>
          <w:u w:val="single"/>
        </w:rPr>
        <w:tab/>
      </w:r>
      <w:r>
        <w:rPr>
          <w:u w:val="single"/>
        </w:rPr>
        <w:tab/>
      </w:r>
      <w:r>
        <w:rPr>
          <w:u w:val="single"/>
        </w:rPr>
        <w:tab/>
      </w:r>
    </w:p>
    <w:sectPr w:rsidR="00F9573C" w:rsidRPr="000F3608" w:rsidSect="004D6315">
      <w:headerReference w:type="even" r:id="rId68"/>
      <w:headerReference w:type="default" r:id="rId69"/>
      <w:footerReference w:type="even" r:id="rId70"/>
      <w:footerReference w:type="default" r:id="rId71"/>
      <w:footerReference w:type="first" r:id="rId7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FB58D" w14:textId="77777777" w:rsidR="00AF5984" w:rsidRDefault="00AF5984" w:rsidP="00F95C08">
      <w:pPr>
        <w:spacing w:line="240" w:lineRule="auto"/>
      </w:pPr>
    </w:p>
  </w:endnote>
  <w:endnote w:type="continuationSeparator" w:id="0">
    <w:p w14:paraId="2CDC8282" w14:textId="77777777" w:rsidR="00AF5984" w:rsidRPr="00AC3823" w:rsidRDefault="00AF5984" w:rsidP="00AC3823">
      <w:pPr>
        <w:pStyle w:val="Pieddepage"/>
      </w:pPr>
    </w:p>
  </w:endnote>
  <w:endnote w:type="continuationNotice" w:id="1">
    <w:p w14:paraId="43354B9E" w14:textId="77777777" w:rsidR="00AF5984" w:rsidRDefault="00AF59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B26D1" w14:textId="77777777" w:rsidR="00AF5984" w:rsidRPr="004D6315" w:rsidRDefault="00AF5984" w:rsidP="004D6315">
    <w:pPr>
      <w:pStyle w:val="Pieddepage"/>
      <w:tabs>
        <w:tab w:val="right" w:pos="9638"/>
      </w:tabs>
    </w:pPr>
    <w:r w:rsidRPr="004D6315">
      <w:rPr>
        <w:b/>
        <w:sz w:val="18"/>
      </w:rPr>
      <w:fldChar w:fldCharType="begin"/>
    </w:r>
    <w:r w:rsidRPr="004D6315">
      <w:rPr>
        <w:b/>
        <w:sz w:val="18"/>
      </w:rPr>
      <w:instrText xml:space="preserve"> PAGE  \* MERGEFORMAT </w:instrText>
    </w:r>
    <w:r w:rsidRPr="004D6315">
      <w:rPr>
        <w:b/>
        <w:sz w:val="18"/>
      </w:rPr>
      <w:fldChar w:fldCharType="separate"/>
    </w:r>
    <w:r w:rsidRPr="004D6315">
      <w:rPr>
        <w:b/>
        <w:noProof/>
        <w:sz w:val="18"/>
      </w:rPr>
      <w:t>2</w:t>
    </w:r>
    <w:r w:rsidRPr="004D6315">
      <w:rPr>
        <w:b/>
        <w:sz w:val="18"/>
      </w:rPr>
      <w:fldChar w:fldCharType="end"/>
    </w:r>
    <w:r>
      <w:rPr>
        <w:b/>
        <w:sz w:val="18"/>
      </w:rPr>
      <w:tab/>
    </w:r>
    <w:r>
      <w:t>GE.20-17128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FC804" w14:textId="77777777" w:rsidR="00AF5984" w:rsidRPr="004D6315" w:rsidRDefault="00AF5984" w:rsidP="004D6315">
    <w:pPr>
      <w:pStyle w:val="Pieddepage"/>
      <w:tabs>
        <w:tab w:val="right" w:pos="9638"/>
      </w:tabs>
      <w:rPr>
        <w:b/>
        <w:sz w:val="18"/>
      </w:rPr>
    </w:pPr>
    <w:r>
      <w:t>GE.20-17128</w:t>
    </w:r>
    <w:r>
      <w:tab/>
    </w:r>
    <w:r w:rsidRPr="004D6315">
      <w:rPr>
        <w:b/>
        <w:sz w:val="18"/>
      </w:rPr>
      <w:fldChar w:fldCharType="begin"/>
    </w:r>
    <w:r w:rsidRPr="004D6315">
      <w:rPr>
        <w:b/>
        <w:sz w:val="18"/>
      </w:rPr>
      <w:instrText xml:space="preserve"> PAGE  \* MERGEFORMAT </w:instrText>
    </w:r>
    <w:r w:rsidRPr="004D6315">
      <w:rPr>
        <w:b/>
        <w:sz w:val="18"/>
      </w:rPr>
      <w:fldChar w:fldCharType="separate"/>
    </w:r>
    <w:r w:rsidRPr="004D6315">
      <w:rPr>
        <w:b/>
        <w:noProof/>
        <w:sz w:val="18"/>
      </w:rPr>
      <w:t>3</w:t>
    </w:r>
    <w:r w:rsidRPr="004D631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886E5" w14:textId="77777777" w:rsidR="00AF5984" w:rsidRPr="004D6315" w:rsidRDefault="00AF5984" w:rsidP="004D6315">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C97638F" wp14:editId="26D31C8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20-17128  (F)</w:t>
    </w:r>
    <w:r>
      <w:rPr>
        <w:noProof/>
        <w:sz w:val="20"/>
      </w:rPr>
      <w:drawing>
        <wp:anchor distT="0" distB="0" distL="114300" distR="114300" simplePos="0" relativeHeight="251660288" behindDoc="0" locked="0" layoutInCell="1" allowOverlap="1" wp14:anchorId="0BFAF829" wp14:editId="360EF37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231220    231220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4B374" w14:textId="77777777" w:rsidR="00AF5984" w:rsidRPr="00AC3823" w:rsidRDefault="00AF5984" w:rsidP="00AC3823">
      <w:pPr>
        <w:pStyle w:val="Pieddepage"/>
        <w:tabs>
          <w:tab w:val="right" w:pos="2155"/>
        </w:tabs>
        <w:spacing w:after="80" w:line="240" w:lineRule="atLeast"/>
        <w:ind w:left="680"/>
        <w:rPr>
          <w:u w:val="single"/>
        </w:rPr>
      </w:pPr>
      <w:r>
        <w:rPr>
          <w:u w:val="single"/>
        </w:rPr>
        <w:tab/>
      </w:r>
    </w:p>
  </w:footnote>
  <w:footnote w:type="continuationSeparator" w:id="0">
    <w:p w14:paraId="428147B1" w14:textId="77777777" w:rsidR="00AF5984" w:rsidRPr="00AC3823" w:rsidRDefault="00AF5984" w:rsidP="00AC3823">
      <w:pPr>
        <w:pStyle w:val="Pieddepage"/>
        <w:tabs>
          <w:tab w:val="right" w:pos="2155"/>
        </w:tabs>
        <w:spacing w:after="80" w:line="240" w:lineRule="atLeast"/>
        <w:ind w:left="680"/>
        <w:rPr>
          <w:u w:val="single"/>
        </w:rPr>
      </w:pPr>
      <w:r>
        <w:rPr>
          <w:u w:val="single"/>
        </w:rPr>
        <w:tab/>
      </w:r>
    </w:p>
  </w:footnote>
  <w:footnote w:type="continuationNotice" w:id="1">
    <w:p w14:paraId="72AE5432" w14:textId="77777777" w:rsidR="00AF5984" w:rsidRPr="00AC3823" w:rsidRDefault="00AF5984">
      <w:pPr>
        <w:spacing w:line="240" w:lineRule="auto"/>
        <w:rPr>
          <w:sz w:val="2"/>
          <w:szCs w:val="2"/>
        </w:rPr>
      </w:pPr>
    </w:p>
  </w:footnote>
  <w:footnote w:id="2">
    <w:p w14:paraId="769E18E1" w14:textId="77777777" w:rsidR="00AF5984" w:rsidRPr="00860746" w:rsidRDefault="00AF5984" w:rsidP="004D6315">
      <w:pPr>
        <w:pStyle w:val="Notedebasdepage"/>
        <w:rPr>
          <w:lang w:val="fr-FR"/>
        </w:rPr>
      </w:pPr>
      <w:r>
        <w:rPr>
          <w:lang w:val="fr-FR"/>
        </w:rPr>
        <w:tab/>
      </w:r>
      <w:r w:rsidRPr="00860746">
        <w:rPr>
          <w:rStyle w:val="Appelnotedebasdep"/>
        </w:rPr>
        <w:footnoteRef/>
      </w:r>
      <w:r>
        <w:rPr>
          <w:lang w:val="fr-FR"/>
        </w:rPr>
        <w:tab/>
        <w:t>Les domaines d’interaction de la CEE sont les suivants : 1) utilisation durable des ressources naturelles ; 2) villes durables et intelligentes pour tous les âges ; 3) mobilité durable et connectivité intelligente ; 4) mesure et suivi des objectifs de développement durable.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674F5" w14:textId="2B5C51A4" w:rsidR="00AF5984" w:rsidRPr="004D6315" w:rsidRDefault="00E211D7">
    <w:pPr>
      <w:pStyle w:val="En-tte"/>
    </w:pPr>
    <w:fldSimple w:instr=" TITLE  \* MERGEFORMAT ">
      <w:r w:rsidR="00D643E9">
        <w:t>ECE/TRANS/2021/8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CAA0E" w14:textId="2696BEC8" w:rsidR="00AF5984" w:rsidRPr="004D6315" w:rsidRDefault="00E211D7" w:rsidP="004D6315">
    <w:pPr>
      <w:pStyle w:val="En-tte"/>
      <w:jc w:val="right"/>
    </w:pPr>
    <w:fldSimple w:instr=" TITLE  \* MERGEFORMAT ">
      <w:r w:rsidR="00D643E9">
        <w:t>ECE/TRANS/2021/8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1744C4A"/>
    <w:multiLevelType w:val="hybridMultilevel"/>
    <w:tmpl w:val="BA167644"/>
    <w:lvl w:ilvl="0" w:tplc="85B63774">
      <w:start w:val="1"/>
      <w:numFmt w:val="lowerLetter"/>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F21052F"/>
    <w:multiLevelType w:val="hybridMultilevel"/>
    <w:tmpl w:val="96DCEB88"/>
    <w:lvl w:ilvl="0" w:tplc="505AFC90">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BD5364"/>
    <w:multiLevelType w:val="hybridMultilevel"/>
    <w:tmpl w:val="7DEAE566"/>
    <w:lvl w:ilvl="0" w:tplc="118470C2">
      <w:start w:val="1"/>
      <w:numFmt w:val="decimal"/>
      <w:lvlText w:val="%1."/>
      <w:lvlJc w:val="left"/>
      <w:pPr>
        <w:ind w:left="450" w:hanging="360"/>
      </w:pPr>
      <w:rPr>
        <w:rFonts w:hint="default"/>
        <w:b w:val="0"/>
        <w:bCs/>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703161A1"/>
    <w:multiLevelType w:val="hybridMultilevel"/>
    <w:tmpl w:val="7AE8A768"/>
    <w:lvl w:ilvl="0" w:tplc="501CD546">
      <w:start w:val="1"/>
      <w:numFmt w:val="upperLetter"/>
      <w:lvlText w:val="%1."/>
      <w:lvlJc w:val="left"/>
      <w:pPr>
        <w:ind w:left="1128" w:hanging="504"/>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2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8"/>
  </w:num>
  <w:num w:numId="16">
    <w:abstractNumId w:val="11"/>
  </w:num>
  <w:num w:numId="17">
    <w:abstractNumId w:val="16"/>
  </w:num>
  <w:num w:numId="18">
    <w:abstractNumId w:val="15"/>
  </w:num>
  <w:num w:numId="19">
    <w:abstractNumId w:val="10"/>
  </w:num>
  <w:num w:numId="20">
    <w:abstractNumId w:val="13"/>
  </w:num>
  <w:num w:numId="21">
    <w:abstractNumId w:val="17"/>
  </w:num>
  <w:num w:numId="22">
    <w:abstractNumId w:val="14"/>
  </w:num>
  <w:num w:numId="23">
    <w:abstractNumId w:val="21"/>
  </w:num>
  <w:num w:numId="24">
    <w:abstractNumId w:val="25"/>
  </w:num>
  <w:num w:numId="25">
    <w:abstractNumId w:val="19"/>
  </w:num>
  <w:num w:numId="26">
    <w:abstractNumId w:val="20"/>
  </w:num>
  <w:num w:numId="27">
    <w:abstractNumId w:val="22"/>
  </w:num>
  <w:num w:numId="28">
    <w:abstractNumId w:val="2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E7D"/>
    <w:rsid w:val="00017F94"/>
    <w:rsid w:val="00023842"/>
    <w:rsid w:val="000334F9"/>
    <w:rsid w:val="00045FEB"/>
    <w:rsid w:val="00065A5D"/>
    <w:rsid w:val="0007796D"/>
    <w:rsid w:val="00081CAD"/>
    <w:rsid w:val="000B7790"/>
    <w:rsid w:val="000F3608"/>
    <w:rsid w:val="000F6589"/>
    <w:rsid w:val="00111F2F"/>
    <w:rsid w:val="0014365E"/>
    <w:rsid w:val="00143C66"/>
    <w:rsid w:val="00176178"/>
    <w:rsid w:val="001A3BA4"/>
    <w:rsid w:val="001B054B"/>
    <w:rsid w:val="001C62ED"/>
    <w:rsid w:val="001F525A"/>
    <w:rsid w:val="00201148"/>
    <w:rsid w:val="00223272"/>
    <w:rsid w:val="0024779E"/>
    <w:rsid w:val="00257168"/>
    <w:rsid w:val="002744B8"/>
    <w:rsid w:val="002832AC"/>
    <w:rsid w:val="00290629"/>
    <w:rsid w:val="00297DAE"/>
    <w:rsid w:val="002D7C93"/>
    <w:rsid w:val="00305801"/>
    <w:rsid w:val="00366913"/>
    <w:rsid w:val="003916DE"/>
    <w:rsid w:val="003B50AA"/>
    <w:rsid w:val="00421996"/>
    <w:rsid w:val="00441C3B"/>
    <w:rsid w:val="00446FE5"/>
    <w:rsid w:val="00452396"/>
    <w:rsid w:val="00455787"/>
    <w:rsid w:val="00477EB2"/>
    <w:rsid w:val="00482103"/>
    <w:rsid w:val="004837D8"/>
    <w:rsid w:val="004B655C"/>
    <w:rsid w:val="004D6315"/>
    <w:rsid w:val="004E2EED"/>
    <w:rsid w:val="004E468C"/>
    <w:rsid w:val="005505B7"/>
    <w:rsid w:val="00573BE5"/>
    <w:rsid w:val="00586ED3"/>
    <w:rsid w:val="00596AA9"/>
    <w:rsid w:val="0065280D"/>
    <w:rsid w:val="006567CD"/>
    <w:rsid w:val="006E54E7"/>
    <w:rsid w:val="007027E2"/>
    <w:rsid w:val="0071601D"/>
    <w:rsid w:val="00737ADC"/>
    <w:rsid w:val="0078012C"/>
    <w:rsid w:val="007A62E6"/>
    <w:rsid w:val="007F20FA"/>
    <w:rsid w:val="0080684C"/>
    <w:rsid w:val="00871C75"/>
    <w:rsid w:val="008776DC"/>
    <w:rsid w:val="008D5EF9"/>
    <w:rsid w:val="009446C0"/>
    <w:rsid w:val="009705C8"/>
    <w:rsid w:val="009C1CF4"/>
    <w:rsid w:val="009E2CDB"/>
    <w:rsid w:val="009F6B74"/>
    <w:rsid w:val="00A301FE"/>
    <w:rsid w:val="00A3029F"/>
    <w:rsid w:val="00A30353"/>
    <w:rsid w:val="00A72DCA"/>
    <w:rsid w:val="00AC3823"/>
    <w:rsid w:val="00AE323C"/>
    <w:rsid w:val="00AF0CB5"/>
    <w:rsid w:val="00AF5984"/>
    <w:rsid w:val="00B00181"/>
    <w:rsid w:val="00B00B0D"/>
    <w:rsid w:val="00B45F2E"/>
    <w:rsid w:val="00B765F7"/>
    <w:rsid w:val="00B77993"/>
    <w:rsid w:val="00BA0CA9"/>
    <w:rsid w:val="00C02897"/>
    <w:rsid w:val="00C97039"/>
    <w:rsid w:val="00CF22C1"/>
    <w:rsid w:val="00D13FA3"/>
    <w:rsid w:val="00D3439C"/>
    <w:rsid w:val="00D643E9"/>
    <w:rsid w:val="00D7622E"/>
    <w:rsid w:val="00D866B8"/>
    <w:rsid w:val="00DB1831"/>
    <w:rsid w:val="00DB1C33"/>
    <w:rsid w:val="00DC106D"/>
    <w:rsid w:val="00DD3BFD"/>
    <w:rsid w:val="00DD741F"/>
    <w:rsid w:val="00DF6678"/>
    <w:rsid w:val="00E0299A"/>
    <w:rsid w:val="00E211D7"/>
    <w:rsid w:val="00E712E2"/>
    <w:rsid w:val="00E85C74"/>
    <w:rsid w:val="00EA6547"/>
    <w:rsid w:val="00ED7237"/>
    <w:rsid w:val="00EF2E22"/>
    <w:rsid w:val="00F35BAF"/>
    <w:rsid w:val="00F4613B"/>
    <w:rsid w:val="00F55E7D"/>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1F110D"/>
  <w15:docId w15:val="{AC49EC18-C1A4-4A6E-9A80-F9E12E42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B77993"/>
    <w:pPr>
      <w:spacing w:after="120"/>
      <w:ind w:left="1134" w:right="1134"/>
      <w:jc w:val="both"/>
    </w:p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rsid w:val="004D6315"/>
    <w:rPr>
      <w:rFonts w:ascii="Times New Roman" w:eastAsiaTheme="minorHAnsi" w:hAnsi="Times New Roman" w:cs="Times New Roman"/>
      <w:b/>
      <w:sz w:val="28"/>
      <w:szCs w:val="20"/>
      <w:lang w:eastAsia="en-US"/>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Footnote Text Char2,Footnote Text Char1 Char,Footnote Text Char Char Char,Footnote Text Char1 Char Char Char Char,Footnote Text Char Char Char Char Char Char,Footnote Text Char1 Char Char1 Cha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2 Car,Footnote Text Char1 Char Car,Footnote Text Char Char Char Car,Footnote Text Char1 Char Char Char Char Car,Footnote Text Char Char Char Char Char Char Car,Footnote Text Char1 Char Char1 Cha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paragraph" w:styleId="Paragraphedeliste">
    <w:name w:val="List Paragraph"/>
    <w:basedOn w:val="Normal"/>
    <w:uiPriority w:val="34"/>
    <w:qFormat/>
    <w:rsid w:val="004D6315"/>
    <w:pPr>
      <w:kinsoku/>
      <w:overflowPunct/>
      <w:autoSpaceDE/>
      <w:autoSpaceDN/>
      <w:adjustRightInd/>
      <w:snapToGrid/>
      <w:ind w:left="720"/>
      <w:contextualSpacing/>
    </w:pPr>
    <w:rPr>
      <w:rFonts w:eastAsia="Times New Roman"/>
      <w:lang w:val="en-GB" w:eastAsia="fr-FR"/>
    </w:rPr>
  </w:style>
  <w:style w:type="character" w:customStyle="1" w:styleId="H23Char">
    <w:name w:val="_ H_2/3 Char"/>
    <w:link w:val="H23"/>
    <w:locked/>
    <w:rsid w:val="004D6315"/>
    <w:rPr>
      <w:rFonts w:ascii="Calibri" w:hAnsi="Calibri" w:cs="Calibri"/>
      <w:b/>
      <w:spacing w:val="4"/>
      <w:w w:val="103"/>
      <w:kern w:val="14"/>
      <w:lang w:val="en-US"/>
    </w:rPr>
  </w:style>
  <w:style w:type="paragraph" w:customStyle="1" w:styleId="H23">
    <w:name w:val="_ H_2/3"/>
    <w:basedOn w:val="Normal"/>
    <w:next w:val="Normal"/>
    <w:link w:val="H23Char"/>
    <w:rsid w:val="004D6315"/>
    <w:pPr>
      <w:kinsoku/>
      <w:overflowPunct/>
      <w:autoSpaceDE/>
      <w:autoSpaceDN/>
      <w:adjustRightInd/>
      <w:snapToGrid/>
      <w:spacing w:line="240" w:lineRule="exact"/>
      <w:outlineLvl w:val="1"/>
    </w:pPr>
    <w:rPr>
      <w:rFonts w:ascii="Calibri" w:eastAsia="Times New Roman" w:hAnsi="Calibri" w:cs="Calibri"/>
      <w:b/>
      <w:spacing w:val="4"/>
      <w:w w:val="103"/>
      <w:kern w:val="14"/>
      <w:sz w:val="22"/>
      <w:szCs w:val="22"/>
      <w:lang w:val="en-US" w:eastAsia="zh-CN"/>
    </w:rPr>
  </w:style>
  <w:style w:type="character" w:customStyle="1" w:styleId="H1Char">
    <w:name w:val="_ H_1 Char"/>
    <w:basedOn w:val="Policepardfaut"/>
    <w:link w:val="H1"/>
    <w:locked/>
    <w:rsid w:val="004D6315"/>
    <w:rPr>
      <w:rFonts w:ascii="Calibri" w:hAnsi="Calibri" w:cs="Calibri"/>
      <w:b/>
      <w:spacing w:val="4"/>
      <w:w w:val="103"/>
      <w:kern w:val="14"/>
      <w:sz w:val="24"/>
      <w:lang w:val="en-GB"/>
    </w:rPr>
  </w:style>
  <w:style w:type="paragraph" w:customStyle="1" w:styleId="H1">
    <w:name w:val="_ H_1"/>
    <w:basedOn w:val="Normal"/>
    <w:next w:val="Normal"/>
    <w:link w:val="H1Char"/>
    <w:rsid w:val="004D63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line="270" w:lineRule="exact"/>
      <w:ind w:left="1267" w:right="1267" w:hanging="1267"/>
      <w:outlineLvl w:val="0"/>
    </w:pPr>
    <w:rPr>
      <w:rFonts w:ascii="Calibri" w:eastAsia="Times New Roman" w:hAnsi="Calibri" w:cs="Calibri"/>
      <w:b/>
      <w:spacing w:val="4"/>
      <w:w w:val="103"/>
      <w:kern w:val="14"/>
      <w:sz w:val="24"/>
      <w:szCs w:val="22"/>
      <w:lang w:val="en-GB" w:eastAsia="zh-CN"/>
    </w:rPr>
  </w:style>
  <w:style w:type="paragraph" w:customStyle="1" w:styleId="SingleTxt">
    <w:name w:val="__Single Txt"/>
    <w:basedOn w:val="Normal"/>
    <w:link w:val="SingleTxtChar"/>
    <w:qFormat/>
    <w:rsid w:val="004D6315"/>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ind w:left="1267" w:right="1267"/>
      <w:jc w:val="both"/>
    </w:pPr>
    <w:rPr>
      <w:spacing w:val="4"/>
      <w:w w:val="103"/>
      <w:kern w:val="14"/>
      <w:lang w:val="en-GB"/>
    </w:rPr>
  </w:style>
  <w:style w:type="character" w:customStyle="1" w:styleId="SingleTxtChar">
    <w:name w:val="__Single Txt Char"/>
    <w:link w:val="SingleTxt"/>
    <w:qFormat/>
    <w:rsid w:val="004D6315"/>
    <w:rPr>
      <w:rFonts w:ascii="Times New Roman" w:eastAsiaTheme="minorHAnsi" w:hAnsi="Times New Roman" w:cs="Times New Roman"/>
      <w:spacing w:val="4"/>
      <w:w w:val="103"/>
      <w:kern w:val="14"/>
      <w:sz w:val="20"/>
      <w:szCs w:val="20"/>
      <w:lang w:val="en-GB" w:eastAsia="en-US"/>
    </w:rPr>
  </w:style>
  <w:style w:type="character" w:customStyle="1" w:styleId="CommentaireCar">
    <w:name w:val="Commentaire Car"/>
    <w:basedOn w:val="Policepardfaut"/>
    <w:link w:val="Commentaire"/>
    <w:semiHidden/>
    <w:rsid w:val="004D6315"/>
    <w:rPr>
      <w:rFonts w:ascii="Times New Roman" w:hAnsi="Times New Roman" w:cs="Times New Roman"/>
      <w:sz w:val="20"/>
      <w:szCs w:val="20"/>
      <w:lang w:val="en-GB" w:eastAsia="fr-FR"/>
    </w:rPr>
  </w:style>
  <w:style w:type="paragraph" w:styleId="Commentaire">
    <w:name w:val="annotation text"/>
    <w:basedOn w:val="Normal"/>
    <w:link w:val="CommentaireCar"/>
    <w:semiHidden/>
    <w:unhideWhenUsed/>
    <w:rsid w:val="004D6315"/>
    <w:pPr>
      <w:kinsoku/>
      <w:overflowPunct/>
      <w:autoSpaceDE/>
      <w:autoSpaceDN/>
      <w:adjustRightInd/>
      <w:snapToGrid/>
      <w:spacing w:line="240" w:lineRule="auto"/>
    </w:pPr>
    <w:rPr>
      <w:rFonts w:eastAsia="Times New Roman"/>
      <w:lang w:val="en-GB" w:eastAsia="fr-FR"/>
    </w:rPr>
  </w:style>
  <w:style w:type="character" w:customStyle="1" w:styleId="ObjetducommentaireCar">
    <w:name w:val="Objet du commentaire Car"/>
    <w:basedOn w:val="CommentaireCar"/>
    <w:link w:val="Objetducommentaire"/>
    <w:semiHidden/>
    <w:rsid w:val="004D6315"/>
    <w:rPr>
      <w:rFonts w:ascii="Times New Roman" w:hAnsi="Times New Roman" w:cs="Times New Roman"/>
      <w:b/>
      <w:bCs/>
      <w:sz w:val="20"/>
      <w:szCs w:val="20"/>
      <w:lang w:val="en-GB" w:eastAsia="fr-FR"/>
    </w:rPr>
  </w:style>
  <w:style w:type="paragraph" w:styleId="Objetducommentaire">
    <w:name w:val="annotation subject"/>
    <w:basedOn w:val="Commentaire"/>
    <w:next w:val="Commentaire"/>
    <w:link w:val="ObjetducommentaireCar"/>
    <w:semiHidden/>
    <w:unhideWhenUsed/>
    <w:rsid w:val="004D6315"/>
    <w:rPr>
      <w:b/>
      <w:bCs/>
    </w:rPr>
  </w:style>
  <w:style w:type="paragraph" w:customStyle="1" w:styleId="H4">
    <w:name w:val="_ H_4"/>
    <w:basedOn w:val="Normal"/>
    <w:next w:val="Normal"/>
    <w:rsid w:val="004D631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line="240" w:lineRule="exact"/>
      <w:ind w:left="1267" w:right="1267" w:hanging="1267"/>
      <w:outlineLvl w:val="3"/>
    </w:pPr>
    <w:rPr>
      <w:i/>
      <w:spacing w:val="3"/>
      <w:w w:val="103"/>
      <w:kern w:val="14"/>
      <w:lang w:val="en-GB"/>
    </w:rPr>
  </w:style>
  <w:style w:type="character" w:styleId="Mentionnonrsolue">
    <w:name w:val="Unresolved Mention"/>
    <w:basedOn w:val="Policepardfaut"/>
    <w:uiPriority w:val="99"/>
    <w:semiHidden/>
    <w:unhideWhenUsed/>
    <w:rsid w:val="00A72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org/en/ga/search/view_doc.asp?symbol=A/RES/67/290&amp;Lang=F" TargetMode="External"/><Relationship Id="rId18" Type="http://schemas.openxmlformats.org/officeDocument/2006/relationships/hyperlink" Target="https://undocs.org/fr/A/RES/70/221" TargetMode="External"/><Relationship Id="rId26" Type="http://schemas.openxmlformats.org/officeDocument/2006/relationships/hyperlink" Target="https://undocs.org/fr/A/RES/72/279" TargetMode="External"/><Relationship Id="rId39" Type="http://schemas.openxmlformats.org/officeDocument/2006/relationships/hyperlink" Target="https://undocs.org/fr/E/2017/37" TargetMode="External"/><Relationship Id="rId21" Type="http://schemas.openxmlformats.org/officeDocument/2006/relationships/hyperlink" Target="https://www.un.org/en/ga/search/view_doc.asp?symbol=A/RES/71/162&amp;Lang=F" TargetMode="External"/><Relationship Id="rId34" Type="http://schemas.openxmlformats.org/officeDocument/2006/relationships/hyperlink" Target="https://undocs.org/fr/A/RES/74/216" TargetMode="External"/><Relationship Id="rId42" Type="http://schemas.openxmlformats.org/officeDocument/2006/relationships/hyperlink" Target="https://www.un.org/en/ga/search/view_doc.asp?symbol=A/RES/68/269&amp;Lang=F" TargetMode="External"/><Relationship Id="rId47" Type="http://schemas.openxmlformats.org/officeDocument/2006/relationships/hyperlink" Target="https://undocs.org/fr/A/RES/72/212" TargetMode="External"/><Relationship Id="rId50" Type="http://schemas.openxmlformats.org/officeDocument/2006/relationships/hyperlink" Target="https://unece.org/fileadmin/DAM/trans/main/dgdb/dgsubc4/ECOSOC/1999-65/1999-65f.pdf" TargetMode="External"/><Relationship Id="rId55" Type="http://schemas.openxmlformats.org/officeDocument/2006/relationships/hyperlink" Target="https://unece.org/DAM/trans/doc/2013/itc/ECE-TRANS-236f.pdf" TargetMode="External"/><Relationship Id="rId63" Type="http://schemas.openxmlformats.org/officeDocument/2006/relationships/hyperlink" Target="https://unece.org/fileadmin/DAM/trans/conventn/conf4f.pdf" TargetMode="External"/><Relationship Id="rId68"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un.org/en/ga/search/view_doc.asp?symbol=A/RES/70/1&amp;Lang=F" TargetMode="External"/><Relationship Id="rId29" Type="http://schemas.openxmlformats.org/officeDocument/2006/relationships/hyperlink" Target="https://www.un.org/en/ga/search/view_doc.asp?symbol=A/RES/73/14&amp;Lang=F" TargetMode="External"/><Relationship Id="rId11" Type="http://schemas.openxmlformats.org/officeDocument/2006/relationships/hyperlink" Target="https://undocs.org/fr/A/RES/66/288" TargetMode="External"/><Relationship Id="rId24" Type="http://schemas.openxmlformats.org/officeDocument/2006/relationships/hyperlink" Target="https://www.un.org/en/ga/search/view_doc.asp?symbol=A/RES/72/234&amp;Lang=F" TargetMode="External"/><Relationship Id="rId32" Type="http://schemas.openxmlformats.org/officeDocument/2006/relationships/hyperlink" Target="https://undocs.org/fr/A/RES/73/231" TargetMode="External"/><Relationship Id="rId37" Type="http://schemas.openxmlformats.org/officeDocument/2006/relationships/hyperlink" Target="https://unece.org/fileadmin/DAM/commission/2013/E_ECE_1468-FR.pdf" TargetMode="External"/><Relationship Id="rId40" Type="http://schemas.openxmlformats.org/officeDocument/2006/relationships/hyperlink" Target="https://undocs.org/pdf?symbol=fr/E/2019/37" TargetMode="External"/><Relationship Id="rId45" Type="http://schemas.openxmlformats.org/officeDocument/2006/relationships/hyperlink" Target="https://undocs.org/fr/A/RES/70/197" TargetMode="External"/><Relationship Id="rId53" Type="http://schemas.openxmlformats.org/officeDocument/2006/relationships/hyperlink" Target="https://undocs.org/fr/ECE/AC.21/2014/2" TargetMode="External"/><Relationship Id="rId58" Type="http://schemas.openxmlformats.org/officeDocument/2006/relationships/hyperlink" Target="https://unece.org/DAM/trans/doc/2018/itc/ECE-TRANS-270f.pdf" TargetMode="External"/><Relationship Id="rId66" Type="http://schemas.openxmlformats.org/officeDocument/2006/relationships/hyperlink" Target="http://www.unece.org/fileadmin/DAM/trans/danger/publi/adn/adnnotif/CN.482.2009f.pdf"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n.org/en/ga/search/view_doc.asp?symbol=A/RES/69/313&amp;Lang=F" TargetMode="External"/><Relationship Id="rId23" Type="http://schemas.openxmlformats.org/officeDocument/2006/relationships/hyperlink" Target="https://undocs.org/fr/A/RES/72/230" TargetMode="External"/><Relationship Id="rId28" Type="http://schemas.openxmlformats.org/officeDocument/2006/relationships/hyperlink" Target="https://www.un.org/en/ga/search/view_doc.asp?symbol=A/RES/73/13&amp;Lang=F" TargetMode="External"/><Relationship Id="rId36" Type="http://schemas.openxmlformats.org/officeDocument/2006/relationships/hyperlink" Target="https://unece.org/fileadmin/DAM/publications/oes/E_2011_37.Fre.pdf" TargetMode="External"/><Relationship Id="rId49" Type="http://schemas.openxmlformats.org/officeDocument/2006/relationships/hyperlink" Target="https://undocs.org/fr/A/RES/73/243" TargetMode="External"/><Relationship Id="rId57" Type="http://schemas.openxmlformats.org/officeDocument/2006/relationships/hyperlink" Target="https://unece.org/DAM/trans/doc/2016/itc/ECE-TRANS-254f.pdf" TargetMode="External"/><Relationship Id="rId61" Type="http://schemas.openxmlformats.org/officeDocument/2006/relationships/hyperlink" Target="https://undocs.org/fr/E/2015/37" TargetMode="External"/><Relationship Id="rId10" Type="http://schemas.openxmlformats.org/officeDocument/2006/relationships/image" Target="media/image2.png"/><Relationship Id="rId19" Type="http://schemas.openxmlformats.org/officeDocument/2006/relationships/hyperlink" Target="https://www.un.org/en/ga/search/view_doc.asp?symbol=A/RES/71/14&amp;Lang=F" TargetMode="External"/><Relationship Id="rId31" Type="http://schemas.openxmlformats.org/officeDocument/2006/relationships/hyperlink" Target="https://undocs.org/fr/A/RES/73/195" TargetMode="External"/><Relationship Id="rId44" Type="http://schemas.openxmlformats.org/officeDocument/2006/relationships/hyperlink" Target="https://www.un.org/en/ga/search/view_doc.asp?symbol=A/RES/69/213&amp;Lang=F" TargetMode="External"/><Relationship Id="rId52" Type="http://schemas.openxmlformats.org/officeDocument/2006/relationships/hyperlink" Target="https://www.un.org/ga/search/view_doc.asp?symbol=E/RES/2015/7&amp;Lang=F" TargetMode="External"/><Relationship Id="rId60" Type="http://schemas.openxmlformats.org/officeDocument/2006/relationships/hyperlink" Target="https://undocs.org/fr/ECE/TRANS/288" TargetMode="External"/><Relationship Id="rId65" Type="http://schemas.openxmlformats.org/officeDocument/2006/relationships/hyperlink" Target="https://unece.org/fileadmin/DAM/trans/danger/publi/adn/adn_history/docs/ECE-TRANS-ADN-CONF-10a1f.pdf"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www.un.org/en/ga/search/view_doc.asp?symbol=A/RES/69/277&amp;Lang=F" TargetMode="External"/><Relationship Id="rId22" Type="http://schemas.openxmlformats.org/officeDocument/2006/relationships/hyperlink" Target="https://www.un.org/en/ga/search/view_doc.asp?symbol=A/RES/71/243&amp;Lang=F" TargetMode="External"/><Relationship Id="rId27" Type="http://schemas.openxmlformats.org/officeDocument/2006/relationships/hyperlink" Target="https://www.un.org/en/ga/search/view_doc.asp?symbol=A/RES/73/10&amp;Lang=F" TargetMode="External"/><Relationship Id="rId30" Type="http://schemas.openxmlformats.org/officeDocument/2006/relationships/hyperlink" Target="https://www.un.org/en/ga/search/view_doc.asp?symbol=A/RES/73/16&amp;Lang=F" TargetMode="External"/><Relationship Id="rId35" Type="http://schemas.openxmlformats.org/officeDocument/2006/relationships/hyperlink" Target="https://www.un.org/ga/search/view_doc.asp?symbol=E/RES/2013/1&amp;Lang=F" TargetMode="External"/><Relationship Id="rId43" Type="http://schemas.openxmlformats.org/officeDocument/2006/relationships/hyperlink" Target="https://www.un.org/en/ga/search/view_doc.asp?symbol=A/RES/69/137&amp;Lang=F" TargetMode="External"/><Relationship Id="rId48" Type="http://schemas.openxmlformats.org/officeDocument/2006/relationships/hyperlink" Target="https://www.un.org/en/ga/search/view_doc.asp?symbol=A/RES/72/271&amp;Lang=F" TargetMode="External"/><Relationship Id="rId56" Type="http://schemas.openxmlformats.org/officeDocument/2006/relationships/hyperlink" Target="https://unece.org/DAM/trans/doc/2015/itc/ECE-TRANS-248f.pdf" TargetMode="External"/><Relationship Id="rId64" Type="http://schemas.openxmlformats.org/officeDocument/2006/relationships/hyperlink" Target="http://www.unece.org/fileadmin/DAM/trans/main/wp29/wp29wgs/wp29gen/wp29glob/tran132.pdf" TargetMode="External"/><Relationship Id="rId69" Type="http://schemas.openxmlformats.org/officeDocument/2006/relationships/header" Target="header2.xml"/><Relationship Id="rId8" Type="http://schemas.openxmlformats.org/officeDocument/2006/relationships/hyperlink" Target="https://undocs.org/fr/A/RES/74/251" TargetMode="External"/><Relationship Id="rId51" Type="http://schemas.openxmlformats.org/officeDocument/2006/relationships/hyperlink" Target="https://www.un.org/ga/search/view_doc.asp?symbol=E/RES/2013/7&amp;Lang=F" TargetMode="External"/><Relationship Id="rId72"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undocs.org/fr/A/RES/67/10" TargetMode="External"/><Relationship Id="rId17" Type="http://schemas.openxmlformats.org/officeDocument/2006/relationships/hyperlink" Target="https://undocs.org/fr/A/RES/70/133" TargetMode="External"/><Relationship Id="rId25" Type="http://schemas.openxmlformats.org/officeDocument/2006/relationships/hyperlink" Target="https://www.un.org/en/ga/search/view_doc.asp?symbol=A/RES/72/237&amp;Lang=F" TargetMode="External"/><Relationship Id="rId33" Type="http://schemas.openxmlformats.org/officeDocument/2006/relationships/hyperlink" Target="https://undocs.org/fr/A/RES/73/236" TargetMode="External"/><Relationship Id="rId38" Type="http://schemas.openxmlformats.org/officeDocument/2006/relationships/hyperlink" Target="https://undocs.org/fr/E/2015/37" TargetMode="External"/><Relationship Id="rId46" Type="http://schemas.openxmlformats.org/officeDocument/2006/relationships/hyperlink" Target="https://www.un.org/en/ga/search/view_doc.asp?symbol=A/RES/70/217&amp;Lang=F" TargetMode="External"/><Relationship Id="rId59" Type="http://schemas.openxmlformats.org/officeDocument/2006/relationships/hyperlink" Target="https://unece.org/DAM/trans/doc/2018/itc/ECE-TRANS-274f.pdf" TargetMode="External"/><Relationship Id="rId67" Type="http://schemas.openxmlformats.org/officeDocument/2006/relationships/hyperlink" Target="https://documents-dds-ny.un.org/doc/UNDOC/GEN/G15/133/58/pdf/G1513358.pdf?OpenElement" TargetMode="External"/><Relationship Id="rId20" Type="http://schemas.openxmlformats.org/officeDocument/2006/relationships/hyperlink" Target="https://www.un.org/en/ga/search/view_doc.asp?symbol=A/RES/71/16&amp;Lang=F" TargetMode="External"/><Relationship Id="rId41" Type="http://schemas.openxmlformats.org/officeDocument/2006/relationships/hyperlink" Target="https://undocs.org/fr/A/RES/58/9" TargetMode="External"/><Relationship Id="rId54" Type="http://schemas.openxmlformats.org/officeDocument/2006/relationships/hyperlink" Target="https://unece.org/DAM/trans/doc/2012/itc/ECE-TRANS-224f.pdf" TargetMode="External"/><Relationship Id="rId62" Type="http://schemas.openxmlformats.org/officeDocument/2006/relationships/hyperlink" Target="https://unece.org/fileadmin/DAM/trans/doc/2017/wp29/E-ECE-TRANS-505-Rev.3f.pdf"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'Revised Indicator 2'!$C$2</c:f>
              <c:strCache>
                <c:ptCount val="1"/>
                <c:pt idx="0">
                  <c:v>Total number of Contracting Parties to all conventions </c:v>
                </c:pt>
              </c:strCache>
            </c:strRef>
          </c:tx>
          <c:spPr>
            <a:solidFill>
              <a:sysClr val="window" lastClr="FFFFFF">
                <a:lumMod val="75000"/>
              </a:sysClr>
            </a:solidFill>
            <a:ln>
              <a:noFill/>
            </a:ln>
            <a:effectLst/>
          </c:spPr>
          <c:invertIfNegative val="0"/>
          <c:dLbls>
            <c:dLbl>
              <c:idx val="0"/>
              <c:tx>
                <c:rich>
                  <a:bodyPr/>
                  <a:lstStyle/>
                  <a:p>
                    <a:r>
                      <a:rPr lang="en-US"/>
                      <a:t>sans</a:t>
                    </a:r>
                    <a:r>
                      <a:rPr lang="en-US" baseline="0"/>
                      <a:t> objet</a:t>
                    </a:r>
                    <a:endParaRPr lang="en-US"/>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727-4576-94DC-49A39C19F409}"/>
                </c:ext>
              </c:extLst>
            </c:dLbl>
            <c:numFmt formatCode="#\ ##0" sourceLinked="0"/>
            <c:spPr>
              <a:noFill/>
              <a:ln>
                <a:noFill/>
              </a:ln>
              <a:effectLst/>
            </c:spPr>
            <c:txPr>
              <a:bodyPr rot="0" spcFirstLastPara="1" vertOverflow="ellipsis" vert="horz" wrap="square" lIns="38100" tIns="19050" rIns="38100" bIns="19050" numCol="1" anchor="ctr" anchorCtr="1">
                <a:spAutoFit/>
              </a:bodyPr>
              <a:lstStyle/>
              <a:p>
                <a:pPr>
                  <a:defRPr sz="8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'Revised Indicator 2'!$B$3:$B$7</c:f>
              <c:numCache>
                <c:formatCode>General</c:formatCode>
                <c:ptCount val="5"/>
                <c:pt idx="0">
                  <c:v>2017</c:v>
                </c:pt>
                <c:pt idx="1">
                  <c:v>2018</c:v>
                </c:pt>
                <c:pt idx="2">
                  <c:v>2019</c:v>
                </c:pt>
                <c:pt idx="3">
                  <c:v>2020</c:v>
                </c:pt>
                <c:pt idx="4">
                  <c:v>2021</c:v>
                </c:pt>
              </c:numCache>
            </c:numRef>
          </c:cat>
          <c:val>
            <c:numRef>
              <c:f>'Revised Indicator 2'!$C$3:$C$7</c:f>
              <c:numCache>
                <c:formatCode>General</c:formatCode>
                <c:ptCount val="5"/>
                <c:pt idx="0">
                  <c:v>0</c:v>
                </c:pt>
                <c:pt idx="1">
                  <c:v>1754</c:v>
                </c:pt>
                <c:pt idx="2">
                  <c:v>1768</c:v>
                </c:pt>
                <c:pt idx="3">
                  <c:v>1770</c:v>
                </c:pt>
                <c:pt idx="4">
                  <c:v>1775</c:v>
                </c:pt>
              </c:numCache>
            </c:numRef>
          </c:val>
          <c:extLst>
            <c:ext xmlns:c16="http://schemas.microsoft.com/office/drawing/2014/chart" uri="{C3380CC4-5D6E-409C-BE32-E72D297353CC}">
              <c16:uniqueId val="{00000001-4727-4576-94DC-49A39C19F409}"/>
            </c:ext>
          </c:extLst>
        </c:ser>
        <c:dLbls>
          <c:dLblPos val="outEnd"/>
          <c:showLegendKey val="0"/>
          <c:showVal val="1"/>
          <c:showCatName val="0"/>
          <c:showSerName val="0"/>
          <c:showPercent val="0"/>
          <c:showBubbleSize val="0"/>
        </c:dLbls>
        <c:gapWidth val="75"/>
        <c:axId val="659331552"/>
        <c:axId val="659329584"/>
      </c:barChart>
      <c:catAx>
        <c:axId val="659331552"/>
        <c:scaling>
          <c:orientation val="minMax"/>
        </c:scaling>
        <c:delete val="0"/>
        <c:axPos val="b"/>
        <c:numFmt formatCode="General" sourceLinked="1"/>
        <c:majorTickMark val="none"/>
        <c:minorTickMark val="none"/>
        <c:tickLblPos val="nextTo"/>
        <c:spPr>
          <a:noFill/>
          <a:ln w="6350" cap="flat" cmpd="sng" algn="ctr">
            <a:solidFill>
              <a:sysClr val="windowText" lastClr="000000"/>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29584"/>
        <c:crosses val="autoZero"/>
        <c:auto val="1"/>
        <c:lblAlgn val="ctr"/>
        <c:lblOffset val="100"/>
        <c:noMultiLvlLbl val="0"/>
      </c:catAx>
      <c:valAx>
        <c:axId val="659329584"/>
        <c:scaling>
          <c:orientation val="minMax"/>
        </c:scaling>
        <c:delete val="0"/>
        <c:axPos val="l"/>
        <c:numFmt formatCode="#\ ##0" sourceLinked="0"/>
        <c:majorTickMark val="none"/>
        <c:minorTickMark val="none"/>
        <c:tickLblPos val="nextTo"/>
        <c:spPr>
          <a:noFill/>
          <a:ln w="6350">
            <a:solidFill>
              <a:sysClr val="windowText" lastClr="000000"/>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59331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ECE_TRANS.dotm</Template>
  <TotalTime>1</TotalTime>
  <Pages>17</Pages>
  <Words>7419</Words>
  <Characters>42289</Characters>
  <Application>Microsoft Office Word</Application>
  <DocSecurity>0</DocSecurity>
  <Lines>352</Lines>
  <Paragraphs>99</Paragraphs>
  <ScaleCrop>false</ScaleCrop>
  <HeadingPairs>
    <vt:vector size="2" baseType="variant">
      <vt:variant>
        <vt:lpstr>Titre</vt:lpstr>
      </vt:variant>
      <vt:variant>
        <vt:i4>1</vt:i4>
      </vt:variant>
    </vt:vector>
  </HeadingPairs>
  <TitlesOfParts>
    <vt:vector size="1" baseType="lpstr">
      <vt:lpstr>ECE/TRANS/2021/8</vt:lpstr>
    </vt:vector>
  </TitlesOfParts>
  <Company>DCM</Company>
  <LinksUpToDate>false</LinksUpToDate>
  <CharactersWithSpaces>49609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ECE/TRANS/2021/8</dc:title>
  <dc:subject/>
  <dc:creator>Julien OKRZESIK</dc:creator>
  <cp:keywords/>
  <cp:lastModifiedBy>Julien Okrzesik</cp:lastModifiedBy>
  <cp:revision>3</cp:revision>
  <cp:lastPrinted>2020-12-23T13:55:00Z</cp:lastPrinted>
  <dcterms:created xsi:type="dcterms:W3CDTF">2020-12-23T13:55:00Z</dcterms:created>
  <dcterms:modified xsi:type="dcterms:W3CDTF">2020-12-23T13:55:00Z</dcterms:modified>
</cp:coreProperties>
</file>