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47EAE71C" w:rsidR="009E6CB7" w:rsidRPr="00FF02F5" w:rsidRDefault="00F93FF2" w:rsidP="00954785">
            <w:pPr>
              <w:jc w:val="right"/>
            </w:pPr>
            <w:r w:rsidRPr="00F93FF2">
              <w:rPr>
                <w:sz w:val="40"/>
              </w:rPr>
              <w:t>ECE</w:t>
            </w:r>
            <w:r>
              <w:t>/TRANS/2021/23</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3CCA6C70" w:rsidR="00954785" w:rsidRPr="00FF02F5" w:rsidRDefault="006E2521" w:rsidP="00954785">
            <w:pPr>
              <w:spacing w:line="240" w:lineRule="exact"/>
            </w:pPr>
            <w:r>
              <w:t>11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06CA6881" w14:textId="77777777" w:rsidR="00CF3C06" w:rsidRPr="007D68EB" w:rsidRDefault="00CF3C06" w:rsidP="00CF3C06">
      <w:pPr>
        <w:spacing w:before="120"/>
        <w:rPr>
          <w:b/>
          <w:bCs/>
          <w:sz w:val="28"/>
          <w:szCs w:val="28"/>
        </w:rPr>
      </w:pPr>
      <w:r w:rsidRPr="007D68EB">
        <w:rPr>
          <w:b/>
          <w:bCs/>
          <w:sz w:val="28"/>
          <w:szCs w:val="28"/>
        </w:rPr>
        <w:t>Economic Commission for Europe</w:t>
      </w:r>
    </w:p>
    <w:p w14:paraId="1E17C2DB" w14:textId="77777777" w:rsidR="00CF3C06" w:rsidRPr="007D68EB" w:rsidRDefault="00CF3C06" w:rsidP="00CF3C06">
      <w:pPr>
        <w:spacing w:before="120"/>
        <w:rPr>
          <w:sz w:val="28"/>
          <w:szCs w:val="28"/>
        </w:rPr>
      </w:pPr>
      <w:r w:rsidRPr="007D68EB">
        <w:rPr>
          <w:sz w:val="28"/>
          <w:szCs w:val="28"/>
        </w:rPr>
        <w:t>Inland Transport Committee</w:t>
      </w:r>
    </w:p>
    <w:p w14:paraId="109B028F" w14:textId="77777777" w:rsidR="00CF3C06" w:rsidRDefault="00CF3C06" w:rsidP="00CF3C06">
      <w:pPr>
        <w:spacing w:before="120"/>
        <w:rPr>
          <w:b/>
          <w:bCs/>
          <w:lang w:val="en-US"/>
        </w:rPr>
      </w:pPr>
      <w:r>
        <w:rPr>
          <w:b/>
          <w:bCs/>
          <w:lang w:val="en-US"/>
        </w:rPr>
        <w:t>Eighty-third</w:t>
      </w:r>
      <w:r w:rsidRPr="007D68EB">
        <w:rPr>
          <w:b/>
          <w:bCs/>
          <w:lang w:val="en-US"/>
        </w:rPr>
        <w:t xml:space="preserve"> session</w:t>
      </w:r>
    </w:p>
    <w:p w14:paraId="25BDE7DD" w14:textId="1D08C24B" w:rsidR="00CF3C06" w:rsidRPr="005621CE" w:rsidRDefault="00CF3C06" w:rsidP="00CF3C06">
      <w:pPr>
        <w:rPr>
          <w:b/>
        </w:rPr>
      </w:pPr>
      <w:r w:rsidRPr="007D68EB">
        <w:t>Geneva</w:t>
      </w:r>
      <w:r>
        <w:t>, 2</w:t>
      </w:r>
      <w:r w:rsidR="00210607">
        <w:t>3–</w:t>
      </w:r>
      <w:r>
        <w:t>26 February 2021</w:t>
      </w:r>
      <w:r>
        <w:br/>
      </w:r>
      <w:r w:rsidRPr="00937727">
        <w:t xml:space="preserve">Item </w:t>
      </w:r>
      <w:r w:rsidR="00155D22">
        <w:t>7</w:t>
      </w:r>
      <w:r w:rsidRPr="00937727">
        <w:t xml:space="preserve"> (r) of the</w:t>
      </w:r>
      <w:r w:rsidRPr="00457246">
        <w:t xml:space="preserve"> provisional agenda</w:t>
      </w:r>
      <w:r w:rsidRPr="00457246">
        <w:br/>
      </w:r>
      <w:r w:rsidR="00155D22" w:rsidRPr="00155D22">
        <w:rPr>
          <w:b/>
        </w:rPr>
        <w:t>Strategic questions of a horizontal and cross-sectoral policy or regulatory nature</w:t>
      </w:r>
      <w:r w:rsidRPr="005621CE">
        <w:rPr>
          <w:b/>
        </w:rPr>
        <w:t>:</w:t>
      </w:r>
      <w:r w:rsidRPr="005621CE">
        <w:rPr>
          <w:b/>
        </w:rPr>
        <w:br/>
        <w:t>Transport statistics and data</w:t>
      </w:r>
    </w:p>
    <w:p w14:paraId="0174E0CE" w14:textId="77777777" w:rsidR="00CF3C06" w:rsidRDefault="00CF3C06" w:rsidP="00CF3C06">
      <w:pPr>
        <w:pStyle w:val="HChG"/>
      </w:pPr>
      <w:r>
        <w:tab/>
      </w:r>
      <w:r>
        <w:tab/>
        <w:t>Transport Statistics Activities</w:t>
      </w:r>
    </w:p>
    <w:p w14:paraId="7BE0F84D" w14:textId="77777777" w:rsidR="00CF3C06" w:rsidRDefault="00CF3C06" w:rsidP="00504B89">
      <w:pPr>
        <w:pStyle w:val="H1G"/>
      </w:pPr>
      <w:r>
        <w:tab/>
      </w:r>
      <w:r>
        <w:tab/>
        <w:t>Note by the secretariat</w:t>
      </w:r>
      <w:bookmarkStart w:id="0" w:name="_GoBack"/>
      <w:bookmarkEnd w:id="0"/>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F3C06" w14:paraId="7C09007A" w14:textId="77777777" w:rsidTr="0062089B">
        <w:trPr>
          <w:jc w:val="center"/>
        </w:trPr>
        <w:tc>
          <w:tcPr>
            <w:tcW w:w="9637" w:type="dxa"/>
            <w:shd w:val="clear" w:color="auto" w:fill="auto"/>
          </w:tcPr>
          <w:p w14:paraId="00A2AE65" w14:textId="77777777" w:rsidR="00CF3C06" w:rsidRPr="00C6263E" w:rsidRDefault="00CF3C06" w:rsidP="0062089B">
            <w:pPr>
              <w:spacing w:before="240" w:after="120"/>
              <w:ind w:left="255"/>
              <w:rPr>
                <w:i/>
                <w:sz w:val="24"/>
              </w:rPr>
            </w:pPr>
            <w:r w:rsidRPr="00C6263E">
              <w:rPr>
                <w:i/>
                <w:sz w:val="24"/>
              </w:rPr>
              <w:t>Summary</w:t>
            </w:r>
          </w:p>
        </w:tc>
      </w:tr>
      <w:tr w:rsidR="00CF3C06" w14:paraId="1F175E3C" w14:textId="77777777" w:rsidTr="0062089B">
        <w:trPr>
          <w:jc w:val="center"/>
        </w:trPr>
        <w:tc>
          <w:tcPr>
            <w:tcW w:w="9637" w:type="dxa"/>
            <w:shd w:val="clear" w:color="auto" w:fill="auto"/>
          </w:tcPr>
          <w:p w14:paraId="00643379" w14:textId="087E06AD" w:rsidR="00CF3C06" w:rsidRDefault="00504B89" w:rsidP="0062089B">
            <w:pPr>
              <w:pStyle w:val="SingleTxtG"/>
            </w:pPr>
            <w:r>
              <w:tab/>
            </w:r>
            <w:r>
              <w:tab/>
            </w:r>
            <w:r w:rsidR="00CF3C06">
              <w:t>This document highlights the ongoing work of the Working Party on transport Statistics, with a particular emphasis on some new statistical activities in relation to the COVID-19 epidemic.</w:t>
            </w:r>
          </w:p>
        </w:tc>
      </w:tr>
      <w:tr w:rsidR="00CF3C06" w14:paraId="76D50EC9" w14:textId="77777777" w:rsidTr="0062089B">
        <w:trPr>
          <w:jc w:val="center"/>
        </w:trPr>
        <w:tc>
          <w:tcPr>
            <w:tcW w:w="9637" w:type="dxa"/>
            <w:shd w:val="clear" w:color="auto" w:fill="auto"/>
          </w:tcPr>
          <w:p w14:paraId="5E86DCE4" w14:textId="77777777" w:rsidR="00CF3C06" w:rsidRDefault="00CF3C06" w:rsidP="0062089B"/>
        </w:tc>
      </w:tr>
    </w:tbl>
    <w:p w14:paraId="69DB0A2E" w14:textId="439604B1" w:rsidR="00CF3C06" w:rsidRDefault="00504B89" w:rsidP="00504B89">
      <w:pPr>
        <w:pStyle w:val="HChG"/>
      </w:pPr>
      <w:r>
        <w:tab/>
        <w:t>I.</w:t>
      </w:r>
      <w:r>
        <w:tab/>
      </w:r>
      <w:r w:rsidR="00CF3C06">
        <w:t>Background</w:t>
      </w:r>
    </w:p>
    <w:p w14:paraId="13227875" w14:textId="741277FB" w:rsidR="00CF3C06" w:rsidRDefault="00504B89" w:rsidP="00504B89">
      <w:pPr>
        <w:pStyle w:val="SingleTxtG"/>
      </w:pPr>
      <w:r>
        <w:t>1.</w:t>
      </w:r>
      <w:r>
        <w:tab/>
      </w:r>
      <w:r w:rsidR="00CF3C06">
        <w:t xml:space="preserve">The Working Party on Transport Statistics (WP.6) continues its activities in providing key data to </w:t>
      </w:r>
      <w:r w:rsidR="00CF3C06" w:rsidRPr="004337AD">
        <w:t>inform</w:t>
      </w:r>
      <w:r w:rsidR="00CF3C06">
        <w:t xml:space="preserve"> the Inland Transport Committee (ITC) on developments in the inland transport sector, as well as to facilitate the work of other Working Parties and individual member States through evidence-based policy making</w:t>
      </w:r>
      <w:r w:rsidR="00CF3C06" w:rsidRPr="008F5ED0">
        <w:t>.</w:t>
      </w:r>
      <w:r w:rsidR="00CF3C06">
        <w:t xml:space="preserve"> During the COVID-19 pandemic, the secretariat has continued its mandated activities, including the production of Transport Statistics </w:t>
      </w:r>
      <w:proofErr w:type="spellStart"/>
      <w:r w:rsidR="00CF3C06">
        <w:t>Infocards</w:t>
      </w:r>
      <w:proofErr w:type="spellEnd"/>
      <w:r w:rsidR="00CF3C06">
        <w:t xml:space="preserve"> and Transport Statistics for Europe and North America 2020. Given the exceptional nature of the crisis, it has also been proactive in trying to disseminate near-term statistics on transport-relevant topics, in order to give policymakers the absolute latest information.</w:t>
      </w:r>
    </w:p>
    <w:p w14:paraId="2C73C9A4" w14:textId="6D3EC347" w:rsidR="00CF3C06" w:rsidRDefault="00504B89" w:rsidP="00504B89">
      <w:pPr>
        <w:pStyle w:val="HChG"/>
      </w:pPr>
      <w:r>
        <w:tab/>
        <w:t>II.</w:t>
      </w:r>
      <w:r>
        <w:tab/>
      </w:r>
      <w:r w:rsidR="00CF3C06">
        <w:t>Wiki on Short-Term Transport Statistics Sources</w:t>
      </w:r>
    </w:p>
    <w:p w14:paraId="710B67B3" w14:textId="73DECDA2" w:rsidR="00CF3C06" w:rsidRPr="00464A47" w:rsidRDefault="00504B89" w:rsidP="00504B89">
      <w:pPr>
        <w:pStyle w:val="SingleTxtG"/>
      </w:pPr>
      <w:r w:rsidRPr="00464A47">
        <w:t>2.</w:t>
      </w:r>
      <w:r w:rsidRPr="00464A47">
        <w:tab/>
      </w:r>
      <w:r w:rsidR="00CF3C06" w:rsidRPr="00464A47">
        <w:t xml:space="preserve">Official annual statistics remain a vital benchmark to track progress over time, but the crisis has also forced policy makers and statisticians alike to consider new types of data sources. With some traditional surveys, censuses and even some administrative data sources either hampered or completely unavailable, statisticians have been forced by events to try to measure transport and mobility in different ways. There has been an emergence of “flash” indicators, often based on either mobile network operator location data or tolling/vehicle measurement sources, to allow reasonably accurate data to be released on a monthly, weekly or even daily basis. These indicators may not always have the label of official statistics, but </w:t>
      </w:r>
      <w:r w:rsidR="00CF3C06" w:rsidRPr="00464A47">
        <w:lastRenderedPageBreak/>
        <w:t xml:space="preserve">when produced to a high degree of quality by official statisticians, they provide a useful, trusted source of data in a timely fashion. </w:t>
      </w:r>
    </w:p>
    <w:p w14:paraId="5D963709" w14:textId="0DC09FD2" w:rsidR="00CF3C06" w:rsidRPr="00A1494D" w:rsidRDefault="00504B89" w:rsidP="00504B89">
      <w:pPr>
        <w:pStyle w:val="SingleTxtG"/>
      </w:pPr>
      <w:r w:rsidRPr="00A1494D">
        <w:t>3.</w:t>
      </w:r>
      <w:r w:rsidRPr="00A1494D">
        <w:tab/>
      </w:r>
      <w:r w:rsidR="00CF3C06" w:rsidRPr="00A1494D">
        <w:t>Since the crisis began, the secretariat has been monitoring transport impacts through the production and maintenance of a wiki of short-term official statistics sources relevant to transport</w:t>
      </w:r>
      <w:r>
        <w:t>.</w:t>
      </w:r>
      <w:r w:rsidR="00CF3C06" w:rsidRPr="00DB3259">
        <w:rPr>
          <w:vertAlign w:val="superscript"/>
        </w:rPr>
        <w:footnoteReference w:id="2"/>
      </w:r>
      <w:r w:rsidR="00CF3C06" w:rsidRPr="00A1494D">
        <w:t xml:space="preserve"> At the time of writing, there are more than 150 sources linked to pages from almost all ECE member States. These data cover a wide range of topics relevant to transport statistics. </w:t>
      </w:r>
    </w:p>
    <w:p w14:paraId="66CA3B98" w14:textId="29396286" w:rsidR="00CF3C06" w:rsidRDefault="00504B89" w:rsidP="00504B89">
      <w:pPr>
        <w:pStyle w:val="SingleTxtG"/>
      </w:pPr>
      <w:r>
        <w:t>4.</w:t>
      </w:r>
      <w:r>
        <w:tab/>
      </w:r>
      <w:r w:rsidR="00CF3C06">
        <w:t>For policy makers interested in new vehicle registrations, public transport, road traffic levels and road safety performance in 2020 on a daily, weekly or monthly basis, the wiki page can provide a useful resource for timely information. To take just one example, t</w:t>
      </w:r>
      <w:r w:rsidR="00CF3C06" w:rsidRPr="004F2921">
        <w:t xml:space="preserve">he use of vehicle counters and in some cases toll data have really increased their prominence during 2020. </w:t>
      </w:r>
      <w:r w:rsidR="00DD2AA5">
        <w:t>The n</w:t>
      </w:r>
      <w:r w:rsidR="00CF3C06" w:rsidRPr="004F2921">
        <w:t xml:space="preserve">umber of vehicles per day on key corridors can be a very pertinent proxy for overall traffic levels, and aggregating multiple points with other information can provide a useful index that can be somewhat comparable to vehicle-km. Data can also be obtained from tolling data on main highways, as is the case in Germany. Figure </w:t>
      </w:r>
      <w:r w:rsidR="009F0545">
        <w:t>I</w:t>
      </w:r>
      <w:r w:rsidR="00CF3C06" w:rsidRPr="004F2921">
        <w:t xml:space="preserve"> shows an index of different traffic types on roads in </w:t>
      </w:r>
      <w:r w:rsidR="00DD2AA5" w:rsidRPr="00DD2AA5">
        <w:t>United Kingdom of Great Britain and Northern Ireland</w:t>
      </w:r>
      <w:r w:rsidR="00CF3C06" w:rsidRPr="004F2921">
        <w:t xml:space="preserve">. </w:t>
      </w:r>
    </w:p>
    <w:p w14:paraId="3BAAC851" w14:textId="77777777" w:rsidR="009815C5" w:rsidRPr="00250302" w:rsidRDefault="009815C5" w:rsidP="009815C5">
      <w:pPr>
        <w:pStyle w:val="SingleTxtG"/>
        <w:spacing w:after="0"/>
      </w:pPr>
      <w:r w:rsidRPr="00250302">
        <w:t xml:space="preserve">Figure </w:t>
      </w:r>
      <w:r>
        <w:t>I</w:t>
      </w:r>
    </w:p>
    <w:p w14:paraId="3FF007AE" w14:textId="1985744A" w:rsidR="009815C5" w:rsidRDefault="009815C5" w:rsidP="009815C5">
      <w:pPr>
        <w:pStyle w:val="SingleTxtG"/>
      </w:pPr>
      <w:r>
        <w:rPr>
          <w:b/>
        </w:rPr>
        <w:t>C</w:t>
      </w:r>
      <w:r w:rsidRPr="009815C5">
        <w:rPr>
          <w:b/>
        </w:rPr>
        <w:t xml:space="preserve">hanges in road traffic levels </w:t>
      </w:r>
      <w:r w:rsidR="00DD2AA5">
        <w:rPr>
          <w:b/>
        </w:rPr>
        <w:t xml:space="preserve">in </w:t>
      </w:r>
      <w:r w:rsidR="00DD2AA5" w:rsidRPr="00DD2AA5">
        <w:rPr>
          <w:b/>
        </w:rPr>
        <w:t>United Kingdom of Great Britain and Northern Ireland</w:t>
      </w:r>
      <w:r w:rsidRPr="009815C5">
        <w:rPr>
          <w:b/>
        </w:rPr>
        <w:t xml:space="preserve"> for different vehicle types compared to 1st week of February 2020</w:t>
      </w:r>
    </w:p>
    <w:p w14:paraId="775D2290" w14:textId="77777777" w:rsidR="00CF3C06" w:rsidRDefault="00CF3C06" w:rsidP="00CF3C06">
      <w:pPr>
        <w:pStyle w:val="SingleTxtG"/>
        <w:keepNext/>
        <w:ind w:left="1494"/>
      </w:pPr>
      <w:r w:rsidRPr="001518CC">
        <w:rPr>
          <w:rFonts w:eastAsiaTheme="minorEastAsia"/>
          <w:noProof/>
          <w:lang w:eastAsia="zh-CN"/>
        </w:rPr>
        <w:drawing>
          <wp:inline distT="0" distB="0" distL="0" distR="0" wp14:anchorId="7E4FB302" wp14:editId="52934564">
            <wp:extent cx="4444779" cy="1891030"/>
            <wp:effectExtent l="0" t="0" r="13335" b="13970"/>
            <wp:docPr id="12" name="Chart 12">
              <a:extLst xmlns:a="http://schemas.openxmlformats.org/drawingml/2006/main">
                <a:ext uri="{FF2B5EF4-FFF2-40B4-BE49-F238E27FC236}">
                  <a16:creationId xmlns:a16="http://schemas.microsoft.com/office/drawing/2014/main" id="{74BB7CD1-7283-4B86-A6F1-A1223837B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215ADC" w14:textId="3187CD70" w:rsidR="009815C5" w:rsidRPr="009815C5" w:rsidRDefault="009815C5" w:rsidP="009815C5">
      <w:pPr>
        <w:spacing w:after="120"/>
        <w:ind w:left="1134" w:right="1134" w:firstLine="170"/>
        <w:jc w:val="both"/>
        <w:rPr>
          <w:lang w:val="en-US" w:eastAsia="en-US"/>
        </w:rPr>
      </w:pPr>
      <w:r w:rsidRPr="00250302">
        <w:rPr>
          <w:i/>
          <w:sz w:val="18"/>
          <w:szCs w:val="18"/>
        </w:rPr>
        <w:t>Source</w:t>
      </w:r>
      <w:r w:rsidRPr="00250302">
        <w:rPr>
          <w:sz w:val="18"/>
          <w:szCs w:val="18"/>
        </w:rPr>
        <w:t xml:space="preserve">: </w:t>
      </w:r>
      <w:r w:rsidRPr="009815C5">
        <w:rPr>
          <w:sz w:val="18"/>
          <w:szCs w:val="18"/>
        </w:rPr>
        <w:t xml:space="preserve">UK </w:t>
      </w:r>
      <w:proofErr w:type="spellStart"/>
      <w:r w:rsidRPr="009815C5">
        <w:rPr>
          <w:sz w:val="18"/>
          <w:szCs w:val="18"/>
        </w:rPr>
        <w:t>DfT</w:t>
      </w:r>
      <w:proofErr w:type="spellEnd"/>
    </w:p>
    <w:p w14:paraId="6EE266B8" w14:textId="30F93690" w:rsidR="00CF3C06" w:rsidRDefault="00504B89" w:rsidP="00504B89">
      <w:pPr>
        <w:pStyle w:val="SingleTxtG"/>
      </w:pPr>
      <w:r>
        <w:t>5.</w:t>
      </w:r>
      <w:r>
        <w:tab/>
      </w:r>
      <w:r w:rsidR="00CF3C06" w:rsidRPr="004F2921">
        <w:t>The data are an index based upon an equivalent day in the first week of February 2020, for cars, Light Goods Vehicles (LGVs) and Heavy Goods Vehicles (HGVs). Data are not seasonally adjusted, and so the Bank Holidays are clearly visible as dips. The graph shows that car traffic was consistently lower than goods vehicles throughout the lockdown period. These traffic trends are also visible in data for other countries. For example, Germany’s truck toll mileage index at its minimum on 30 April 2020 was 15.6 per cent lower than the baseline, whereas an index measuring total land mobility hit a low of 59 per cent below the baseline. Similarly, in the United States of America, the daily passenger Vehicle Miles Travelled index hit a low of 60% below the baseline on 12 April 2020.</w:t>
      </w:r>
    </w:p>
    <w:p w14:paraId="499AA9FA" w14:textId="312FFD81" w:rsidR="00CF3C06" w:rsidRDefault="00504B89" w:rsidP="00504B89">
      <w:pPr>
        <w:pStyle w:val="SingleTxtG"/>
      </w:pPr>
      <w:r w:rsidRPr="00D6565E">
        <w:rPr>
          <w:rFonts w:eastAsiaTheme="minorEastAsia"/>
          <w:lang w:val="en-US" w:eastAsia="zh-CN"/>
        </w:rPr>
        <w:t>6.</w:t>
      </w:r>
      <w:r w:rsidRPr="00D6565E">
        <w:rPr>
          <w:rFonts w:eastAsiaTheme="minorEastAsia"/>
          <w:lang w:val="en-US" w:eastAsia="zh-CN"/>
        </w:rPr>
        <w:tab/>
      </w:r>
      <w:r w:rsidR="00CF3C06" w:rsidRPr="009C2DA3">
        <w:t xml:space="preserve">With record falls in road traffic levels in many countries, there has been great interest in the impact on road traffic accidents. The secretariat found relevant monthly data for twenty ECE member States, and in addition data for some sub-national entities such as New York City, Greater London and Northern Ireland. The impact on road traffic accident numbers has varied considerably by country, with some countries seeing record decreases in fatalities while others seeing insignificant changes from the baseline or even small increases. Comparisons across time are challenging as provisional data are typically collated on a different basis to finalized annual numbers. Therefore, data have only been compared with previous years’ provisional monthly data. </w:t>
      </w:r>
    </w:p>
    <w:p w14:paraId="0796FA71" w14:textId="6E59F422" w:rsidR="009F0545" w:rsidRPr="00250302" w:rsidRDefault="009F0545" w:rsidP="009F0545">
      <w:pPr>
        <w:pStyle w:val="SingleTxtG"/>
        <w:keepNext/>
        <w:keepLines/>
        <w:spacing w:after="0"/>
      </w:pPr>
      <w:r w:rsidRPr="00250302">
        <w:lastRenderedPageBreak/>
        <w:t xml:space="preserve">Figure </w:t>
      </w:r>
      <w:r>
        <w:t>II</w:t>
      </w:r>
    </w:p>
    <w:p w14:paraId="4612877C" w14:textId="484504C2" w:rsidR="009F0545" w:rsidRDefault="009F0545" w:rsidP="009F0545">
      <w:pPr>
        <w:pStyle w:val="SingleTxtG"/>
        <w:keepNext/>
        <w:keepLines/>
      </w:pPr>
      <w:r w:rsidRPr="009F0545">
        <w:rPr>
          <w:b/>
        </w:rPr>
        <w:t>Reductions in road traffic accident fatalities, April-June 2020 versus April-June 2019</w:t>
      </w:r>
      <w:r>
        <w:rPr>
          <w:b/>
        </w:rPr>
        <w:t xml:space="preserve"> (a</w:t>
      </w:r>
      <w:r w:rsidRPr="009F0545">
        <w:rPr>
          <w:b/>
        </w:rPr>
        <w:t>vailable countries only</w:t>
      </w:r>
      <w:r>
        <w:rPr>
          <w:b/>
        </w:rPr>
        <w:t>)</w:t>
      </w:r>
    </w:p>
    <w:p w14:paraId="4D77B50F" w14:textId="77777777" w:rsidR="00CF3C06" w:rsidRDefault="00CF3C06" w:rsidP="00CF3C06">
      <w:pPr>
        <w:pStyle w:val="SingleTxtG"/>
        <w:keepNext/>
        <w:ind w:left="1494"/>
      </w:pPr>
      <w:r w:rsidRPr="001518CC">
        <w:rPr>
          <w:rFonts w:eastAsiaTheme="minorEastAsia"/>
          <w:noProof/>
          <w:lang w:eastAsia="zh-CN"/>
        </w:rPr>
        <w:drawing>
          <wp:inline distT="0" distB="0" distL="0" distR="0" wp14:anchorId="76D9FC4B" wp14:editId="23B0C9D3">
            <wp:extent cx="4449170" cy="1602740"/>
            <wp:effectExtent l="0" t="0" r="8890" b="16510"/>
            <wp:docPr id="13" name="Chart 13">
              <a:extLst xmlns:a="http://schemas.openxmlformats.org/drawingml/2006/main">
                <a:ext uri="{FF2B5EF4-FFF2-40B4-BE49-F238E27FC236}">
                  <a16:creationId xmlns:a16="http://schemas.microsoft.com/office/drawing/2014/main" id="{B5DDA911-1861-45C2-B55C-28F703DC1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584E47" w14:textId="7D412C14" w:rsidR="00CF3C06" w:rsidRPr="00D6565E" w:rsidRDefault="00504B89" w:rsidP="00504B89">
      <w:pPr>
        <w:pStyle w:val="SingleTxtG"/>
        <w:rPr>
          <w:lang w:val="en-US"/>
        </w:rPr>
      </w:pPr>
      <w:r>
        <w:rPr>
          <w:lang w:val="en-US" w:eastAsia="en-US"/>
        </w:rPr>
        <w:t>7.</w:t>
      </w:r>
      <w:r>
        <w:rPr>
          <w:lang w:val="en-US" w:eastAsia="en-US"/>
        </w:rPr>
        <w:tab/>
      </w:r>
      <w:r w:rsidR="00CF3C06" w:rsidRPr="009C2DA3">
        <w:t xml:space="preserve">Figure </w:t>
      </w:r>
      <w:r w:rsidR="009F0545">
        <w:t>II</w:t>
      </w:r>
      <w:r w:rsidR="00CF3C06" w:rsidRPr="009C2DA3">
        <w:t xml:space="preserve"> shows the change in fatalities between April-June 2019 and April-June 2020 for all available countries with monthly data, with a negative number indicating a decrease. Users are strongly advised to consult country sites linked to on the online wiki in order understand the limitations of these provisional numbers.</w:t>
      </w:r>
      <w:r w:rsidR="00CF3C06" w:rsidRPr="001518CC">
        <w:rPr>
          <w:rFonts w:eastAsiaTheme="minorEastAsia"/>
          <w:sz w:val="18"/>
          <w:vertAlign w:val="superscript"/>
          <w:lang w:val="fr-CH" w:eastAsia="zh-CN"/>
        </w:rPr>
        <w:footnoteReference w:id="3"/>
      </w:r>
      <w:r w:rsidR="00CF3C06">
        <w:t xml:space="preserve"> </w:t>
      </w:r>
      <w:r w:rsidR="00CF3C06" w:rsidRPr="00504B89">
        <w:rPr>
          <w:lang w:val="en-US"/>
        </w:rPr>
        <w:t xml:space="preserve">Figure </w:t>
      </w:r>
      <w:r w:rsidR="009F0545">
        <w:rPr>
          <w:lang w:val="en-US"/>
        </w:rPr>
        <w:t>II</w:t>
      </w:r>
      <w:r w:rsidR="00CF3C06" w:rsidRPr="00504B89">
        <w:rPr>
          <w:lang w:val="en-US"/>
        </w:rPr>
        <w:t xml:space="preserve"> shows that the majority of countries did see a year-on-year decrease in traffic fatalities in the second quarter of 2020, with many experiencing over a 30 per cent reduction. These falls in fatalities are undoubtedly good news, but also need to be considered in the context of record falls in traffic in many countries, which were typically much larger (as evidenced in the traffic data above).</w:t>
      </w:r>
    </w:p>
    <w:p w14:paraId="35BFE1B8" w14:textId="6BF5EC22" w:rsidR="00CF3C06" w:rsidRPr="004F2921" w:rsidRDefault="00504B89" w:rsidP="00504B89">
      <w:pPr>
        <w:pStyle w:val="SingleTxtG"/>
      </w:pPr>
      <w:r w:rsidRPr="004F2921">
        <w:t>8.</w:t>
      </w:r>
      <w:r w:rsidRPr="004F2921">
        <w:tab/>
      </w:r>
      <w:r w:rsidR="00CF3C06">
        <w:t>The above examples are simply a few of the many interesting data sources available on the wiki, through the innovative work of member States and collated by the secretariat.</w:t>
      </w:r>
    </w:p>
    <w:p w14:paraId="1D43274A" w14:textId="6432FCA4" w:rsidR="00CF3C06" w:rsidRDefault="00504B89" w:rsidP="00504B89">
      <w:pPr>
        <w:pStyle w:val="HChG"/>
      </w:pPr>
      <w:r>
        <w:tab/>
        <w:t>III.</w:t>
      </w:r>
      <w:r>
        <w:tab/>
      </w:r>
      <w:r w:rsidR="00CF3C06">
        <w:t>Assisting countries with methodology on new mobility indicators</w:t>
      </w:r>
    </w:p>
    <w:p w14:paraId="3446F463" w14:textId="6ABA84E2" w:rsidR="00CF3C06" w:rsidRDefault="00504B89" w:rsidP="00504B89">
      <w:pPr>
        <w:pStyle w:val="SingleTxtG"/>
      </w:pPr>
      <w:r>
        <w:t>9.</w:t>
      </w:r>
      <w:r>
        <w:tab/>
      </w:r>
      <w:r w:rsidR="00CF3C06">
        <w:t xml:space="preserve">With the emergence of the aforementioned new data sources, in particular the new measures of mobility using mobile telephone data and traffic counters, it has become clear that there are many different country practices on how to collect the data, consider confidentiality, and calculate meaningful comparisons over time. The secretariat has therefore, in cooperation with the International Transport Forum,  established a network of interested national statisticians and data users to discuss these issues and share best practices across countries, with the aim of increasing knowledge and possibly moving towards issuing recommendations on methodology in the future. The group met virtually in October for the first time, with representatives from fourteen member States as well as other international organisations present. </w:t>
      </w:r>
    </w:p>
    <w:p w14:paraId="211A3DC7" w14:textId="3D1BB34E" w:rsidR="00CF3C06" w:rsidRDefault="00504B89" w:rsidP="00504B89">
      <w:pPr>
        <w:pStyle w:val="SingleTxtG"/>
      </w:pPr>
      <w:r>
        <w:t>10.</w:t>
      </w:r>
      <w:r>
        <w:tab/>
      </w:r>
      <w:r w:rsidR="00CF3C06">
        <w:t>This initiative will continue as long as member States continue to benefit from it. If any delegates have interesting data-heavy examples of new ways to track mobility that they could present at a future meeting, then they are invited to contact the secretariat.</w:t>
      </w:r>
    </w:p>
    <w:p w14:paraId="06C0BD89" w14:textId="77777777" w:rsidR="00CF3C06" w:rsidRDefault="00CF3C06" w:rsidP="00504B89">
      <w:pPr>
        <w:pStyle w:val="HChG"/>
      </w:pPr>
      <w:r>
        <w:tab/>
        <w:t xml:space="preserve">IV. </w:t>
      </w:r>
      <w:r>
        <w:tab/>
        <w:t xml:space="preserve">Transport Statistics </w:t>
      </w:r>
      <w:proofErr w:type="spellStart"/>
      <w:r>
        <w:t>Infocards</w:t>
      </w:r>
      <w:proofErr w:type="spellEnd"/>
    </w:p>
    <w:p w14:paraId="60899352" w14:textId="09176719" w:rsidR="00250503" w:rsidRDefault="00504B89" w:rsidP="00504B89">
      <w:pPr>
        <w:pStyle w:val="SingleTxtG"/>
      </w:pPr>
      <w:r>
        <w:t>11.</w:t>
      </w:r>
      <w:r>
        <w:tab/>
      </w:r>
      <w:r w:rsidR="00CF3C06">
        <w:t xml:space="preserve">The secretariat also continues its core work on producing annual official statistics. </w:t>
      </w:r>
      <w:r w:rsidR="00DD2AA5">
        <w:t>To</w:t>
      </w:r>
      <w:r w:rsidR="00CF3C06">
        <w:t xml:space="preserve"> make this information more readily available, the secretariat has prepared an updated set of transport statistics country profiles (</w:t>
      </w:r>
      <w:proofErr w:type="spellStart"/>
      <w:r w:rsidR="00CF3C06">
        <w:t>Infocards</w:t>
      </w:r>
      <w:proofErr w:type="spellEnd"/>
      <w:r w:rsidR="00CF3C06">
        <w:t xml:space="preserve">). The </w:t>
      </w:r>
      <w:proofErr w:type="spellStart"/>
      <w:r w:rsidR="00CF3C06">
        <w:t>Infocards</w:t>
      </w:r>
      <w:proofErr w:type="spellEnd"/>
      <w:r w:rsidR="00CF3C06">
        <w:t xml:space="preserve"> set out key transport indicators including passenger and freight volumes, modal split and road safety related data for ECE member States. The </w:t>
      </w:r>
      <w:proofErr w:type="spellStart"/>
      <w:r w:rsidR="00CF3C06">
        <w:t>Infocards</w:t>
      </w:r>
      <w:proofErr w:type="spellEnd"/>
      <w:r w:rsidR="00CF3C06">
        <w:t xml:space="preserve"> are available for download on the ECE website (</w:t>
      </w:r>
      <w:r w:rsidR="00CF3C06" w:rsidRPr="00BB1CFC">
        <w:t>www.unece.org/trans/main/wp6/infocards.html</w:t>
      </w:r>
      <w:r w:rsidR="00CF3C06">
        <w:t xml:space="preserve">) as one package or as individual country files and can be viewed in Informal Document </w:t>
      </w:r>
      <w:r w:rsidR="00CF3C06" w:rsidRPr="00277D29">
        <w:t>No. 8.</w:t>
      </w:r>
      <w:r w:rsidR="00CF3C06">
        <w:t xml:space="preserve"> The data contained in the </w:t>
      </w:r>
      <w:proofErr w:type="spellStart"/>
      <w:r w:rsidR="00CF3C06">
        <w:t>Infocards</w:t>
      </w:r>
      <w:proofErr w:type="spellEnd"/>
      <w:r w:rsidR="00CF3C06">
        <w:t xml:space="preserve"> are </w:t>
      </w:r>
      <w:r w:rsidR="00CF3C06">
        <w:lastRenderedPageBreak/>
        <w:t>based on information available in the ECE transport statistics database available online (</w:t>
      </w:r>
      <w:r w:rsidR="00CF3C06" w:rsidRPr="00D6366C">
        <w:t>w3.unece.org/</w:t>
      </w:r>
      <w:proofErr w:type="spellStart"/>
      <w:r w:rsidR="00CF3C06" w:rsidRPr="00D6366C">
        <w:t>PXWeb</w:t>
      </w:r>
      <w:proofErr w:type="spellEnd"/>
      <w:r w:rsidR="00CF3C06" w:rsidRPr="00D6366C">
        <w:t>/</w:t>
      </w:r>
      <w:proofErr w:type="spellStart"/>
      <w:r w:rsidR="00CF3C06" w:rsidRPr="00D6366C">
        <w:t>en</w:t>
      </w:r>
      <w:proofErr w:type="spellEnd"/>
      <w:r w:rsidR="00CF3C06">
        <w:t>)</w:t>
      </w:r>
      <w:r w:rsidR="00F444F8">
        <w:t>.</w:t>
      </w:r>
    </w:p>
    <w:p w14:paraId="6AAE616F" w14:textId="3EDCDCE8" w:rsidR="00504B89" w:rsidRPr="00504B89" w:rsidRDefault="00504B89" w:rsidP="00504B89">
      <w:pPr>
        <w:spacing w:before="240"/>
        <w:jc w:val="center"/>
        <w:rPr>
          <w:u w:val="single"/>
        </w:rPr>
      </w:pPr>
      <w:r>
        <w:rPr>
          <w:u w:val="single"/>
        </w:rPr>
        <w:tab/>
      </w:r>
      <w:r>
        <w:rPr>
          <w:u w:val="single"/>
        </w:rPr>
        <w:tab/>
      </w:r>
      <w:r>
        <w:rPr>
          <w:u w:val="single"/>
        </w:rPr>
        <w:tab/>
      </w:r>
    </w:p>
    <w:sectPr w:rsidR="00504B89" w:rsidRPr="00504B89"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74E4" w14:textId="77777777" w:rsidR="000D042A" w:rsidRDefault="000D042A"/>
  </w:endnote>
  <w:endnote w:type="continuationSeparator" w:id="0">
    <w:p w14:paraId="60D3D4C0" w14:textId="77777777" w:rsidR="000D042A" w:rsidRDefault="000D042A"/>
  </w:endnote>
  <w:endnote w:type="continuationNotice" w:id="1">
    <w:p w14:paraId="41C20F34" w14:textId="77777777" w:rsidR="000D042A" w:rsidRDefault="000D0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80D9" w14:textId="51BE5FB4" w:rsidR="00DA1729" w:rsidRDefault="00DA1729" w:rsidP="00DA1729">
    <w:pPr>
      <w:pStyle w:val="Footer"/>
    </w:pPr>
    <w:r w:rsidRPr="0027112F">
      <w:rPr>
        <w:noProof/>
        <w:lang w:val="en-US"/>
      </w:rPr>
      <w:drawing>
        <wp:anchor distT="0" distB="0" distL="114300" distR="114300" simplePos="0" relativeHeight="251659264" behindDoc="0" locked="1" layoutInCell="1" allowOverlap="1" wp14:anchorId="57675697" wp14:editId="3271C5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6A5D80" w14:textId="5C3FCC69" w:rsidR="00DA1729" w:rsidRPr="00DA1729" w:rsidRDefault="00DA1729" w:rsidP="00DA1729">
    <w:pPr>
      <w:pStyle w:val="Footer"/>
      <w:ind w:right="1134"/>
      <w:rPr>
        <w:sz w:val="20"/>
      </w:rPr>
    </w:pPr>
    <w:r>
      <w:rPr>
        <w:sz w:val="20"/>
      </w:rPr>
      <w:t>GE.20-16828(E)</w:t>
    </w:r>
    <w:r>
      <w:rPr>
        <w:noProof/>
        <w:sz w:val="20"/>
      </w:rPr>
      <w:drawing>
        <wp:anchor distT="0" distB="0" distL="114300" distR="114300" simplePos="0" relativeHeight="251660288" behindDoc="0" locked="0" layoutInCell="1" allowOverlap="1" wp14:anchorId="6BC4C22F" wp14:editId="351D36E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B362" w14:textId="77777777" w:rsidR="000D042A" w:rsidRPr="000B175B" w:rsidRDefault="000D042A" w:rsidP="000B175B">
      <w:pPr>
        <w:tabs>
          <w:tab w:val="right" w:pos="2155"/>
        </w:tabs>
        <w:spacing w:after="80"/>
        <w:ind w:left="680"/>
        <w:rPr>
          <w:u w:val="single"/>
        </w:rPr>
      </w:pPr>
      <w:r>
        <w:rPr>
          <w:u w:val="single"/>
        </w:rPr>
        <w:tab/>
      </w:r>
    </w:p>
  </w:footnote>
  <w:footnote w:type="continuationSeparator" w:id="0">
    <w:p w14:paraId="10087A8F" w14:textId="77777777" w:rsidR="000D042A" w:rsidRPr="00FC68B7" w:rsidRDefault="000D042A" w:rsidP="00FC68B7">
      <w:pPr>
        <w:tabs>
          <w:tab w:val="left" w:pos="2155"/>
        </w:tabs>
        <w:spacing w:after="80"/>
        <w:ind w:left="680"/>
        <w:rPr>
          <w:u w:val="single"/>
        </w:rPr>
      </w:pPr>
      <w:r>
        <w:rPr>
          <w:u w:val="single"/>
        </w:rPr>
        <w:tab/>
      </w:r>
    </w:p>
  </w:footnote>
  <w:footnote w:type="continuationNotice" w:id="1">
    <w:p w14:paraId="645FA292" w14:textId="77777777" w:rsidR="000D042A" w:rsidRDefault="000D042A"/>
  </w:footnote>
  <w:footnote w:id="2">
    <w:p w14:paraId="503B71CD" w14:textId="592DF791" w:rsidR="00CF3C06" w:rsidRPr="00F01113" w:rsidRDefault="00504B89" w:rsidP="00504B89">
      <w:pPr>
        <w:pStyle w:val="FootnoteText"/>
        <w:rPr>
          <w:lang w:val="en-US"/>
        </w:rPr>
      </w:pPr>
      <w:r>
        <w:tab/>
      </w:r>
      <w:r w:rsidR="00CF3C06">
        <w:rPr>
          <w:rStyle w:val="FootnoteReference"/>
        </w:rPr>
        <w:footnoteRef/>
      </w:r>
      <w:r w:rsidR="00CF3C06">
        <w:t xml:space="preserve"> </w:t>
      </w:r>
      <w:r>
        <w:tab/>
      </w:r>
      <w:r w:rsidR="00CF3C06">
        <w:rPr>
          <w:lang w:val="en-US"/>
        </w:rPr>
        <w:t xml:space="preserve">This wiki page can be accessed at </w:t>
      </w:r>
      <w:hyperlink r:id="rId1" w:history="1">
        <w:r w:rsidR="00CF3C06" w:rsidRPr="00E42FDA">
          <w:rPr>
            <w:color w:val="0000FF"/>
            <w:u w:val="single"/>
          </w:rPr>
          <w:t>https://wiki.unece.org/display/DSOCIOT/Data+Sources+on+Coronavirus+impact+on+transport</w:t>
        </w:r>
      </w:hyperlink>
      <w:r w:rsidR="00CF3C06">
        <w:t>.</w:t>
      </w:r>
    </w:p>
  </w:footnote>
  <w:footnote w:id="3">
    <w:p w14:paraId="1389B0A0" w14:textId="6E9735C4" w:rsidR="00CF3C06" w:rsidRPr="004651B9" w:rsidRDefault="00504B89" w:rsidP="00CF3C06">
      <w:pPr>
        <w:pStyle w:val="FootnoteText"/>
        <w:rPr>
          <w:lang w:val="en-US"/>
        </w:rPr>
      </w:pPr>
      <w:r>
        <w:tab/>
      </w:r>
      <w:r w:rsidR="00CF3C06">
        <w:rPr>
          <w:rStyle w:val="FootnoteReference"/>
        </w:rPr>
        <w:footnoteRef/>
      </w:r>
      <w:r w:rsidR="00CF3C06" w:rsidRPr="001518CC">
        <w:t xml:space="preserve"> </w:t>
      </w:r>
      <w:r>
        <w:tab/>
      </w:r>
      <w:r w:rsidR="00CF3C06" w:rsidRPr="00504B89">
        <w:rPr>
          <w:szCs w:val="18"/>
          <w:lang w:val="en-US"/>
        </w:rPr>
        <w:t xml:space="preserve">A summary of these limitations is available at </w:t>
      </w:r>
      <w:hyperlink r:id="rId2" w:history="1">
        <w:r w:rsidR="00CF3C06" w:rsidRPr="00504B89">
          <w:rPr>
            <w:color w:val="0000FF"/>
            <w:szCs w:val="18"/>
            <w:u w:val="single"/>
          </w:rPr>
          <w:t>https://wiki.unece.org/display/DSOCIOT/Collated+Provisional+Road+Safety+Data</w:t>
        </w:r>
      </w:hyperlink>
      <w:r w:rsidR="00CF3C06" w:rsidRPr="00504B8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45CD7B29" w:rsidR="00954785" w:rsidRPr="00954785" w:rsidRDefault="00155D22">
    <w:pPr>
      <w:pStyle w:val="Header"/>
    </w:pPr>
    <w:r>
      <w:t>ECE/TRANS/2021/23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0AA58E70" w:rsidR="00954785" w:rsidRPr="00954785" w:rsidRDefault="00155D22" w:rsidP="00954785">
    <w:pPr>
      <w:pStyle w:val="Header"/>
      <w:jc w:val="right"/>
    </w:pPr>
    <w:r>
      <w:t>ECE/TRANS/2021/23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1B31B5"/>
    <w:multiLevelType w:val="hybridMultilevel"/>
    <w:tmpl w:val="670A7D30"/>
    <w:lvl w:ilvl="0" w:tplc="6E005EAC">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D3E6A"/>
    <w:multiLevelType w:val="hybridMultilevel"/>
    <w:tmpl w:val="75163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A6F99"/>
    <w:multiLevelType w:val="hybridMultilevel"/>
    <w:tmpl w:val="05A29312"/>
    <w:lvl w:ilvl="0" w:tplc="527842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1"/>
  </w:num>
  <w:num w:numId="19">
    <w:abstractNumId w:val="12"/>
  </w:num>
  <w:num w:numId="20">
    <w:abstractNumId w:val="19"/>
  </w:num>
  <w:num w:numId="21">
    <w:abstractNumId w:val="20"/>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042A"/>
    <w:rsid w:val="000E0415"/>
    <w:rsid w:val="000F7715"/>
    <w:rsid w:val="00155D22"/>
    <w:rsid w:val="00156B99"/>
    <w:rsid w:val="00166124"/>
    <w:rsid w:val="00184DDA"/>
    <w:rsid w:val="001900CD"/>
    <w:rsid w:val="001A0452"/>
    <w:rsid w:val="001B4B04"/>
    <w:rsid w:val="001B5875"/>
    <w:rsid w:val="001B7F86"/>
    <w:rsid w:val="001C4B9C"/>
    <w:rsid w:val="001C6663"/>
    <w:rsid w:val="001C7895"/>
    <w:rsid w:val="001D26DF"/>
    <w:rsid w:val="001F1599"/>
    <w:rsid w:val="001F19C4"/>
    <w:rsid w:val="002043F0"/>
    <w:rsid w:val="00210607"/>
    <w:rsid w:val="00211E0B"/>
    <w:rsid w:val="0022137B"/>
    <w:rsid w:val="00232575"/>
    <w:rsid w:val="00247258"/>
    <w:rsid w:val="00250503"/>
    <w:rsid w:val="00257CAC"/>
    <w:rsid w:val="0027237A"/>
    <w:rsid w:val="00276C8B"/>
    <w:rsid w:val="002974E9"/>
    <w:rsid w:val="002A7F94"/>
    <w:rsid w:val="002B109A"/>
    <w:rsid w:val="002C6D45"/>
    <w:rsid w:val="002D6E53"/>
    <w:rsid w:val="002F046D"/>
    <w:rsid w:val="002F3023"/>
    <w:rsid w:val="00301764"/>
    <w:rsid w:val="00303D68"/>
    <w:rsid w:val="00307A0A"/>
    <w:rsid w:val="003229D8"/>
    <w:rsid w:val="00336C97"/>
    <w:rsid w:val="00337F88"/>
    <w:rsid w:val="00342432"/>
    <w:rsid w:val="0035223F"/>
    <w:rsid w:val="00352D4B"/>
    <w:rsid w:val="00352FFA"/>
    <w:rsid w:val="0035638C"/>
    <w:rsid w:val="0039451F"/>
    <w:rsid w:val="003A46BB"/>
    <w:rsid w:val="003A4EC7"/>
    <w:rsid w:val="003A7295"/>
    <w:rsid w:val="003B1F60"/>
    <w:rsid w:val="003C2CC4"/>
    <w:rsid w:val="003C359D"/>
    <w:rsid w:val="003D4B23"/>
    <w:rsid w:val="003E059E"/>
    <w:rsid w:val="003E278A"/>
    <w:rsid w:val="0040185F"/>
    <w:rsid w:val="00413520"/>
    <w:rsid w:val="004325CB"/>
    <w:rsid w:val="00440A07"/>
    <w:rsid w:val="00462880"/>
    <w:rsid w:val="004662B9"/>
    <w:rsid w:val="004768EE"/>
    <w:rsid w:val="00476F24"/>
    <w:rsid w:val="004923A8"/>
    <w:rsid w:val="004A7908"/>
    <w:rsid w:val="004C55B0"/>
    <w:rsid w:val="004F6BA0"/>
    <w:rsid w:val="00503BEA"/>
    <w:rsid w:val="00504B89"/>
    <w:rsid w:val="00533616"/>
    <w:rsid w:val="00535ABA"/>
    <w:rsid w:val="0053768B"/>
    <w:rsid w:val="005420F2"/>
    <w:rsid w:val="0054285C"/>
    <w:rsid w:val="00584173"/>
    <w:rsid w:val="00595520"/>
    <w:rsid w:val="005A44B9"/>
    <w:rsid w:val="005B1BA0"/>
    <w:rsid w:val="005B3DB3"/>
    <w:rsid w:val="005B680E"/>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3ABA"/>
    <w:rsid w:val="006B67D9"/>
    <w:rsid w:val="006C5535"/>
    <w:rsid w:val="006D0589"/>
    <w:rsid w:val="006E2521"/>
    <w:rsid w:val="006E564B"/>
    <w:rsid w:val="006E7154"/>
    <w:rsid w:val="007003CD"/>
    <w:rsid w:val="0070701E"/>
    <w:rsid w:val="0072632A"/>
    <w:rsid w:val="007358E8"/>
    <w:rsid w:val="00736ECE"/>
    <w:rsid w:val="0074533B"/>
    <w:rsid w:val="007643BC"/>
    <w:rsid w:val="00780C68"/>
    <w:rsid w:val="007959FE"/>
    <w:rsid w:val="007A0CF1"/>
    <w:rsid w:val="007A2C8E"/>
    <w:rsid w:val="007B6BA5"/>
    <w:rsid w:val="007C1230"/>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1690A"/>
    <w:rsid w:val="00926E47"/>
    <w:rsid w:val="00943748"/>
    <w:rsid w:val="00947162"/>
    <w:rsid w:val="00954785"/>
    <w:rsid w:val="009610D0"/>
    <w:rsid w:val="0096375C"/>
    <w:rsid w:val="00964415"/>
    <w:rsid w:val="009662E6"/>
    <w:rsid w:val="0097095E"/>
    <w:rsid w:val="009815C5"/>
    <w:rsid w:val="0098501D"/>
    <w:rsid w:val="0098592B"/>
    <w:rsid w:val="00985FC4"/>
    <w:rsid w:val="00990766"/>
    <w:rsid w:val="00991261"/>
    <w:rsid w:val="009964C4"/>
    <w:rsid w:val="009A7B81"/>
    <w:rsid w:val="009D01C0"/>
    <w:rsid w:val="009D6A08"/>
    <w:rsid w:val="009E0A16"/>
    <w:rsid w:val="009E6CB7"/>
    <w:rsid w:val="009E7970"/>
    <w:rsid w:val="009F0545"/>
    <w:rsid w:val="009F2EAC"/>
    <w:rsid w:val="009F57E3"/>
    <w:rsid w:val="00A10F4F"/>
    <w:rsid w:val="00A11067"/>
    <w:rsid w:val="00A14A96"/>
    <w:rsid w:val="00A1704A"/>
    <w:rsid w:val="00A425EB"/>
    <w:rsid w:val="00A44590"/>
    <w:rsid w:val="00A72F22"/>
    <w:rsid w:val="00A733BC"/>
    <w:rsid w:val="00A748A6"/>
    <w:rsid w:val="00A76A69"/>
    <w:rsid w:val="00A879A4"/>
    <w:rsid w:val="00AA0FF8"/>
    <w:rsid w:val="00AC0F2C"/>
    <w:rsid w:val="00AC502A"/>
    <w:rsid w:val="00AF58C1"/>
    <w:rsid w:val="00B04A3F"/>
    <w:rsid w:val="00B06643"/>
    <w:rsid w:val="00B07DCF"/>
    <w:rsid w:val="00B15055"/>
    <w:rsid w:val="00B20551"/>
    <w:rsid w:val="00B30179"/>
    <w:rsid w:val="00B33FC7"/>
    <w:rsid w:val="00B36F2A"/>
    <w:rsid w:val="00B37B15"/>
    <w:rsid w:val="00B45C02"/>
    <w:rsid w:val="00B70B63"/>
    <w:rsid w:val="00B72A1E"/>
    <w:rsid w:val="00B81E12"/>
    <w:rsid w:val="00B94754"/>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34F3C"/>
    <w:rsid w:val="00C463DD"/>
    <w:rsid w:val="00C745C3"/>
    <w:rsid w:val="00C978F5"/>
    <w:rsid w:val="00CA24A4"/>
    <w:rsid w:val="00CB0EAD"/>
    <w:rsid w:val="00CB348D"/>
    <w:rsid w:val="00CB42AE"/>
    <w:rsid w:val="00CD2C9A"/>
    <w:rsid w:val="00CD3488"/>
    <w:rsid w:val="00CD46F5"/>
    <w:rsid w:val="00CE4A8F"/>
    <w:rsid w:val="00CF071D"/>
    <w:rsid w:val="00CF331B"/>
    <w:rsid w:val="00CF3C06"/>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1729"/>
    <w:rsid w:val="00DA2613"/>
    <w:rsid w:val="00DA357F"/>
    <w:rsid w:val="00DA3E12"/>
    <w:rsid w:val="00DC18AD"/>
    <w:rsid w:val="00DD2AA5"/>
    <w:rsid w:val="00DF6CD0"/>
    <w:rsid w:val="00DF7CAE"/>
    <w:rsid w:val="00E11BD6"/>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60D1"/>
    <w:rsid w:val="00F21786"/>
    <w:rsid w:val="00F3742B"/>
    <w:rsid w:val="00F41FDB"/>
    <w:rsid w:val="00F444F8"/>
    <w:rsid w:val="00F56D63"/>
    <w:rsid w:val="00F609A9"/>
    <w:rsid w:val="00F80C99"/>
    <w:rsid w:val="00F867EC"/>
    <w:rsid w:val="00F91B2B"/>
    <w:rsid w:val="00F93FF2"/>
    <w:rsid w:val="00F94965"/>
    <w:rsid w:val="00FC03CD"/>
    <w:rsid w:val="00FC0595"/>
    <w:rsid w:val="00FC0646"/>
    <w:rsid w:val="00FC68B7"/>
    <w:rsid w:val="00FD78EB"/>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CF3C06"/>
    <w:pPr>
      <w:ind w:left="720"/>
      <w:contextualSpacing/>
    </w:pPr>
    <w:rPr>
      <w:lang w:eastAsia="en-US"/>
    </w:rPr>
  </w:style>
  <w:style w:type="character" w:customStyle="1" w:styleId="SingleTxtGChar">
    <w:name w:val="_ Single Txt_G Char"/>
    <w:link w:val="SingleTxtG"/>
    <w:rsid w:val="00CF3C06"/>
    <w:rPr>
      <w:lang w:val="en-GB"/>
    </w:rPr>
  </w:style>
  <w:style w:type="paragraph" w:styleId="Caption">
    <w:name w:val="caption"/>
    <w:basedOn w:val="Normal"/>
    <w:next w:val="Normal"/>
    <w:unhideWhenUsed/>
    <w:qFormat/>
    <w:rsid w:val="00CF3C06"/>
    <w:pPr>
      <w:spacing w:after="200" w:line="240" w:lineRule="auto"/>
    </w:pPr>
    <w:rPr>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iki.unece.org/display/DSOCIOT/Collated+Provisional+Road+Safety+Data" TargetMode="External"/><Relationship Id="rId1" Type="http://schemas.openxmlformats.org/officeDocument/2006/relationships/hyperlink" Target="https://wiki.unece.org/display/DSOCIOT/Data+Sources+on+Coronavirus+impact+on+transpor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lackburn\Downloads\COVID-19-transport-use-statistics%20(6).od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unitednations.sharepoint.com/sites/ECE_TD2/Shared%20Documents/Section%20TNLS/WP6/Data/covid19/Collated%20road%20safety%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554831351621621E-2"/>
          <c:y val="5.170387779083431E-2"/>
          <c:w val="0.90461885613540893"/>
          <c:h val="0.85394413242410505"/>
        </c:manualLayout>
      </c:layout>
      <c:lineChart>
        <c:grouping val="standard"/>
        <c:varyColors val="0"/>
        <c:ser>
          <c:idx val="0"/>
          <c:order val="0"/>
          <c:tx>
            <c:strRef>
              <c:f>'Transport_use_(GB)'!$B$7</c:f>
              <c:strCache>
                <c:ptCount val="1"/>
                <c:pt idx="0">
                  <c:v>Cars</c:v>
                </c:pt>
              </c:strCache>
            </c:strRef>
          </c:tx>
          <c:spPr>
            <a:ln w="28575" cap="rnd">
              <a:solidFill>
                <a:schemeClr val="accent1"/>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'Transport_use_(GB)'!$B$8:$B$212</c:f>
              <c:numCache>
                <c:formatCode>0%</c:formatCode>
                <c:ptCount val="205"/>
                <c:pt idx="0">
                  <c:v>1.03</c:v>
                </c:pt>
                <c:pt idx="1">
                  <c:v>1.02</c:v>
                </c:pt>
                <c:pt idx="2">
                  <c:v>1.01</c:v>
                </c:pt>
                <c:pt idx="3">
                  <c:v>1.01</c:v>
                </c:pt>
                <c:pt idx="4">
                  <c:v>1</c:v>
                </c:pt>
                <c:pt idx="5">
                  <c:v>1.02</c:v>
                </c:pt>
                <c:pt idx="6">
                  <c:v>1.01</c:v>
                </c:pt>
                <c:pt idx="7">
                  <c:v>1.05</c:v>
                </c:pt>
                <c:pt idx="8">
                  <c:v>1.01</c:v>
                </c:pt>
                <c:pt idx="9">
                  <c:v>0.99</c:v>
                </c:pt>
                <c:pt idx="10">
                  <c:v>0.99</c:v>
                </c:pt>
                <c:pt idx="11">
                  <c:v>0.98</c:v>
                </c:pt>
                <c:pt idx="12">
                  <c:v>0.98</c:v>
                </c:pt>
                <c:pt idx="13">
                  <c:v>0.93</c:v>
                </c:pt>
                <c:pt idx="14">
                  <c:v>0.94</c:v>
                </c:pt>
                <c:pt idx="15">
                  <c:v>0.96</c:v>
                </c:pt>
                <c:pt idx="16">
                  <c:v>0.86</c:v>
                </c:pt>
                <c:pt idx="17">
                  <c:v>0.8</c:v>
                </c:pt>
                <c:pt idx="18">
                  <c:v>0.79</c:v>
                </c:pt>
                <c:pt idx="19">
                  <c:v>0.78</c:v>
                </c:pt>
                <c:pt idx="20">
                  <c:v>0.7</c:v>
                </c:pt>
                <c:pt idx="21">
                  <c:v>0.66</c:v>
                </c:pt>
                <c:pt idx="22">
                  <c:v>0.64</c:v>
                </c:pt>
                <c:pt idx="23">
                  <c:v>0.44</c:v>
                </c:pt>
                <c:pt idx="24">
                  <c:v>0.37</c:v>
                </c:pt>
                <c:pt idx="25">
                  <c:v>0.35</c:v>
                </c:pt>
                <c:pt idx="26">
                  <c:v>0.35</c:v>
                </c:pt>
                <c:pt idx="27">
                  <c:v>0.27</c:v>
                </c:pt>
                <c:pt idx="28">
                  <c:v>0.23</c:v>
                </c:pt>
                <c:pt idx="29">
                  <c:v>0.33</c:v>
                </c:pt>
                <c:pt idx="30">
                  <c:v>0.32</c:v>
                </c:pt>
                <c:pt idx="31">
                  <c:v>0.32</c:v>
                </c:pt>
                <c:pt idx="32">
                  <c:v>0.32</c:v>
                </c:pt>
                <c:pt idx="33">
                  <c:v>0.34</c:v>
                </c:pt>
                <c:pt idx="34">
                  <c:v>0.28000000000000003</c:v>
                </c:pt>
                <c:pt idx="35">
                  <c:v>0.25</c:v>
                </c:pt>
                <c:pt idx="36">
                  <c:v>0.34</c:v>
                </c:pt>
                <c:pt idx="37">
                  <c:v>0.33</c:v>
                </c:pt>
                <c:pt idx="38">
                  <c:v>0.34</c:v>
                </c:pt>
                <c:pt idx="39">
                  <c:v>0.36</c:v>
                </c:pt>
                <c:pt idx="40">
                  <c:v>0.27</c:v>
                </c:pt>
                <c:pt idx="41">
                  <c:v>0.28999999999999998</c:v>
                </c:pt>
                <c:pt idx="42">
                  <c:v>0.22</c:v>
                </c:pt>
                <c:pt idx="43">
                  <c:v>0.23</c:v>
                </c:pt>
                <c:pt idx="44">
                  <c:v>0.35</c:v>
                </c:pt>
                <c:pt idx="45">
                  <c:v>0.34</c:v>
                </c:pt>
                <c:pt idx="46">
                  <c:v>0.34</c:v>
                </c:pt>
                <c:pt idx="47">
                  <c:v>0.35</c:v>
                </c:pt>
                <c:pt idx="48">
                  <c:v>0.31</c:v>
                </c:pt>
                <c:pt idx="49">
                  <c:v>0.28999999999999998</c:v>
                </c:pt>
                <c:pt idx="50">
                  <c:v>0.38</c:v>
                </c:pt>
                <c:pt idx="51">
                  <c:v>0.37</c:v>
                </c:pt>
                <c:pt idx="52">
                  <c:v>0.37</c:v>
                </c:pt>
                <c:pt idx="53">
                  <c:v>0.37</c:v>
                </c:pt>
                <c:pt idx="54">
                  <c:v>0.39</c:v>
                </c:pt>
                <c:pt idx="55">
                  <c:v>0.35</c:v>
                </c:pt>
                <c:pt idx="56">
                  <c:v>0.32</c:v>
                </c:pt>
                <c:pt idx="57">
                  <c:v>0.4</c:v>
                </c:pt>
                <c:pt idx="58">
                  <c:v>0.38</c:v>
                </c:pt>
                <c:pt idx="59">
                  <c:v>0.38</c:v>
                </c:pt>
                <c:pt idx="60">
                  <c:v>0.39</c:v>
                </c:pt>
                <c:pt idx="61">
                  <c:v>0.4</c:v>
                </c:pt>
                <c:pt idx="62">
                  <c:v>0.38</c:v>
                </c:pt>
                <c:pt idx="63">
                  <c:v>0.34</c:v>
                </c:pt>
                <c:pt idx="64">
                  <c:v>0.42</c:v>
                </c:pt>
                <c:pt idx="65">
                  <c:v>0.42</c:v>
                </c:pt>
                <c:pt idx="66">
                  <c:v>0.43</c:v>
                </c:pt>
                <c:pt idx="67">
                  <c:v>0.45</c:v>
                </c:pt>
                <c:pt idx="68">
                  <c:v>0.33</c:v>
                </c:pt>
                <c:pt idx="69">
                  <c:v>0.39</c:v>
                </c:pt>
                <c:pt idx="70">
                  <c:v>0.35</c:v>
                </c:pt>
                <c:pt idx="71">
                  <c:v>0.45</c:v>
                </c:pt>
                <c:pt idx="72">
                  <c:v>0.45</c:v>
                </c:pt>
                <c:pt idx="73">
                  <c:v>0.48</c:v>
                </c:pt>
                <c:pt idx="74">
                  <c:v>0.5</c:v>
                </c:pt>
                <c:pt idx="75">
                  <c:v>0.51</c:v>
                </c:pt>
                <c:pt idx="76">
                  <c:v>0.52</c:v>
                </c:pt>
                <c:pt idx="77">
                  <c:v>0.5</c:v>
                </c:pt>
                <c:pt idx="78">
                  <c:v>0.53</c:v>
                </c:pt>
                <c:pt idx="79">
                  <c:v>0.54</c:v>
                </c:pt>
                <c:pt idx="80">
                  <c:v>0.56000000000000005</c:v>
                </c:pt>
                <c:pt idx="81">
                  <c:v>0.54</c:v>
                </c:pt>
                <c:pt idx="82">
                  <c:v>0.56000000000000005</c:v>
                </c:pt>
                <c:pt idx="83">
                  <c:v>0.55000000000000004</c:v>
                </c:pt>
                <c:pt idx="84">
                  <c:v>0.55000000000000004</c:v>
                </c:pt>
                <c:pt idx="85">
                  <c:v>0.5</c:v>
                </c:pt>
                <c:pt idx="86">
                  <c:v>0.59</c:v>
                </c:pt>
                <c:pt idx="87">
                  <c:v>0.59</c:v>
                </c:pt>
                <c:pt idx="88">
                  <c:v>0.59</c:v>
                </c:pt>
                <c:pt idx="89">
                  <c:v>0.62</c:v>
                </c:pt>
                <c:pt idx="90">
                  <c:v>0.66</c:v>
                </c:pt>
                <c:pt idx="91">
                  <c:v>0.67</c:v>
                </c:pt>
                <c:pt idx="92">
                  <c:v>0.65</c:v>
                </c:pt>
                <c:pt idx="93">
                  <c:v>0.65</c:v>
                </c:pt>
                <c:pt idx="94">
                  <c:v>0.59</c:v>
                </c:pt>
                <c:pt idx="95">
                  <c:v>0.6</c:v>
                </c:pt>
                <c:pt idx="96">
                  <c:v>0.62</c:v>
                </c:pt>
                <c:pt idx="97">
                  <c:v>0.63</c:v>
                </c:pt>
                <c:pt idx="98">
                  <c:v>0.63</c:v>
                </c:pt>
                <c:pt idx="99">
                  <c:v>0.63</c:v>
                </c:pt>
                <c:pt idx="100">
                  <c:v>0.64</c:v>
                </c:pt>
                <c:pt idx="101">
                  <c:v>0.61</c:v>
                </c:pt>
                <c:pt idx="102">
                  <c:v>0.61</c:v>
                </c:pt>
                <c:pt idx="103">
                  <c:v>0.64</c:v>
                </c:pt>
                <c:pt idx="104">
                  <c:v>0.73</c:v>
                </c:pt>
                <c:pt idx="105">
                  <c:v>0.74</c:v>
                </c:pt>
                <c:pt idx="106">
                  <c:v>0.7</c:v>
                </c:pt>
                <c:pt idx="107">
                  <c:v>0.68</c:v>
                </c:pt>
                <c:pt idx="108">
                  <c:v>0.67</c:v>
                </c:pt>
                <c:pt idx="109">
                  <c:v>0.65</c:v>
                </c:pt>
                <c:pt idx="110">
                  <c:v>0.7</c:v>
                </c:pt>
                <c:pt idx="111">
                  <c:v>0.83</c:v>
                </c:pt>
                <c:pt idx="112">
                  <c:v>0.81</c:v>
                </c:pt>
                <c:pt idx="113">
                  <c:v>0.72</c:v>
                </c:pt>
                <c:pt idx="114">
                  <c:v>0.74</c:v>
                </c:pt>
                <c:pt idx="115">
                  <c:v>0.76</c:v>
                </c:pt>
                <c:pt idx="116">
                  <c:v>0.76</c:v>
                </c:pt>
                <c:pt idx="117">
                  <c:v>0.74</c:v>
                </c:pt>
                <c:pt idx="118">
                  <c:v>0.75</c:v>
                </c:pt>
                <c:pt idx="119">
                  <c:v>0.76</c:v>
                </c:pt>
                <c:pt idx="120">
                  <c:v>0.72</c:v>
                </c:pt>
                <c:pt idx="121">
                  <c:v>0.73</c:v>
                </c:pt>
                <c:pt idx="122">
                  <c:v>0.73</c:v>
                </c:pt>
                <c:pt idx="123">
                  <c:v>0.73</c:v>
                </c:pt>
                <c:pt idx="124">
                  <c:v>0.75</c:v>
                </c:pt>
                <c:pt idx="125">
                  <c:v>0.82</c:v>
                </c:pt>
                <c:pt idx="126">
                  <c:v>0.84</c:v>
                </c:pt>
                <c:pt idx="127">
                  <c:v>0.79</c:v>
                </c:pt>
                <c:pt idx="128">
                  <c:v>0.76</c:v>
                </c:pt>
                <c:pt idx="129">
                  <c:v>0.75</c:v>
                </c:pt>
                <c:pt idx="130">
                  <c:v>0.76</c:v>
                </c:pt>
                <c:pt idx="131">
                  <c:v>0.83</c:v>
                </c:pt>
                <c:pt idx="132">
                  <c:v>0.9</c:v>
                </c:pt>
                <c:pt idx="133">
                  <c:v>0.95</c:v>
                </c:pt>
                <c:pt idx="134">
                  <c:v>0.8</c:v>
                </c:pt>
                <c:pt idx="135">
                  <c:v>0.79</c:v>
                </c:pt>
                <c:pt idx="136">
                  <c:v>0.79</c:v>
                </c:pt>
                <c:pt idx="137">
                  <c:v>0.81</c:v>
                </c:pt>
                <c:pt idx="138">
                  <c:v>0.86</c:v>
                </c:pt>
                <c:pt idx="139">
                  <c:v>0.91</c:v>
                </c:pt>
                <c:pt idx="140">
                  <c:v>0.95</c:v>
                </c:pt>
                <c:pt idx="141">
                  <c:v>0.85</c:v>
                </c:pt>
                <c:pt idx="142">
                  <c:v>0.83</c:v>
                </c:pt>
                <c:pt idx="143">
                  <c:v>0.82</c:v>
                </c:pt>
                <c:pt idx="144">
                  <c:v>0.81</c:v>
                </c:pt>
                <c:pt idx="145">
                  <c:v>0.88</c:v>
                </c:pt>
                <c:pt idx="146">
                  <c:v>0.9</c:v>
                </c:pt>
                <c:pt idx="147">
                  <c:v>0.96</c:v>
                </c:pt>
                <c:pt idx="148">
                  <c:v>0.8</c:v>
                </c:pt>
                <c:pt idx="149">
                  <c:v>0.82</c:v>
                </c:pt>
                <c:pt idx="150">
                  <c:v>0.84</c:v>
                </c:pt>
                <c:pt idx="151">
                  <c:v>0.86</c:v>
                </c:pt>
                <c:pt idx="152">
                  <c:v>0.92</c:v>
                </c:pt>
                <c:pt idx="153">
                  <c:v>0.97</c:v>
                </c:pt>
                <c:pt idx="154">
                  <c:v>0.99</c:v>
                </c:pt>
                <c:pt idx="155">
                  <c:v>0.88</c:v>
                </c:pt>
                <c:pt idx="156">
                  <c:v>0.83</c:v>
                </c:pt>
                <c:pt idx="157">
                  <c:v>0.84</c:v>
                </c:pt>
                <c:pt idx="158">
                  <c:v>0.85</c:v>
                </c:pt>
                <c:pt idx="159">
                  <c:v>0.89</c:v>
                </c:pt>
                <c:pt idx="160">
                  <c:v>0.98</c:v>
                </c:pt>
                <c:pt idx="161">
                  <c:v>1.01</c:v>
                </c:pt>
                <c:pt idx="162">
                  <c:v>0.9</c:v>
                </c:pt>
                <c:pt idx="163">
                  <c:v>0.86</c:v>
                </c:pt>
                <c:pt idx="164">
                  <c:v>0.86</c:v>
                </c:pt>
                <c:pt idx="165">
                  <c:v>0.85</c:v>
                </c:pt>
                <c:pt idx="166">
                  <c:v>0.89</c:v>
                </c:pt>
                <c:pt idx="167">
                  <c:v>0.96</c:v>
                </c:pt>
                <c:pt idx="168">
                  <c:v>0.95</c:v>
                </c:pt>
                <c:pt idx="169">
                  <c:v>0.88</c:v>
                </c:pt>
                <c:pt idx="170">
                  <c:v>0.86</c:v>
                </c:pt>
                <c:pt idx="171">
                  <c:v>0.84</c:v>
                </c:pt>
                <c:pt idx="172">
                  <c:v>0.89</c:v>
                </c:pt>
                <c:pt idx="173">
                  <c:v>0.89</c:v>
                </c:pt>
                <c:pt idx="174">
                  <c:v>0.97</c:v>
                </c:pt>
                <c:pt idx="175">
                  <c:v>0.99</c:v>
                </c:pt>
                <c:pt idx="176">
                  <c:v>0.92</c:v>
                </c:pt>
                <c:pt idx="177">
                  <c:v>0.82</c:v>
                </c:pt>
                <c:pt idx="178">
                  <c:v>0.9</c:v>
                </c:pt>
                <c:pt idx="179">
                  <c:v>0.87</c:v>
                </c:pt>
                <c:pt idx="180">
                  <c:v>0.92</c:v>
                </c:pt>
                <c:pt idx="181">
                  <c:v>0.98</c:v>
                </c:pt>
                <c:pt idx="182">
                  <c:v>1.02</c:v>
                </c:pt>
                <c:pt idx="183">
                  <c:v>0.86</c:v>
                </c:pt>
                <c:pt idx="184">
                  <c:v>0.91</c:v>
                </c:pt>
                <c:pt idx="185">
                  <c:v>0.87</c:v>
                </c:pt>
                <c:pt idx="186">
                  <c:v>0.87</c:v>
                </c:pt>
                <c:pt idx="187">
                  <c:v>0.93</c:v>
                </c:pt>
                <c:pt idx="188">
                  <c:v>1</c:v>
                </c:pt>
                <c:pt idx="189">
                  <c:v>1.01</c:v>
                </c:pt>
                <c:pt idx="190">
                  <c:v>0.9</c:v>
                </c:pt>
                <c:pt idx="191">
                  <c:v>0.88</c:v>
                </c:pt>
                <c:pt idx="192">
                  <c:v>0.89</c:v>
                </c:pt>
                <c:pt idx="193">
                  <c:v>0.89</c:v>
                </c:pt>
                <c:pt idx="194">
                  <c:v>0.94</c:v>
                </c:pt>
                <c:pt idx="195">
                  <c:v>0.98</c:v>
                </c:pt>
                <c:pt idx="196">
                  <c:v>1.03</c:v>
                </c:pt>
                <c:pt idx="197">
                  <c:v>0.93</c:v>
                </c:pt>
                <c:pt idx="198">
                  <c:v>0.89</c:v>
                </c:pt>
                <c:pt idx="199">
                  <c:v>0.89</c:v>
                </c:pt>
                <c:pt idx="200">
                  <c:v>0.9</c:v>
                </c:pt>
                <c:pt idx="201">
                  <c:v>0.95</c:v>
                </c:pt>
                <c:pt idx="202">
                  <c:v>0.99</c:v>
                </c:pt>
                <c:pt idx="203">
                  <c:v>1.02</c:v>
                </c:pt>
                <c:pt idx="204">
                  <c:v>0.92</c:v>
                </c:pt>
              </c:numCache>
            </c:numRef>
          </c:val>
          <c:smooth val="0"/>
          <c:extLst>
            <c:ext xmlns:c16="http://schemas.microsoft.com/office/drawing/2014/chart" uri="{C3380CC4-5D6E-409C-BE32-E72D297353CC}">
              <c16:uniqueId val="{00000000-0482-40C3-9AAE-B6211D14C526}"/>
            </c:ext>
          </c:extLst>
        </c:ser>
        <c:ser>
          <c:idx val="1"/>
          <c:order val="1"/>
          <c:tx>
            <c:strRef>
              <c:f>'Transport_use_(GB)'!$C$7</c:f>
              <c:strCache>
                <c:ptCount val="1"/>
                <c:pt idx="0">
                  <c:v>LGVs</c:v>
                </c:pt>
              </c:strCache>
            </c:strRef>
          </c:tx>
          <c:spPr>
            <a:ln w="28575" cap="rnd">
              <a:solidFill>
                <a:schemeClr val="accent2"/>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'Transport_use_(GB)'!$C$8:$C$212</c:f>
              <c:numCache>
                <c:formatCode>0%</c:formatCode>
                <c:ptCount val="205"/>
                <c:pt idx="0">
                  <c:v>1.1100000000000001</c:v>
                </c:pt>
                <c:pt idx="1">
                  <c:v>1.06</c:v>
                </c:pt>
                <c:pt idx="2">
                  <c:v>1.05</c:v>
                </c:pt>
                <c:pt idx="3">
                  <c:v>1.04</c:v>
                </c:pt>
                <c:pt idx="4">
                  <c:v>1.03</c:v>
                </c:pt>
                <c:pt idx="5">
                  <c:v>1.03</c:v>
                </c:pt>
                <c:pt idx="6">
                  <c:v>1.0900000000000001</c:v>
                </c:pt>
                <c:pt idx="7">
                  <c:v>1.1299999999999999</c:v>
                </c:pt>
                <c:pt idx="8">
                  <c:v>1.07</c:v>
                </c:pt>
                <c:pt idx="9">
                  <c:v>1.05</c:v>
                </c:pt>
                <c:pt idx="10">
                  <c:v>1.04</c:v>
                </c:pt>
                <c:pt idx="11">
                  <c:v>1.02</c:v>
                </c:pt>
                <c:pt idx="12">
                  <c:v>1</c:v>
                </c:pt>
                <c:pt idx="13">
                  <c:v>1.02</c:v>
                </c:pt>
                <c:pt idx="14">
                  <c:v>1.05</c:v>
                </c:pt>
                <c:pt idx="15">
                  <c:v>1.03</c:v>
                </c:pt>
                <c:pt idx="16">
                  <c:v>0.95</c:v>
                </c:pt>
                <c:pt idx="17">
                  <c:v>0.9</c:v>
                </c:pt>
                <c:pt idx="18">
                  <c:v>0.88</c:v>
                </c:pt>
                <c:pt idx="19">
                  <c:v>0.85</c:v>
                </c:pt>
                <c:pt idx="20">
                  <c:v>0.79</c:v>
                </c:pt>
                <c:pt idx="21">
                  <c:v>0.73</c:v>
                </c:pt>
                <c:pt idx="22">
                  <c:v>0.77</c:v>
                </c:pt>
                <c:pt idx="23">
                  <c:v>0.56000000000000005</c:v>
                </c:pt>
                <c:pt idx="24">
                  <c:v>0.47</c:v>
                </c:pt>
                <c:pt idx="25">
                  <c:v>0.43</c:v>
                </c:pt>
                <c:pt idx="26">
                  <c:v>0.42</c:v>
                </c:pt>
                <c:pt idx="27">
                  <c:v>0.34</c:v>
                </c:pt>
                <c:pt idx="28">
                  <c:v>0.28999999999999998</c:v>
                </c:pt>
                <c:pt idx="29">
                  <c:v>0.41</c:v>
                </c:pt>
                <c:pt idx="30">
                  <c:v>0.4</c:v>
                </c:pt>
                <c:pt idx="31">
                  <c:v>0.39</c:v>
                </c:pt>
                <c:pt idx="32">
                  <c:v>0.38</c:v>
                </c:pt>
                <c:pt idx="33">
                  <c:v>0.4</c:v>
                </c:pt>
                <c:pt idx="34">
                  <c:v>0.35</c:v>
                </c:pt>
                <c:pt idx="35">
                  <c:v>0.31</c:v>
                </c:pt>
                <c:pt idx="36">
                  <c:v>0.42</c:v>
                </c:pt>
                <c:pt idx="37">
                  <c:v>0.41</c:v>
                </c:pt>
                <c:pt idx="38">
                  <c:v>0.42</c:v>
                </c:pt>
                <c:pt idx="39">
                  <c:v>0.43</c:v>
                </c:pt>
                <c:pt idx="40">
                  <c:v>0.27</c:v>
                </c:pt>
                <c:pt idx="41">
                  <c:v>0.35</c:v>
                </c:pt>
                <c:pt idx="42">
                  <c:v>0.27</c:v>
                </c:pt>
                <c:pt idx="43">
                  <c:v>0.22</c:v>
                </c:pt>
                <c:pt idx="44">
                  <c:v>0.44</c:v>
                </c:pt>
                <c:pt idx="45">
                  <c:v>0.44</c:v>
                </c:pt>
                <c:pt idx="46">
                  <c:v>0.42</c:v>
                </c:pt>
                <c:pt idx="47">
                  <c:v>0.43</c:v>
                </c:pt>
                <c:pt idx="48">
                  <c:v>0.38</c:v>
                </c:pt>
                <c:pt idx="49">
                  <c:v>0.36</c:v>
                </c:pt>
                <c:pt idx="50">
                  <c:v>0.48</c:v>
                </c:pt>
                <c:pt idx="51">
                  <c:v>0.47</c:v>
                </c:pt>
                <c:pt idx="52">
                  <c:v>0.47</c:v>
                </c:pt>
                <c:pt idx="53">
                  <c:v>0.46</c:v>
                </c:pt>
                <c:pt idx="54">
                  <c:v>0.46</c:v>
                </c:pt>
                <c:pt idx="55">
                  <c:v>0.43</c:v>
                </c:pt>
                <c:pt idx="56">
                  <c:v>0.4</c:v>
                </c:pt>
                <c:pt idx="57">
                  <c:v>0.51</c:v>
                </c:pt>
                <c:pt idx="58">
                  <c:v>0.49</c:v>
                </c:pt>
                <c:pt idx="59">
                  <c:v>0.49</c:v>
                </c:pt>
                <c:pt idx="60">
                  <c:v>0.48</c:v>
                </c:pt>
                <c:pt idx="61">
                  <c:v>0.5</c:v>
                </c:pt>
                <c:pt idx="62">
                  <c:v>0.47</c:v>
                </c:pt>
                <c:pt idx="63">
                  <c:v>0.42</c:v>
                </c:pt>
                <c:pt idx="64">
                  <c:v>0.55000000000000004</c:v>
                </c:pt>
                <c:pt idx="65">
                  <c:v>0.54</c:v>
                </c:pt>
                <c:pt idx="66">
                  <c:v>0.55000000000000004</c:v>
                </c:pt>
                <c:pt idx="67">
                  <c:v>0.56000000000000005</c:v>
                </c:pt>
                <c:pt idx="68">
                  <c:v>0.33</c:v>
                </c:pt>
                <c:pt idx="69">
                  <c:v>0.46</c:v>
                </c:pt>
                <c:pt idx="70">
                  <c:v>0.44</c:v>
                </c:pt>
                <c:pt idx="71">
                  <c:v>0.57999999999999996</c:v>
                </c:pt>
                <c:pt idx="72">
                  <c:v>0.59</c:v>
                </c:pt>
                <c:pt idx="73">
                  <c:v>0.61</c:v>
                </c:pt>
                <c:pt idx="74">
                  <c:v>0.6</c:v>
                </c:pt>
                <c:pt idx="75">
                  <c:v>0.61</c:v>
                </c:pt>
                <c:pt idx="76">
                  <c:v>0.64</c:v>
                </c:pt>
                <c:pt idx="77">
                  <c:v>0.63</c:v>
                </c:pt>
                <c:pt idx="78">
                  <c:v>0.67</c:v>
                </c:pt>
                <c:pt idx="79">
                  <c:v>0.67</c:v>
                </c:pt>
                <c:pt idx="80">
                  <c:v>0.67</c:v>
                </c:pt>
                <c:pt idx="81">
                  <c:v>0.66</c:v>
                </c:pt>
                <c:pt idx="82">
                  <c:v>0.67</c:v>
                </c:pt>
                <c:pt idx="83">
                  <c:v>0.68</c:v>
                </c:pt>
                <c:pt idx="84">
                  <c:v>0.67</c:v>
                </c:pt>
                <c:pt idx="85">
                  <c:v>0.46</c:v>
                </c:pt>
                <c:pt idx="86">
                  <c:v>0.73</c:v>
                </c:pt>
                <c:pt idx="87">
                  <c:v>0.72</c:v>
                </c:pt>
                <c:pt idx="88">
                  <c:v>0.71</c:v>
                </c:pt>
                <c:pt idx="89">
                  <c:v>0.72</c:v>
                </c:pt>
                <c:pt idx="90">
                  <c:v>0.77</c:v>
                </c:pt>
                <c:pt idx="91">
                  <c:v>0.79</c:v>
                </c:pt>
                <c:pt idx="92">
                  <c:v>0.78</c:v>
                </c:pt>
                <c:pt idx="93">
                  <c:v>0.78</c:v>
                </c:pt>
                <c:pt idx="94">
                  <c:v>0.74</c:v>
                </c:pt>
                <c:pt idx="95">
                  <c:v>0.73</c:v>
                </c:pt>
                <c:pt idx="96">
                  <c:v>0.74</c:v>
                </c:pt>
                <c:pt idx="97">
                  <c:v>0.76</c:v>
                </c:pt>
                <c:pt idx="98">
                  <c:v>0.76</c:v>
                </c:pt>
                <c:pt idx="99">
                  <c:v>0.78</c:v>
                </c:pt>
                <c:pt idx="100">
                  <c:v>0.79</c:v>
                </c:pt>
                <c:pt idx="101">
                  <c:v>0.77</c:v>
                </c:pt>
                <c:pt idx="102">
                  <c:v>0.75</c:v>
                </c:pt>
                <c:pt idx="103">
                  <c:v>0.76</c:v>
                </c:pt>
                <c:pt idx="104">
                  <c:v>0.85</c:v>
                </c:pt>
                <c:pt idx="105">
                  <c:v>0.86</c:v>
                </c:pt>
                <c:pt idx="106">
                  <c:v>0.84</c:v>
                </c:pt>
                <c:pt idx="107">
                  <c:v>0.82</c:v>
                </c:pt>
                <c:pt idx="108">
                  <c:v>0.81</c:v>
                </c:pt>
                <c:pt idx="109">
                  <c:v>0.79</c:v>
                </c:pt>
                <c:pt idx="110">
                  <c:v>0.82</c:v>
                </c:pt>
                <c:pt idx="111">
                  <c:v>0.93</c:v>
                </c:pt>
                <c:pt idx="112">
                  <c:v>0.9</c:v>
                </c:pt>
                <c:pt idx="113">
                  <c:v>0.87</c:v>
                </c:pt>
                <c:pt idx="114">
                  <c:v>0.87</c:v>
                </c:pt>
                <c:pt idx="115">
                  <c:v>0.88</c:v>
                </c:pt>
                <c:pt idx="116">
                  <c:v>0.86</c:v>
                </c:pt>
                <c:pt idx="117">
                  <c:v>0.85</c:v>
                </c:pt>
                <c:pt idx="118">
                  <c:v>0.88</c:v>
                </c:pt>
                <c:pt idx="119">
                  <c:v>0.9</c:v>
                </c:pt>
                <c:pt idx="120">
                  <c:v>0.88</c:v>
                </c:pt>
                <c:pt idx="121">
                  <c:v>0.88</c:v>
                </c:pt>
                <c:pt idx="122">
                  <c:v>0.88</c:v>
                </c:pt>
                <c:pt idx="123">
                  <c:v>0.86</c:v>
                </c:pt>
                <c:pt idx="124">
                  <c:v>0.87</c:v>
                </c:pt>
                <c:pt idx="125">
                  <c:v>0.95</c:v>
                </c:pt>
                <c:pt idx="126">
                  <c:v>0.98</c:v>
                </c:pt>
                <c:pt idx="127">
                  <c:v>0.93</c:v>
                </c:pt>
                <c:pt idx="128">
                  <c:v>0.91</c:v>
                </c:pt>
                <c:pt idx="129">
                  <c:v>0.89</c:v>
                </c:pt>
                <c:pt idx="130">
                  <c:v>0.89</c:v>
                </c:pt>
                <c:pt idx="131">
                  <c:v>0.93</c:v>
                </c:pt>
                <c:pt idx="132">
                  <c:v>1.01</c:v>
                </c:pt>
                <c:pt idx="133">
                  <c:v>1.08</c:v>
                </c:pt>
                <c:pt idx="134">
                  <c:v>0.94</c:v>
                </c:pt>
                <c:pt idx="135">
                  <c:v>0.93</c:v>
                </c:pt>
                <c:pt idx="136">
                  <c:v>0.93</c:v>
                </c:pt>
                <c:pt idx="137">
                  <c:v>0.92</c:v>
                </c:pt>
                <c:pt idx="138">
                  <c:v>0.94</c:v>
                </c:pt>
                <c:pt idx="139">
                  <c:v>1.03</c:v>
                </c:pt>
                <c:pt idx="140">
                  <c:v>1.0900000000000001</c:v>
                </c:pt>
                <c:pt idx="141">
                  <c:v>0.97</c:v>
                </c:pt>
                <c:pt idx="142">
                  <c:v>0.95</c:v>
                </c:pt>
                <c:pt idx="143">
                  <c:v>0.94</c:v>
                </c:pt>
                <c:pt idx="144">
                  <c:v>0.91</c:v>
                </c:pt>
                <c:pt idx="145">
                  <c:v>0.96</c:v>
                </c:pt>
                <c:pt idx="146">
                  <c:v>1.02</c:v>
                </c:pt>
                <c:pt idx="147">
                  <c:v>1.1100000000000001</c:v>
                </c:pt>
                <c:pt idx="148">
                  <c:v>0.93</c:v>
                </c:pt>
                <c:pt idx="149">
                  <c:v>0.95</c:v>
                </c:pt>
                <c:pt idx="150">
                  <c:v>0.94</c:v>
                </c:pt>
                <c:pt idx="151">
                  <c:v>0.94</c:v>
                </c:pt>
                <c:pt idx="152">
                  <c:v>0.97</c:v>
                </c:pt>
                <c:pt idx="153">
                  <c:v>1.07</c:v>
                </c:pt>
                <c:pt idx="154">
                  <c:v>1.1399999999999999</c:v>
                </c:pt>
                <c:pt idx="155">
                  <c:v>0.98</c:v>
                </c:pt>
                <c:pt idx="156">
                  <c:v>0.95</c:v>
                </c:pt>
                <c:pt idx="157">
                  <c:v>0.96</c:v>
                </c:pt>
                <c:pt idx="158">
                  <c:v>0.93</c:v>
                </c:pt>
                <c:pt idx="159">
                  <c:v>0.96</c:v>
                </c:pt>
                <c:pt idx="160">
                  <c:v>1.08</c:v>
                </c:pt>
                <c:pt idx="161">
                  <c:v>1.1499999999999999</c:v>
                </c:pt>
                <c:pt idx="162">
                  <c:v>1</c:v>
                </c:pt>
                <c:pt idx="163">
                  <c:v>0.97</c:v>
                </c:pt>
                <c:pt idx="164">
                  <c:v>0.97</c:v>
                </c:pt>
                <c:pt idx="165">
                  <c:v>0.94</c:v>
                </c:pt>
                <c:pt idx="166">
                  <c:v>0.97</c:v>
                </c:pt>
                <c:pt idx="167">
                  <c:v>1.07</c:v>
                </c:pt>
                <c:pt idx="168">
                  <c:v>1.1000000000000001</c:v>
                </c:pt>
                <c:pt idx="169">
                  <c:v>1</c:v>
                </c:pt>
                <c:pt idx="170">
                  <c:v>0.98</c:v>
                </c:pt>
                <c:pt idx="171">
                  <c:v>0.95</c:v>
                </c:pt>
                <c:pt idx="172">
                  <c:v>0.98</c:v>
                </c:pt>
                <c:pt idx="173">
                  <c:v>0.96</c:v>
                </c:pt>
                <c:pt idx="174">
                  <c:v>1.0900000000000001</c:v>
                </c:pt>
                <c:pt idx="175">
                  <c:v>1.1499999999999999</c:v>
                </c:pt>
                <c:pt idx="176">
                  <c:v>1.02</c:v>
                </c:pt>
                <c:pt idx="177">
                  <c:v>0.93</c:v>
                </c:pt>
                <c:pt idx="178">
                  <c:v>1</c:v>
                </c:pt>
                <c:pt idx="179">
                  <c:v>0.96</c:v>
                </c:pt>
                <c:pt idx="180">
                  <c:v>0.98</c:v>
                </c:pt>
                <c:pt idx="181">
                  <c:v>1.0900000000000001</c:v>
                </c:pt>
                <c:pt idx="182">
                  <c:v>1.1599999999999999</c:v>
                </c:pt>
                <c:pt idx="183">
                  <c:v>0.74</c:v>
                </c:pt>
                <c:pt idx="184">
                  <c:v>1.01</c:v>
                </c:pt>
                <c:pt idx="185">
                  <c:v>0.98</c:v>
                </c:pt>
                <c:pt idx="186">
                  <c:v>0.97</c:v>
                </c:pt>
                <c:pt idx="187">
                  <c:v>1.01</c:v>
                </c:pt>
                <c:pt idx="188">
                  <c:v>1.1299999999999999</c:v>
                </c:pt>
                <c:pt idx="189">
                  <c:v>1.17</c:v>
                </c:pt>
                <c:pt idx="190">
                  <c:v>1.03</c:v>
                </c:pt>
                <c:pt idx="191">
                  <c:v>1.01</c:v>
                </c:pt>
                <c:pt idx="192">
                  <c:v>1.02</c:v>
                </c:pt>
                <c:pt idx="193">
                  <c:v>1</c:v>
                </c:pt>
                <c:pt idx="194">
                  <c:v>1.03</c:v>
                </c:pt>
                <c:pt idx="195">
                  <c:v>1.1200000000000001</c:v>
                </c:pt>
                <c:pt idx="196">
                  <c:v>1.21</c:v>
                </c:pt>
                <c:pt idx="197">
                  <c:v>1.05</c:v>
                </c:pt>
                <c:pt idx="198">
                  <c:v>1.02</c:v>
                </c:pt>
                <c:pt idx="199">
                  <c:v>1.02</c:v>
                </c:pt>
                <c:pt idx="200">
                  <c:v>1</c:v>
                </c:pt>
                <c:pt idx="201">
                  <c:v>1.03</c:v>
                </c:pt>
                <c:pt idx="202">
                  <c:v>1.1399999999999999</c:v>
                </c:pt>
                <c:pt idx="203">
                  <c:v>1.21</c:v>
                </c:pt>
                <c:pt idx="204">
                  <c:v>1.05</c:v>
                </c:pt>
              </c:numCache>
            </c:numRef>
          </c:val>
          <c:smooth val="0"/>
          <c:extLst>
            <c:ext xmlns:c16="http://schemas.microsoft.com/office/drawing/2014/chart" uri="{C3380CC4-5D6E-409C-BE32-E72D297353CC}">
              <c16:uniqueId val="{00000001-0482-40C3-9AAE-B6211D14C526}"/>
            </c:ext>
          </c:extLst>
        </c:ser>
        <c:ser>
          <c:idx val="2"/>
          <c:order val="2"/>
          <c:tx>
            <c:strRef>
              <c:f>'Transport_use_(GB)'!$D$7</c:f>
              <c:strCache>
                <c:ptCount val="1"/>
                <c:pt idx="0">
                  <c:v>HGVs</c:v>
                </c:pt>
              </c:strCache>
            </c:strRef>
          </c:tx>
          <c:spPr>
            <a:ln w="28575" cap="rnd">
              <a:solidFill>
                <a:schemeClr val="accent3"/>
              </a:solidFill>
              <a:round/>
            </a:ln>
            <a:effectLst/>
          </c:spPr>
          <c:marker>
            <c:symbol val="none"/>
          </c:marker>
          <c:cat>
            <c:numRef>
              <c:f>'Transport_use_(GB)'!$A$8:$A$212</c:f>
              <c:numCache>
                <c:formatCode>dd/mm/yyyy</c:formatCode>
                <c:ptCount val="205"/>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pt idx="61">
                  <c:v>43952</c:v>
                </c:pt>
                <c:pt idx="62">
                  <c:v>43953</c:v>
                </c:pt>
                <c:pt idx="63">
                  <c:v>43954</c:v>
                </c:pt>
                <c:pt idx="64">
                  <c:v>43955</c:v>
                </c:pt>
                <c:pt idx="65">
                  <c:v>43956</c:v>
                </c:pt>
                <c:pt idx="66">
                  <c:v>43957</c:v>
                </c:pt>
                <c:pt idx="67">
                  <c:v>43958</c:v>
                </c:pt>
                <c:pt idx="68">
                  <c:v>43959</c:v>
                </c:pt>
                <c:pt idx="69">
                  <c:v>43960</c:v>
                </c:pt>
                <c:pt idx="70">
                  <c:v>43961</c:v>
                </c:pt>
                <c:pt idx="71">
                  <c:v>43962</c:v>
                </c:pt>
                <c:pt idx="72">
                  <c:v>43963</c:v>
                </c:pt>
                <c:pt idx="73">
                  <c:v>43964</c:v>
                </c:pt>
                <c:pt idx="74">
                  <c:v>43965</c:v>
                </c:pt>
                <c:pt idx="75">
                  <c:v>43966</c:v>
                </c:pt>
                <c:pt idx="76">
                  <c:v>43967</c:v>
                </c:pt>
                <c:pt idx="77">
                  <c:v>43968</c:v>
                </c:pt>
                <c:pt idx="78">
                  <c:v>43969</c:v>
                </c:pt>
                <c:pt idx="79">
                  <c:v>43970</c:v>
                </c:pt>
                <c:pt idx="80">
                  <c:v>43971</c:v>
                </c:pt>
                <c:pt idx="81">
                  <c:v>43972</c:v>
                </c:pt>
                <c:pt idx="82">
                  <c:v>43973</c:v>
                </c:pt>
                <c:pt idx="83">
                  <c:v>43974</c:v>
                </c:pt>
                <c:pt idx="84">
                  <c:v>43975</c:v>
                </c:pt>
                <c:pt idx="85">
                  <c:v>43976</c:v>
                </c:pt>
                <c:pt idx="86">
                  <c:v>43977</c:v>
                </c:pt>
                <c:pt idx="87">
                  <c:v>43978</c:v>
                </c:pt>
                <c:pt idx="88">
                  <c:v>43979</c:v>
                </c:pt>
                <c:pt idx="89">
                  <c:v>43980</c:v>
                </c:pt>
                <c:pt idx="90">
                  <c:v>43981</c:v>
                </c:pt>
                <c:pt idx="91">
                  <c:v>43982</c:v>
                </c:pt>
                <c:pt idx="92">
                  <c:v>43983</c:v>
                </c:pt>
                <c:pt idx="93">
                  <c:v>43984</c:v>
                </c:pt>
                <c:pt idx="94">
                  <c:v>43985</c:v>
                </c:pt>
                <c:pt idx="95">
                  <c:v>43986</c:v>
                </c:pt>
                <c:pt idx="96">
                  <c:v>43987</c:v>
                </c:pt>
                <c:pt idx="97">
                  <c:v>43988</c:v>
                </c:pt>
                <c:pt idx="98">
                  <c:v>43989</c:v>
                </c:pt>
                <c:pt idx="99">
                  <c:v>43990</c:v>
                </c:pt>
                <c:pt idx="100">
                  <c:v>43991</c:v>
                </c:pt>
                <c:pt idx="101">
                  <c:v>43992</c:v>
                </c:pt>
                <c:pt idx="102">
                  <c:v>43993</c:v>
                </c:pt>
                <c:pt idx="103">
                  <c:v>43994</c:v>
                </c:pt>
                <c:pt idx="104">
                  <c:v>43995</c:v>
                </c:pt>
                <c:pt idx="105">
                  <c:v>43996</c:v>
                </c:pt>
                <c:pt idx="106">
                  <c:v>43997</c:v>
                </c:pt>
                <c:pt idx="107">
                  <c:v>43998</c:v>
                </c:pt>
                <c:pt idx="108">
                  <c:v>43999</c:v>
                </c:pt>
                <c:pt idx="109">
                  <c:v>44000</c:v>
                </c:pt>
                <c:pt idx="110">
                  <c:v>44001</c:v>
                </c:pt>
                <c:pt idx="111">
                  <c:v>44002</c:v>
                </c:pt>
                <c:pt idx="112">
                  <c:v>44003</c:v>
                </c:pt>
                <c:pt idx="113">
                  <c:v>44004</c:v>
                </c:pt>
                <c:pt idx="114">
                  <c:v>44005</c:v>
                </c:pt>
                <c:pt idx="115">
                  <c:v>44006</c:v>
                </c:pt>
                <c:pt idx="116">
                  <c:v>44007</c:v>
                </c:pt>
                <c:pt idx="117">
                  <c:v>44008</c:v>
                </c:pt>
                <c:pt idx="118">
                  <c:v>44009</c:v>
                </c:pt>
                <c:pt idx="119">
                  <c:v>44010</c:v>
                </c:pt>
                <c:pt idx="120">
                  <c:v>44011</c:v>
                </c:pt>
                <c:pt idx="121">
                  <c:v>44012</c:v>
                </c:pt>
                <c:pt idx="122">
                  <c:v>44013</c:v>
                </c:pt>
                <c:pt idx="123">
                  <c:v>44014</c:v>
                </c:pt>
                <c:pt idx="124">
                  <c:v>44015</c:v>
                </c:pt>
                <c:pt idx="125">
                  <c:v>44016</c:v>
                </c:pt>
                <c:pt idx="126">
                  <c:v>44017</c:v>
                </c:pt>
                <c:pt idx="127">
                  <c:v>44018</c:v>
                </c:pt>
                <c:pt idx="128">
                  <c:v>44019</c:v>
                </c:pt>
                <c:pt idx="129">
                  <c:v>44020</c:v>
                </c:pt>
                <c:pt idx="130">
                  <c:v>44021</c:v>
                </c:pt>
                <c:pt idx="131">
                  <c:v>44022</c:v>
                </c:pt>
                <c:pt idx="132">
                  <c:v>44023</c:v>
                </c:pt>
                <c:pt idx="133">
                  <c:v>44024</c:v>
                </c:pt>
                <c:pt idx="134">
                  <c:v>44025</c:v>
                </c:pt>
                <c:pt idx="135">
                  <c:v>44026</c:v>
                </c:pt>
                <c:pt idx="136">
                  <c:v>44027</c:v>
                </c:pt>
                <c:pt idx="137">
                  <c:v>44028</c:v>
                </c:pt>
                <c:pt idx="138">
                  <c:v>44029</c:v>
                </c:pt>
                <c:pt idx="139">
                  <c:v>44030</c:v>
                </c:pt>
                <c:pt idx="140">
                  <c:v>44031</c:v>
                </c:pt>
                <c:pt idx="141">
                  <c:v>44032</c:v>
                </c:pt>
                <c:pt idx="142">
                  <c:v>44033</c:v>
                </c:pt>
                <c:pt idx="143">
                  <c:v>44034</c:v>
                </c:pt>
                <c:pt idx="144">
                  <c:v>44035</c:v>
                </c:pt>
                <c:pt idx="145">
                  <c:v>44036</c:v>
                </c:pt>
                <c:pt idx="146">
                  <c:v>44037</c:v>
                </c:pt>
                <c:pt idx="147">
                  <c:v>44038</c:v>
                </c:pt>
                <c:pt idx="148">
                  <c:v>44039</c:v>
                </c:pt>
                <c:pt idx="149">
                  <c:v>44040</c:v>
                </c:pt>
                <c:pt idx="150">
                  <c:v>44041</c:v>
                </c:pt>
                <c:pt idx="151">
                  <c:v>44042</c:v>
                </c:pt>
                <c:pt idx="152">
                  <c:v>44043</c:v>
                </c:pt>
                <c:pt idx="153">
                  <c:v>44044</c:v>
                </c:pt>
                <c:pt idx="154">
                  <c:v>44045</c:v>
                </c:pt>
                <c:pt idx="155">
                  <c:v>44046</c:v>
                </c:pt>
                <c:pt idx="156">
                  <c:v>44047</c:v>
                </c:pt>
                <c:pt idx="157">
                  <c:v>44048</c:v>
                </c:pt>
                <c:pt idx="158">
                  <c:v>44049</c:v>
                </c:pt>
                <c:pt idx="159">
                  <c:v>44050</c:v>
                </c:pt>
                <c:pt idx="160">
                  <c:v>44051</c:v>
                </c:pt>
                <c:pt idx="161">
                  <c:v>44052</c:v>
                </c:pt>
                <c:pt idx="162">
                  <c:v>44053</c:v>
                </c:pt>
                <c:pt idx="163">
                  <c:v>44054</c:v>
                </c:pt>
                <c:pt idx="164">
                  <c:v>44055</c:v>
                </c:pt>
                <c:pt idx="165">
                  <c:v>44056</c:v>
                </c:pt>
                <c:pt idx="166">
                  <c:v>44057</c:v>
                </c:pt>
                <c:pt idx="167">
                  <c:v>44058</c:v>
                </c:pt>
                <c:pt idx="168">
                  <c:v>44059</c:v>
                </c:pt>
                <c:pt idx="169">
                  <c:v>44060</c:v>
                </c:pt>
                <c:pt idx="170">
                  <c:v>44061</c:v>
                </c:pt>
                <c:pt idx="171">
                  <c:v>44062</c:v>
                </c:pt>
                <c:pt idx="172">
                  <c:v>44063</c:v>
                </c:pt>
                <c:pt idx="173">
                  <c:v>44064</c:v>
                </c:pt>
                <c:pt idx="174">
                  <c:v>44065</c:v>
                </c:pt>
                <c:pt idx="175">
                  <c:v>44066</c:v>
                </c:pt>
                <c:pt idx="176">
                  <c:v>44067</c:v>
                </c:pt>
                <c:pt idx="177">
                  <c:v>44068</c:v>
                </c:pt>
                <c:pt idx="178">
                  <c:v>44069</c:v>
                </c:pt>
                <c:pt idx="179">
                  <c:v>44070</c:v>
                </c:pt>
                <c:pt idx="180">
                  <c:v>44071</c:v>
                </c:pt>
                <c:pt idx="181">
                  <c:v>44072</c:v>
                </c:pt>
                <c:pt idx="182">
                  <c:v>44073</c:v>
                </c:pt>
                <c:pt idx="183">
                  <c:v>44074</c:v>
                </c:pt>
                <c:pt idx="184">
                  <c:v>44075</c:v>
                </c:pt>
                <c:pt idx="185">
                  <c:v>44076</c:v>
                </c:pt>
                <c:pt idx="186">
                  <c:v>44077</c:v>
                </c:pt>
                <c:pt idx="187">
                  <c:v>44078</c:v>
                </c:pt>
                <c:pt idx="188">
                  <c:v>44079</c:v>
                </c:pt>
                <c:pt idx="189">
                  <c:v>44080</c:v>
                </c:pt>
                <c:pt idx="190">
                  <c:v>44081</c:v>
                </c:pt>
                <c:pt idx="191">
                  <c:v>44082</c:v>
                </c:pt>
                <c:pt idx="192">
                  <c:v>44083</c:v>
                </c:pt>
                <c:pt idx="193">
                  <c:v>44084</c:v>
                </c:pt>
                <c:pt idx="194">
                  <c:v>44085</c:v>
                </c:pt>
                <c:pt idx="195">
                  <c:v>44086</c:v>
                </c:pt>
                <c:pt idx="196">
                  <c:v>44087</c:v>
                </c:pt>
                <c:pt idx="197">
                  <c:v>44088</c:v>
                </c:pt>
                <c:pt idx="198">
                  <c:v>44089</c:v>
                </c:pt>
                <c:pt idx="199">
                  <c:v>44090</c:v>
                </c:pt>
                <c:pt idx="200">
                  <c:v>44091</c:v>
                </c:pt>
                <c:pt idx="201">
                  <c:v>44092</c:v>
                </c:pt>
                <c:pt idx="202">
                  <c:v>44093</c:v>
                </c:pt>
                <c:pt idx="203">
                  <c:v>44094</c:v>
                </c:pt>
                <c:pt idx="204">
                  <c:v>44095</c:v>
                </c:pt>
              </c:numCache>
            </c:numRef>
          </c:cat>
          <c:val>
            <c:numRef>
              <c:f>'Transport_use_(GB)'!$D$8:$D$212</c:f>
              <c:numCache>
                <c:formatCode>0%</c:formatCode>
                <c:ptCount val="205"/>
                <c:pt idx="0">
                  <c:v>1.08</c:v>
                </c:pt>
                <c:pt idx="1">
                  <c:v>1.03</c:v>
                </c:pt>
                <c:pt idx="2">
                  <c:v>1.02</c:v>
                </c:pt>
                <c:pt idx="3">
                  <c:v>1.03</c:v>
                </c:pt>
                <c:pt idx="4">
                  <c:v>1.02</c:v>
                </c:pt>
                <c:pt idx="5">
                  <c:v>1.02</c:v>
                </c:pt>
                <c:pt idx="6">
                  <c:v>1.08</c:v>
                </c:pt>
                <c:pt idx="7">
                  <c:v>1.1200000000000001</c:v>
                </c:pt>
                <c:pt idx="8">
                  <c:v>1.04</c:v>
                </c:pt>
                <c:pt idx="9">
                  <c:v>1.03</c:v>
                </c:pt>
                <c:pt idx="10">
                  <c:v>1.03</c:v>
                </c:pt>
                <c:pt idx="11">
                  <c:v>1.02</c:v>
                </c:pt>
                <c:pt idx="12">
                  <c:v>1.02</c:v>
                </c:pt>
                <c:pt idx="13">
                  <c:v>1.08</c:v>
                </c:pt>
                <c:pt idx="14">
                  <c:v>1.1200000000000001</c:v>
                </c:pt>
                <c:pt idx="15">
                  <c:v>1.04</c:v>
                </c:pt>
                <c:pt idx="16">
                  <c:v>1.03</c:v>
                </c:pt>
                <c:pt idx="17">
                  <c:v>1</c:v>
                </c:pt>
                <c:pt idx="18">
                  <c:v>1</c:v>
                </c:pt>
                <c:pt idx="19">
                  <c:v>0.98</c:v>
                </c:pt>
                <c:pt idx="20">
                  <c:v>1.02</c:v>
                </c:pt>
                <c:pt idx="21">
                  <c:v>1.01</c:v>
                </c:pt>
                <c:pt idx="22">
                  <c:v>0.97</c:v>
                </c:pt>
                <c:pt idx="23">
                  <c:v>0.84</c:v>
                </c:pt>
                <c:pt idx="24">
                  <c:v>0.77</c:v>
                </c:pt>
                <c:pt idx="25">
                  <c:v>0.72</c:v>
                </c:pt>
                <c:pt idx="26">
                  <c:v>0.69</c:v>
                </c:pt>
                <c:pt idx="27">
                  <c:v>0.71</c:v>
                </c:pt>
                <c:pt idx="28">
                  <c:v>0.72</c:v>
                </c:pt>
                <c:pt idx="29">
                  <c:v>0.64</c:v>
                </c:pt>
                <c:pt idx="30">
                  <c:v>0.62</c:v>
                </c:pt>
                <c:pt idx="31">
                  <c:v>0.61</c:v>
                </c:pt>
                <c:pt idx="32">
                  <c:v>0.6</c:v>
                </c:pt>
                <c:pt idx="33">
                  <c:v>0.6</c:v>
                </c:pt>
                <c:pt idx="34">
                  <c:v>0.66</c:v>
                </c:pt>
                <c:pt idx="35">
                  <c:v>0.7</c:v>
                </c:pt>
                <c:pt idx="36">
                  <c:v>0.61</c:v>
                </c:pt>
                <c:pt idx="37">
                  <c:v>0.6</c:v>
                </c:pt>
                <c:pt idx="38">
                  <c:v>0.62</c:v>
                </c:pt>
                <c:pt idx="39">
                  <c:v>0.61</c:v>
                </c:pt>
                <c:pt idx="40">
                  <c:v>0.33</c:v>
                </c:pt>
                <c:pt idx="41">
                  <c:v>0.55000000000000004</c:v>
                </c:pt>
                <c:pt idx="42">
                  <c:v>0.5</c:v>
                </c:pt>
                <c:pt idx="43">
                  <c:v>0.25</c:v>
                </c:pt>
                <c:pt idx="44">
                  <c:v>0.6</c:v>
                </c:pt>
                <c:pt idx="45">
                  <c:v>0.63</c:v>
                </c:pt>
                <c:pt idx="46">
                  <c:v>0.63</c:v>
                </c:pt>
                <c:pt idx="47">
                  <c:v>0.63</c:v>
                </c:pt>
                <c:pt idx="48">
                  <c:v>0.71</c:v>
                </c:pt>
                <c:pt idx="49">
                  <c:v>0.73</c:v>
                </c:pt>
                <c:pt idx="50">
                  <c:v>0.65</c:v>
                </c:pt>
                <c:pt idx="51">
                  <c:v>0.64</c:v>
                </c:pt>
                <c:pt idx="52">
                  <c:v>0.65</c:v>
                </c:pt>
                <c:pt idx="53">
                  <c:v>0.64</c:v>
                </c:pt>
                <c:pt idx="54">
                  <c:v>0.65</c:v>
                </c:pt>
                <c:pt idx="55">
                  <c:v>0.71</c:v>
                </c:pt>
                <c:pt idx="56">
                  <c:v>0.75</c:v>
                </c:pt>
                <c:pt idx="57">
                  <c:v>0.68</c:v>
                </c:pt>
                <c:pt idx="58">
                  <c:v>0.67</c:v>
                </c:pt>
                <c:pt idx="59">
                  <c:v>0.68</c:v>
                </c:pt>
                <c:pt idx="60">
                  <c:v>0.67</c:v>
                </c:pt>
                <c:pt idx="61">
                  <c:v>0.66</c:v>
                </c:pt>
                <c:pt idx="62">
                  <c:v>0.72</c:v>
                </c:pt>
                <c:pt idx="63">
                  <c:v>0.76</c:v>
                </c:pt>
                <c:pt idx="64">
                  <c:v>0.7</c:v>
                </c:pt>
                <c:pt idx="65">
                  <c:v>0.71</c:v>
                </c:pt>
                <c:pt idx="66">
                  <c:v>0.73</c:v>
                </c:pt>
                <c:pt idx="67">
                  <c:v>0.71</c:v>
                </c:pt>
                <c:pt idx="68">
                  <c:v>0.35</c:v>
                </c:pt>
                <c:pt idx="69">
                  <c:v>0.65</c:v>
                </c:pt>
                <c:pt idx="70">
                  <c:v>0.77</c:v>
                </c:pt>
                <c:pt idx="71">
                  <c:v>0.74</c:v>
                </c:pt>
                <c:pt idx="72">
                  <c:v>0.75</c:v>
                </c:pt>
                <c:pt idx="73">
                  <c:v>0.76</c:v>
                </c:pt>
                <c:pt idx="74">
                  <c:v>0.75</c:v>
                </c:pt>
                <c:pt idx="75">
                  <c:v>0.74</c:v>
                </c:pt>
                <c:pt idx="76">
                  <c:v>0.8</c:v>
                </c:pt>
                <c:pt idx="77">
                  <c:v>0.84</c:v>
                </c:pt>
                <c:pt idx="78">
                  <c:v>0.79</c:v>
                </c:pt>
                <c:pt idx="79">
                  <c:v>0.79</c:v>
                </c:pt>
                <c:pt idx="80">
                  <c:v>0.8</c:v>
                </c:pt>
                <c:pt idx="81">
                  <c:v>0.8</c:v>
                </c:pt>
                <c:pt idx="82">
                  <c:v>0.79</c:v>
                </c:pt>
                <c:pt idx="83">
                  <c:v>0.84</c:v>
                </c:pt>
                <c:pt idx="84">
                  <c:v>0.8</c:v>
                </c:pt>
                <c:pt idx="85">
                  <c:v>0.34</c:v>
                </c:pt>
                <c:pt idx="86">
                  <c:v>0.81</c:v>
                </c:pt>
                <c:pt idx="87">
                  <c:v>0.84</c:v>
                </c:pt>
                <c:pt idx="88">
                  <c:v>0.83</c:v>
                </c:pt>
                <c:pt idx="89">
                  <c:v>0.83</c:v>
                </c:pt>
                <c:pt idx="90">
                  <c:v>0.92</c:v>
                </c:pt>
                <c:pt idx="91">
                  <c:v>0.94</c:v>
                </c:pt>
                <c:pt idx="92">
                  <c:v>0.87</c:v>
                </c:pt>
                <c:pt idx="93">
                  <c:v>0.84</c:v>
                </c:pt>
                <c:pt idx="94">
                  <c:v>0.85</c:v>
                </c:pt>
                <c:pt idx="95">
                  <c:v>0.85</c:v>
                </c:pt>
                <c:pt idx="96">
                  <c:v>0.85</c:v>
                </c:pt>
                <c:pt idx="97">
                  <c:v>0.9</c:v>
                </c:pt>
                <c:pt idx="98">
                  <c:v>0.93</c:v>
                </c:pt>
                <c:pt idx="99">
                  <c:v>0.87</c:v>
                </c:pt>
                <c:pt idx="100">
                  <c:v>0.88</c:v>
                </c:pt>
                <c:pt idx="101">
                  <c:v>0.88</c:v>
                </c:pt>
                <c:pt idx="102">
                  <c:v>0.88</c:v>
                </c:pt>
                <c:pt idx="103">
                  <c:v>0.87</c:v>
                </c:pt>
                <c:pt idx="104">
                  <c:v>0.93</c:v>
                </c:pt>
                <c:pt idx="105">
                  <c:v>0.97</c:v>
                </c:pt>
                <c:pt idx="106">
                  <c:v>0.92</c:v>
                </c:pt>
                <c:pt idx="107">
                  <c:v>0.91</c:v>
                </c:pt>
                <c:pt idx="108">
                  <c:v>0.92</c:v>
                </c:pt>
                <c:pt idx="109">
                  <c:v>0.89</c:v>
                </c:pt>
                <c:pt idx="110">
                  <c:v>0.9</c:v>
                </c:pt>
                <c:pt idx="111">
                  <c:v>0.97</c:v>
                </c:pt>
                <c:pt idx="112">
                  <c:v>0.95</c:v>
                </c:pt>
                <c:pt idx="113">
                  <c:v>0.93</c:v>
                </c:pt>
                <c:pt idx="114">
                  <c:v>0.94</c:v>
                </c:pt>
                <c:pt idx="115">
                  <c:v>0.94</c:v>
                </c:pt>
                <c:pt idx="116">
                  <c:v>0.92</c:v>
                </c:pt>
                <c:pt idx="117">
                  <c:v>0.91</c:v>
                </c:pt>
                <c:pt idx="118">
                  <c:v>0.97</c:v>
                </c:pt>
                <c:pt idx="119">
                  <c:v>0.99</c:v>
                </c:pt>
                <c:pt idx="120">
                  <c:v>0.96</c:v>
                </c:pt>
                <c:pt idx="121">
                  <c:v>0.96</c:v>
                </c:pt>
                <c:pt idx="122">
                  <c:v>0.97</c:v>
                </c:pt>
                <c:pt idx="123">
                  <c:v>0.96</c:v>
                </c:pt>
                <c:pt idx="124">
                  <c:v>0.96</c:v>
                </c:pt>
                <c:pt idx="125">
                  <c:v>1.01</c:v>
                </c:pt>
                <c:pt idx="126">
                  <c:v>1.05</c:v>
                </c:pt>
                <c:pt idx="127">
                  <c:v>0.97</c:v>
                </c:pt>
                <c:pt idx="128">
                  <c:v>0.97</c:v>
                </c:pt>
                <c:pt idx="129">
                  <c:v>0.97</c:v>
                </c:pt>
                <c:pt idx="130">
                  <c:v>0.96</c:v>
                </c:pt>
                <c:pt idx="131">
                  <c:v>0.96</c:v>
                </c:pt>
                <c:pt idx="132">
                  <c:v>1.04</c:v>
                </c:pt>
                <c:pt idx="133">
                  <c:v>1.1100000000000001</c:v>
                </c:pt>
                <c:pt idx="134">
                  <c:v>0.98</c:v>
                </c:pt>
                <c:pt idx="135">
                  <c:v>0.98</c:v>
                </c:pt>
                <c:pt idx="136">
                  <c:v>0.98</c:v>
                </c:pt>
                <c:pt idx="137">
                  <c:v>0.98</c:v>
                </c:pt>
                <c:pt idx="138">
                  <c:v>0.97</c:v>
                </c:pt>
                <c:pt idx="139">
                  <c:v>1.04</c:v>
                </c:pt>
                <c:pt idx="140">
                  <c:v>1.1100000000000001</c:v>
                </c:pt>
                <c:pt idx="141">
                  <c:v>0.99</c:v>
                </c:pt>
                <c:pt idx="142">
                  <c:v>0.98</c:v>
                </c:pt>
                <c:pt idx="143">
                  <c:v>0.98</c:v>
                </c:pt>
                <c:pt idx="144">
                  <c:v>0.95</c:v>
                </c:pt>
                <c:pt idx="145">
                  <c:v>0.97</c:v>
                </c:pt>
                <c:pt idx="146">
                  <c:v>1.05</c:v>
                </c:pt>
                <c:pt idx="147">
                  <c:v>1.1200000000000001</c:v>
                </c:pt>
                <c:pt idx="148">
                  <c:v>0.96</c:v>
                </c:pt>
                <c:pt idx="149">
                  <c:v>0.97</c:v>
                </c:pt>
                <c:pt idx="150">
                  <c:v>0.96</c:v>
                </c:pt>
                <c:pt idx="151">
                  <c:v>0.96</c:v>
                </c:pt>
                <c:pt idx="152">
                  <c:v>0.95</c:v>
                </c:pt>
                <c:pt idx="153">
                  <c:v>1.06</c:v>
                </c:pt>
                <c:pt idx="154">
                  <c:v>1.1399999999999999</c:v>
                </c:pt>
                <c:pt idx="155">
                  <c:v>0.97</c:v>
                </c:pt>
                <c:pt idx="156">
                  <c:v>0.98</c:v>
                </c:pt>
                <c:pt idx="157">
                  <c:v>0.98</c:v>
                </c:pt>
                <c:pt idx="158">
                  <c:v>0.96</c:v>
                </c:pt>
                <c:pt idx="159">
                  <c:v>0.96</c:v>
                </c:pt>
                <c:pt idx="160">
                  <c:v>1.08</c:v>
                </c:pt>
                <c:pt idx="161">
                  <c:v>1.1599999999999999</c:v>
                </c:pt>
                <c:pt idx="162">
                  <c:v>1</c:v>
                </c:pt>
                <c:pt idx="163">
                  <c:v>0.99</c:v>
                </c:pt>
                <c:pt idx="164">
                  <c:v>0.99</c:v>
                </c:pt>
                <c:pt idx="165">
                  <c:v>0.98</c:v>
                </c:pt>
                <c:pt idx="166">
                  <c:v>0.98</c:v>
                </c:pt>
                <c:pt idx="167">
                  <c:v>1.07</c:v>
                </c:pt>
                <c:pt idx="168">
                  <c:v>1.1499999999999999</c:v>
                </c:pt>
                <c:pt idx="169">
                  <c:v>1</c:v>
                </c:pt>
                <c:pt idx="170">
                  <c:v>0.99</c:v>
                </c:pt>
                <c:pt idx="171">
                  <c:v>0.97</c:v>
                </c:pt>
                <c:pt idx="172">
                  <c:v>0.98</c:v>
                </c:pt>
                <c:pt idx="173">
                  <c:v>0.95</c:v>
                </c:pt>
                <c:pt idx="174">
                  <c:v>1.08</c:v>
                </c:pt>
                <c:pt idx="175">
                  <c:v>1.1599999999999999</c:v>
                </c:pt>
                <c:pt idx="176">
                  <c:v>0.99</c:v>
                </c:pt>
                <c:pt idx="177">
                  <c:v>0.95</c:v>
                </c:pt>
                <c:pt idx="178">
                  <c:v>0.99</c:v>
                </c:pt>
                <c:pt idx="179">
                  <c:v>0.98</c:v>
                </c:pt>
                <c:pt idx="180">
                  <c:v>0.97</c:v>
                </c:pt>
                <c:pt idx="181">
                  <c:v>1.07</c:v>
                </c:pt>
                <c:pt idx="182">
                  <c:v>1.07</c:v>
                </c:pt>
                <c:pt idx="183">
                  <c:v>0.46</c:v>
                </c:pt>
                <c:pt idx="184">
                  <c:v>0.99</c:v>
                </c:pt>
                <c:pt idx="185">
                  <c:v>1.03</c:v>
                </c:pt>
                <c:pt idx="186">
                  <c:v>1.02</c:v>
                </c:pt>
                <c:pt idx="187">
                  <c:v>1.02</c:v>
                </c:pt>
                <c:pt idx="188">
                  <c:v>1.1599999999999999</c:v>
                </c:pt>
                <c:pt idx="189">
                  <c:v>1.2</c:v>
                </c:pt>
                <c:pt idx="190">
                  <c:v>1.04</c:v>
                </c:pt>
                <c:pt idx="191">
                  <c:v>1.04</c:v>
                </c:pt>
                <c:pt idx="192">
                  <c:v>1.04</c:v>
                </c:pt>
                <c:pt idx="193">
                  <c:v>1.02</c:v>
                </c:pt>
                <c:pt idx="194">
                  <c:v>1.03</c:v>
                </c:pt>
                <c:pt idx="195">
                  <c:v>1.1299999999999999</c:v>
                </c:pt>
                <c:pt idx="196">
                  <c:v>1.23</c:v>
                </c:pt>
                <c:pt idx="197">
                  <c:v>1.05</c:v>
                </c:pt>
                <c:pt idx="198">
                  <c:v>1.02</c:v>
                </c:pt>
                <c:pt idx="199">
                  <c:v>1.05</c:v>
                </c:pt>
                <c:pt idx="200">
                  <c:v>1.03</c:v>
                </c:pt>
                <c:pt idx="201">
                  <c:v>1.03</c:v>
                </c:pt>
                <c:pt idx="202">
                  <c:v>1.1399999999999999</c:v>
                </c:pt>
                <c:pt idx="203">
                  <c:v>1.25</c:v>
                </c:pt>
                <c:pt idx="204">
                  <c:v>1.06</c:v>
                </c:pt>
              </c:numCache>
            </c:numRef>
          </c:val>
          <c:smooth val="0"/>
          <c:extLst>
            <c:ext xmlns:c16="http://schemas.microsoft.com/office/drawing/2014/chart" uri="{C3380CC4-5D6E-409C-BE32-E72D297353CC}">
              <c16:uniqueId val="{00000002-0482-40C3-9AAE-B6211D14C526}"/>
            </c:ext>
          </c:extLst>
        </c:ser>
        <c:dLbls>
          <c:showLegendKey val="0"/>
          <c:showVal val="0"/>
          <c:showCatName val="0"/>
          <c:showSerName val="0"/>
          <c:showPercent val="0"/>
          <c:showBubbleSize val="0"/>
        </c:dLbls>
        <c:smooth val="0"/>
        <c:axId val="667677416"/>
        <c:axId val="667676432"/>
      </c:lineChart>
      <c:dateAx>
        <c:axId val="667677416"/>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7676432"/>
        <c:crosses val="autoZero"/>
        <c:auto val="1"/>
        <c:lblOffset val="100"/>
        <c:baseTimeUnit val="days"/>
      </c:dateAx>
      <c:valAx>
        <c:axId val="66767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7677416"/>
        <c:crosses val="autoZero"/>
        <c:crossBetween val="between"/>
      </c:valAx>
      <c:spPr>
        <a:noFill/>
        <a:ln>
          <a:noFill/>
        </a:ln>
        <a:effectLst/>
      </c:spPr>
    </c:plotArea>
    <c:legend>
      <c:legendPos val="b"/>
      <c:layout>
        <c:manualLayout>
          <c:xMode val="edge"/>
          <c:yMode val="edge"/>
          <c:x val="0.22553323140651138"/>
          <c:y val="6.9917188671040048E-2"/>
          <c:w val="0.38748190123898463"/>
          <c:h val="7.931900404341349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F0000"/>
            </a:solidFill>
            <a:ln>
              <a:noFill/>
            </a:ln>
            <a:effectLst/>
          </c:spPr>
          <c:invertIfNegative val="1"/>
          <c:dPt>
            <c:idx val="3"/>
            <c:invertIfNegative val="1"/>
            <c:bubble3D val="0"/>
            <c:extLst>
              <c:ext xmlns:c16="http://schemas.microsoft.com/office/drawing/2014/chart" uri="{C3380CC4-5D6E-409C-BE32-E72D297353CC}">
                <c16:uniqueId val="{00000000-2C24-459A-B05C-DC57EF223EEF}"/>
              </c:ext>
            </c:extLst>
          </c:dPt>
          <c:dPt>
            <c:idx val="4"/>
            <c:invertIfNegative val="1"/>
            <c:bubble3D val="0"/>
            <c:extLst>
              <c:ext xmlns:c16="http://schemas.microsoft.com/office/drawing/2014/chart" uri="{C3380CC4-5D6E-409C-BE32-E72D297353CC}">
                <c16:uniqueId val="{00000001-2C24-459A-B05C-DC57EF223EEF}"/>
              </c:ext>
            </c:extLst>
          </c:dPt>
          <c:dPt>
            <c:idx val="6"/>
            <c:invertIfNegative val="1"/>
            <c:bubble3D val="0"/>
            <c:extLst>
              <c:ext xmlns:c16="http://schemas.microsoft.com/office/drawing/2014/chart" uri="{C3380CC4-5D6E-409C-BE32-E72D297353CC}">
                <c16:uniqueId val="{00000002-2C24-459A-B05C-DC57EF223EEF}"/>
              </c:ext>
            </c:extLst>
          </c:dPt>
          <c:dPt>
            <c:idx val="11"/>
            <c:invertIfNegative val="1"/>
            <c:bubble3D val="0"/>
            <c:extLst>
              <c:ext xmlns:c16="http://schemas.microsoft.com/office/drawing/2014/chart" uri="{C3380CC4-5D6E-409C-BE32-E72D297353CC}">
                <c16:uniqueId val="{00000003-2C24-459A-B05C-DC57EF223EEF}"/>
              </c:ext>
            </c:extLst>
          </c:dPt>
          <c:dPt>
            <c:idx val="14"/>
            <c:invertIfNegative val="1"/>
            <c:bubble3D val="0"/>
            <c:extLst>
              <c:ext xmlns:c16="http://schemas.microsoft.com/office/drawing/2014/chart" uri="{C3380CC4-5D6E-409C-BE32-E72D297353CC}">
                <c16:uniqueId val="{00000004-2C24-459A-B05C-DC57EF223EEF}"/>
              </c:ext>
            </c:extLst>
          </c:dPt>
          <c:cat>
            <c:strRef>
              <c:f>'wiki graph'!$B$4:$B$23</c:f>
              <c:strCache>
                <c:ptCount val="20"/>
                <c:pt idx="0">
                  <c:v>Albania</c:v>
                </c:pt>
                <c:pt idx="1">
                  <c:v>Bulgaria</c:v>
                </c:pt>
                <c:pt idx="2">
                  <c:v>Croatia</c:v>
                </c:pt>
                <c:pt idx="3">
                  <c:v>Czechia</c:v>
                </c:pt>
                <c:pt idx="4">
                  <c:v>Denmark</c:v>
                </c:pt>
                <c:pt idx="5">
                  <c:v>Estonia</c:v>
                </c:pt>
                <c:pt idx="6">
                  <c:v>Finland</c:v>
                </c:pt>
                <c:pt idx="7">
                  <c:v>France</c:v>
                </c:pt>
                <c:pt idx="8">
                  <c:v>Germany</c:v>
                </c:pt>
                <c:pt idx="9">
                  <c:v>Greece</c:v>
                </c:pt>
                <c:pt idx="10">
                  <c:v>Hungary</c:v>
                </c:pt>
                <c:pt idx="11">
                  <c:v>Ireland</c:v>
                </c:pt>
                <c:pt idx="12">
                  <c:v>Israel</c:v>
                </c:pt>
                <c:pt idx="13">
                  <c:v>Italy</c:v>
                </c:pt>
                <c:pt idx="14">
                  <c:v>Norway</c:v>
                </c:pt>
                <c:pt idx="15">
                  <c:v>Poland</c:v>
                </c:pt>
                <c:pt idx="16">
                  <c:v>Slovenia </c:v>
                </c:pt>
                <c:pt idx="17">
                  <c:v>Spain</c:v>
                </c:pt>
                <c:pt idx="18">
                  <c:v>Sweden</c:v>
                </c:pt>
                <c:pt idx="19">
                  <c:v>United States</c:v>
                </c:pt>
              </c:strCache>
            </c:strRef>
          </c:cat>
          <c:val>
            <c:numRef>
              <c:f>'wiki graph'!$C$4:$C$23</c:f>
              <c:numCache>
                <c:formatCode>0%</c:formatCode>
                <c:ptCount val="20"/>
                <c:pt idx="0">
                  <c:v>-0.35185185185185186</c:v>
                </c:pt>
                <c:pt idx="1">
                  <c:v>-0.38194444444444442</c:v>
                </c:pt>
                <c:pt idx="2">
                  <c:v>-0.20779220779220775</c:v>
                </c:pt>
                <c:pt idx="3">
                  <c:v>-0.1964285714285714</c:v>
                </c:pt>
                <c:pt idx="4">
                  <c:v>-0.375</c:v>
                </c:pt>
                <c:pt idx="5">
                  <c:v>-0.125</c:v>
                </c:pt>
                <c:pt idx="6">
                  <c:v>-0.25423728813559321</c:v>
                </c:pt>
                <c:pt idx="7">
                  <c:v>-0.33462532299741599</c:v>
                </c:pt>
                <c:pt idx="8">
                  <c:v>-0.14251497005988023</c:v>
                </c:pt>
                <c:pt idx="9">
                  <c:v>-0.32786885245901642</c:v>
                </c:pt>
                <c:pt idx="10">
                  <c:v>-0.29729729729729726</c:v>
                </c:pt>
                <c:pt idx="11">
                  <c:v>-0.16129032258064513</c:v>
                </c:pt>
                <c:pt idx="12">
                  <c:v>-3.8961038961038974E-2</c:v>
                </c:pt>
                <c:pt idx="13">
                  <c:v>-0.63095238095238093</c:v>
                </c:pt>
                <c:pt idx="14">
                  <c:v>-0.29411764705882348</c:v>
                </c:pt>
                <c:pt idx="15">
                  <c:v>-0.29733959311424096</c:v>
                </c:pt>
                <c:pt idx="16">
                  <c:v>7.4074074074074181E-2</c:v>
                </c:pt>
                <c:pt idx="17">
                  <c:v>-0.47899159663865543</c:v>
                </c:pt>
                <c:pt idx="18">
                  <c:v>-5.555555555555558E-2</c:v>
                </c:pt>
                <c:pt idx="19">
                  <c:v>-4.0526849037487711E-3</c:v>
                </c:pt>
              </c:numCache>
            </c:numRef>
          </c:val>
          <c:extLst>
            <c:ext xmlns:c14="http://schemas.microsoft.com/office/drawing/2007/8/2/chart" uri="{6F2FDCE9-48DA-4B69-8628-5D25D57E5C99}">
              <c14:invertSolidFillFmt>
                <c14:spPr xmlns:c14="http://schemas.microsoft.com/office/drawing/2007/8/2/chart">
                  <a:solidFill>
                    <a:srgbClr val="00B0F0"/>
                  </a:solidFill>
                  <a:ln>
                    <a:noFill/>
                  </a:ln>
                  <a:effectLst/>
                </c14:spPr>
              </c14:invertSolidFillFmt>
            </c:ext>
            <c:ext xmlns:c16="http://schemas.microsoft.com/office/drawing/2014/chart" uri="{C3380CC4-5D6E-409C-BE32-E72D297353CC}">
              <c16:uniqueId val="{00000005-2C24-459A-B05C-DC57EF223EEF}"/>
            </c:ext>
          </c:extLst>
        </c:ser>
        <c:dLbls>
          <c:showLegendKey val="0"/>
          <c:showVal val="0"/>
          <c:showCatName val="0"/>
          <c:showSerName val="0"/>
          <c:showPercent val="0"/>
          <c:showBubbleSize val="0"/>
        </c:dLbls>
        <c:gapWidth val="219"/>
        <c:overlap val="-27"/>
        <c:axId val="762547344"/>
        <c:axId val="762548984"/>
      </c:barChart>
      <c:catAx>
        <c:axId val="76254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762548984"/>
        <c:crosses val="autoZero"/>
        <c:auto val="1"/>
        <c:lblAlgn val="ctr"/>
        <c:lblOffset val="100"/>
        <c:noMultiLvlLbl val="0"/>
      </c:catAx>
      <c:valAx>
        <c:axId val="762548984"/>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76254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0AAD9-0A83-4A35-A4ED-C2CCEC177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6932</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ECE/TRANS/2021/5</vt:lpstr>
      <vt:lpstr/>
    </vt:vector>
  </TitlesOfParts>
  <Company>CSD</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ECE/TRANS/2021/23</dc:title>
  <dc:subject>2016828</dc:subject>
  <dc:creator>Anastasia Barinova</dc:creator>
  <cp:keywords/>
  <dc:description/>
  <cp:lastModifiedBy>Anni Vi TIROL</cp:lastModifiedBy>
  <cp:revision>2</cp:revision>
  <cp:lastPrinted>2009-02-18T09:36:00Z</cp:lastPrinted>
  <dcterms:created xsi:type="dcterms:W3CDTF">2020-12-14T08:50:00Z</dcterms:created>
  <dcterms:modified xsi:type="dcterms:W3CDTF">2020-12-14T08:50:00Z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