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859A" w14:textId="43A96C77" w:rsidR="0086591C" w:rsidRDefault="00197819" w:rsidP="00524E7B">
      <w:pPr>
        <w:jc w:val="both"/>
        <w:rPr>
          <w:bCs/>
          <w:color w:val="4472C4" w:themeColor="accent1"/>
          <w:sz w:val="28"/>
          <w:szCs w:val="28"/>
          <w:u w:val="single"/>
        </w:rPr>
      </w:pPr>
      <w:r>
        <w:rPr>
          <w:bCs/>
          <w:color w:val="4472C4" w:themeColor="accent1"/>
          <w:sz w:val="28"/>
          <w:szCs w:val="28"/>
          <w:u w:val="single"/>
        </w:rPr>
        <w:t>Introduction</w:t>
      </w:r>
    </w:p>
    <w:p w14:paraId="0FD0379E" w14:textId="2DAD1FA2" w:rsidR="001E5DFC" w:rsidRPr="00197819" w:rsidRDefault="001E5DFC" w:rsidP="00524E7B">
      <w:pPr>
        <w:jc w:val="both"/>
        <w:rPr>
          <w:rFonts w:eastAsia="Times New Roman"/>
        </w:rPr>
      </w:pPr>
      <w:r w:rsidRPr="00197819">
        <w:rPr>
          <w:rFonts w:eastAsia="Times New Roman"/>
        </w:rPr>
        <w:t xml:space="preserve">This document </w:t>
      </w:r>
      <w:r w:rsidR="00DC67AA">
        <w:rPr>
          <w:rFonts w:eastAsia="Times New Roman"/>
        </w:rPr>
        <w:t>should</w:t>
      </w:r>
      <w:r w:rsidRPr="00197819">
        <w:rPr>
          <w:rFonts w:eastAsia="Times New Roman"/>
        </w:rPr>
        <w:t xml:space="preserve"> be considered as an explanatory document to be read in conjunction with the UNECE Cybersecurity </w:t>
      </w:r>
      <w:r w:rsidR="004406B9">
        <w:rPr>
          <w:rFonts w:eastAsia="Times New Roman"/>
        </w:rPr>
        <w:t>R</w:t>
      </w:r>
      <w:r w:rsidRPr="00197819">
        <w:rPr>
          <w:rFonts w:eastAsia="Times New Roman"/>
        </w:rPr>
        <w:t xml:space="preserve">egulation. This document describes process flow for national/regional authorities </w:t>
      </w:r>
      <w:r w:rsidR="00DC67AA">
        <w:rPr>
          <w:rFonts w:eastAsia="Times New Roman"/>
        </w:rPr>
        <w:t>to</w:t>
      </w:r>
      <w:r w:rsidRPr="00197819">
        <w:rPr>
          <w:rFonts w:eastAsia="Times New Roman"/>
        </w:rPr>
        <w:t xml:space="preserve"> define objective mi</w:t>
      </w:r>
      <w:r w:rsidR="00CA0BB2">
        <w:rPr>
          <w:rFonts w:eastAsia="Times New Roman"/>
        </w:rPr>
        <w:t xml:space="preserve">nimum compliance criteria for the UNECE cybersecurity regulation. The text </w:t>
      </w:r>
      <w:r w:rsidR="00DC67AA">
        <w:rPr>
          <w:rFonts w:eastAsia="Times New Roman"/>
        </w:rPr>
        <w:t xml:space="preserve">below </w:t>
      </w:r>
      <w:r w:rsidR="00CA0BB2">
        <w:rPr>
          <w:rFonts w:eastAsia="Times New Roman"/>
        </w:rPr>
        <w:t xml:space="preserve">can be considered as an input for </w:t>
      </w:r>
      <w:r w:rsidR="002C4E8C">
        <w:rPr>
          <w:rFonts w:eastAsia="Times New Roman"/>
        </w:rPr>
        <w:t>the UNECE report document that will be developed in conjunction with the Cybersecurity regulation</w:t>
      </w:r>
      <w:r w:rsidR="009D6EF4">
        <w:rPr>
          <w:rFonts w:eastAsia="Times New Roman"/>
        </w:rPr>
        <w:t>.</w:t>
      </w:r>
    </w:p>
    <w:p w14:paraId="2C413E53" w14:textId="77777777" w:rsidR="00BE38BC" w:rsidRPr="00BE38BC" w:rsidRDefault="00BE38BC" w:rsidP="00524E7B">
      <w:pPr>
        <w:pStyle w:val="ListParagraph"/>
        <w:ind w:left="360"/>
        <w:jc w:val="both"/>
        <w:rPr>
          <w:rFonts w:eastAsia="Times New Roman"/>
          <w:lang w:val="en-GB"/>
        </w:rPr>
      </w:pPr>
    </w:p>
    <w:p w14:paraId="782C124C" w14:textId="0764EE87" w:rsidR="00BE38BC" w:rsidRDefault="00BE38BC" w:rsidP="00524E7B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/>
          <w:b/>
          <w:bCs/>
          <w:u w:val="single"/>
          <w:lang w:val="en-GB"/>
        </w:rPr>
      </w:pPr>
      <w:r w:rsidRPr="00BE38BC">
        <w:rPr>
          <w:rFonts w:eastAsia="Times New Roman"/>
          <w:b/>
          <w:bCs/>
          <w:u w:val="single"/>
          <w:lang w:val="en-GB"/>
        </w:rPr>
        <w:t>General Specification</w:t>
      </w:r>
    </w:p>
    <w:p w14:paraId="461F56BB" w14:textId="77777777" w:rsidR="00BE38BC" w:rsidRPr="00BE38BC" w:rsidRDefault="00BE38BC" w:rsidP="00524E7B">
      <w:pPr>
        <w:pStyle w:val="ListParagraph"/>
        <w:ind w:left="360"/>
        <w:jc w:val="both"/>
        <w:rPr>
          <w:rFonts w:eastAsia="Times New Roman"/>
          <w:b/>
          <w:bCs/>
          <w:u w:val="single"/>
          <w:lang w:val="en-GB"/>
        </w:rPr>
      </w:pPr>
    </w:p>
    <w:p w14:paraId="776C32CA" w14:textId="10B3AEE5" w:rsidR="00197819" w:rsidRPr="00197819" w:rsidRDefault="00BE38BC" w:rsidP="00197819">
      <w:pPr>
        <w:ind w:left="360"/>
        <w:jc w:val="both"/>
        <w:rPr>
          <w:rFonts w:eastAsia="Times New Roman"/>
          <w:lang w:val="en-GB"/>
        </w:rPr>
      </w:pPr>
      <w:r w:rsidRPr="00BE38BC">
        <w:rPr>
          <w:rFonts w:eastAsia="Times New Roman"/>
          <w:b/>
          <w:bCs/>
          <w:lang w:val="en-GB"/>
        </w:rPr>
        <w:t>A.1.</w:t>
      </w:r>
      <w:r w:rsidRPr="00BE38BC">
        <w:rPr>
          <w:rFonts w:eastAsia="Times New Roman"/>
          <w:b/>
          <w:bCs/>
          <w:lang w:val="en-GB"/>
        </w:rPr>
        <w:tab/>
      </w:r>
      <w:r w:rsidR="00197819" w:rsidRPr="00197819">
        <w:rPr>
          <w:rFonts w:eastAsia="Times New Roman"/>
        </w:rPr>
        <w:t xml:space="preserve">Approval authorities </w:t>
      </w:r>
      <w:r w:rsidR="00A07748">
        <w:rPr>
          <w:rFonts w:eastAsia="Times New Roman"/>
          <w:lang w:val="en-GB"/>
        </w:rPr>
        <w:t>should</w:t>
      </w:r>
      <w:r w:rsidR="00197819" w:rsidRPr="00197819">
        <w:rPr>
          <w:rFonts w:eastAsia="Times New Roman"/>
        </w:rPr>
        <w:t xml:space="preserve"> use assessment frameworks</w:t>
      </w:r>
      <w:r w:rsidR="00726FD9">
        <w:rPr>
          <w:rStyle w:val="FootnoteReference"/>
          <w:rFonts w:eastAsia="Times New Roman"/>
        </w:rPr>
        <w:footnoteReference w:id="1"/>
      </w:r>
      <w:r w:rsidR="00197819" w:rsidRPr="00197819">
        <w:rPr>
          <w:rFonts w:eastAsia="Times New Roman"/>
        </w:rPr>
        <w:t xml:space="preserve"> from national or regional bodies, </w:t>
      </w:r>
      <w:r w:rsidR="00197819" w:rsidRPr="00BE38BC">
        <w:t>to define additional requirements for process</w:t>
      </w:r>
      <w:r w:rsidR="00197819">
        <w:t xml:space="preserve">es </w:t>
      </w:r>
      <w:r w:rsidR="00197819" w:rsidRPr="00BE38BC">
        <w:t>(CSMS) and product</w:t>
      </w:r>
      <w:r w:rsidR="00197819">
        <w:t xml:space="preserve"> </w:t>
      </w:r>
      <w:r w:rsidR="00197819" w:rsidRPr="00BE38BC">
        <w:t xml:space="preserve">(vehicle type) evaluation. </w:t>
      </w:r>
      <w:r w:rsidR="00197819" w:rsidRPr="00197819">
        <w:rPr>
          <w:lang w:val="en-GB"/>
        </w:rPr>
        <w:t xml:space="preserve">Objective requirements for each of the current requirements of the CS/OTA regulation </w:t>
      </w:r>
      <w:r w:rsidR="00A07748">
        <w:rPr>
          <w:lang w:val="en-GB"/>
        </w:rPr>
        <w:t>should</w:t>
      </w:r>
      <w:r w:rsidR="00197819" w:rsidRPr="00197819">
        <w:rPr>
          <w:lang w:val="en-GB"/>
        </w:rPr>
        <w:t xml:space="preserve"> be drafted referencing the cyber assessment framework.</w:t>
      </w:r>
    </w:p>
    <w:p w14:paraId="6C3BB8CE" w14:textId="0CE55836" w:rsidR="00197819" w:rsidRDefault="00197819" w:rsidP="00524E7B">
      <w:pPr>
        <w:pStyle w:val="ListParagraph"/>
        <w:ind w:left="360"/>
        <w:jc w:val="both"/>
        <w:rPr>
          <w:rFonts w:eastAsia="Times New Roman"/>
          <w:b/>
          <w:bCs/>
          <w:lang w:val="en-GB"/>
        </w:rPr>
      </w:pPr>
    </w:p>
    <w:p w14:paraId="4DB9F623" w14:textId="38455ED5" w:rsidR="00BE38BC" w:rsidRDefault="00197819" w:rsidP="00524E7B">
      <w:pPr>
        <w:pStyle w:val="ListParagraph"/>
        <w:ind w:left="360"/>
        <w:jc w:val="both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>A.2.</w:t>
      </w:r>
      <w:r>
        <w:rPr>
          <w:rFonts w:eastAsia="Times New Roman"/>
          <w:b/>
          <w:bCs/>
          <w:lang w:val="en-GB"/>
        </w:rPr>
        <w:tab/>
      </w:r>
      <w:r w:rsidR="00BE38BC" w:rsidRPr="00BE38BC">
        <w:rPr>
          <w:rFonts w:eastAsia="Times New Roman"/>
          <w:lang w:val="en-GB"/>
        </w:rPr>
        <w:t xml:space="preserve">For process requirements, ISO 21434 </w:t>
      </w:r>
      <w:r w:rsidR="003B5248">
        <w:rPr>
          <w:rFonts w:eastAsia="Times New Roman"/>
          <w:lang w:val="en-GB"/>
        </w:rPr>
        <w:t>should</w:t>
      </w:r>
      <w:r w:rsidR="00BE38BC" w:rsidRPr="00BE38BC">
        <w:rPr>
          <w:rFonts w:eastAsia="Times New Roman"/>
          <w:lang w:val="en-GB"/>
        </w:rPr>
        <w:t xml:space="preserve"> be used as a base standard for evaluation, along with the cyber assessm</w:t>
      </w:r>
      <w:bookmarkStart w:id="0" w:name="_GoBack"/>
      <w:bookmarkEnd w:id="0"/>
      <w:r w:rsidR="00BE38BC" w:rsidRPr="00BE38BC">
        <w:rPr>
          <w:rFonts w:eastAsia="Times New Roman"/>
          <w:lang w:val="en-GB"/>
        </w:rPr>
        <w:t>ent framework</w:t>
      </w:r>
      <w:r w:rsidR="00515813">
        <w:rPr>
          <w:rFonts w:eastAsia="Times New Roman"/>
          <w:lang w:val="en-GB"/>
        </w:rPr>
        <w:t xml:space="preserve"> stipulated by the Approval Authority.</w:t>
      </w:r>
    </w:p>
    <w:p w14:paraId="08EC1663" w14:textId="77777777" w:rsidR="00BE38BC" w:rsidRPr="00BE38BC" w:rsidRDefault="00BE38BC" w:rsidP="00524E7B">
      <w:pPr>
        <w:pStyle w:val="ListParagraph"/>
        <w:ind w:left="360"/>
        <w:jc w:val="both"/>
        <w:rPr>
          <w:rFonts w:eastAsia="Times New Roman"/>
          <w:lang w:val="en-GB"/>
        </w:rPr>
      </w:pPr>
    </w:p>
    <w:p w14:paraId="722483E3" w14:textId="2A17FB8E" w:rsidR="00BE38BC" w:rsidRPr="00BE38BC" w:rsidRDefault="00BE38BC" w:rsidP="00524E7B">
      <w:pPr>
        <w:pStyle w:val="ListParagraph"/>
        <w:ind w:left="360"/>
        <w:jc w:val="both"/>
        <w:rPr>
          <w:rFonts w:eastAsia="Times New Roman"/>
          <w:lang w:val="en-GB"/>
        </w:rPr>
      </w:pPr>
      <w:r w:rsidRPr="00BE38BC">
        <w:rPr>
          <w:rFonts w:eastAsia="Times New Roman"/>
          <w:b/>
          <w:bCs/>
          <w:lang w:val="en-GB"/>
        </w:rPr>
        <w:t>A.</w:t>
      </w:r>
      <w:r w:rsidR="00197819">
        <w:rPr>
          <w:rFonts w:eastAsia="Times New Roman"/>
          <w:b/>
          <w:bCs/>
          <w:lang w:val="en-GB"/>
        </w:rPr>
        <w:t>3</w:t>
      </w:r>
      <w:r w:rsidRPr="00BE38BC">
        <w:rPr>
          <w:rFonts w:eastAsia="Times New Roman"/>
          <w:b/>
          <w:bCs/>
          <w:lang w:val="en-GB"/>
        </w:rPr>
        <w:t>.</w:t>
      </w:r>
      <w:r w:rsidRPr="00BE38BC">
        <w:rPr>
          <w:rFonts w:eastAsia="Times New Roman"/>
          <w:b/>
          <w:bCs/>
          <w:lang w:val="en-GB"/>
        </w:rPr>
        <w:tab/>
      </w:r>
      <w:r w:rsidRPr="00BE38BC">
        <w:rPr>
          <w:rFonts w:eastAsia="Times New Roman"/>
          <w:lang w:val="en-GB"/>
        </w:rPr>
        <w:t xml:space="preserve">For vehicle type requirements, </w:t>
      </w:r>
      <w:r w:rsidRPr="00BE38BC">
        <w:rPr>
          <w:rFonts w:eastAsia="Times New Roman"/>
        </w:rPr>
        <w:t>Annex B and C</w:t>
      </w:r>
      <w:r w:rsidRPr="00BE38BC">
        <w:rPr>
          <w:rFonts w:eastAsia="Times New Roman"/>
          <w:lang w:val="en-GB"/>
        </w:rPr>
        <w:t xml:space="preserve"> of the regulation, threat enumerations </w:t>
      </w:r>
      <w:r w:rsidR="008434A2">
        <w:rPr>
          <w:rFonts w:eastAsia="Times New Roman"/>
          <w:lang w:val="en-GB"/>
        </w:rPr>
        <w:t xml:space="preserve">from national/regional security agencies </w:t>
      </w:r>
      <w:r w:rsidRPr="00BE38BC">
        <w:rPr>
          <w:rFonts w:eastAsia="Times New Roman"/>
          <w:lang w:val="en-GB"/>
        </w:rPr>
        <w:t xml:space="preserve">and requirements from </w:t>
      </w:r>
      <w:r w:rsidR="00515813">
        <w:rPr>
          <w:rFonts w:eastAsia="Times New Roman"/>
          <w:lang w:val="en-GB"/>
        </w:rPr>
        <w:t xml:space="preserve">the </w:t>
      </w:r>
      <w:r w:rsidRPr="00BE38BC">
        <w:rPr>
          <w:rFonts w:eastAsia="Times New Roman"/>
          <w:lang w:val="en-GB"/>
        </w:rPr>
        <w:t>cyber</w:t>
      </w:r>
      <w:r w:rsidRPr="00BE38BC">
        <w:rPr>
          <w:rFonts w:eastAsia="Times New Roman"/>
        </w:rPr>
        <w:t xml:space="preserve"> assessment </w:t>
      </w:r>
      <w:r w:rsidR="00C02B49" w:rsidRPr="00BE38BC">
        <w:rPr>
          <w:rFonts w:eastAsia="Times New Roman"/>
        </w:rPr>
        <w:t>framework</w:t>
      </w:r>
      <w:r w:rsidR="00C02B49" w:rsidRPr="00BE38BC">
        <w:rPr>
          <w:rFonts w:eastAsia="Times New Roman"/>
          <w:lang w:val="en-GB"/>
        </w:rPr>
        <w:t>s stipulated</w:t>
      </w:r>
      <w:r w:rsidR="00515813">
        <w:rPr>
          <w:rFonts w:eastAsia="Times New Roman"/>
          <w:lang w:val="en-GB"/>
        </w:rPr>
        <w:t xml:space="preserve"> by the</w:t>
      </w:r>
      <w:r w:rsidRPr="00BE38BC">
        <w:rPr>
          <w:rFonts w:eastAsia="Times New Roman"/>
          <w:lang w:val="en-GB"/>
        </w:rPr>
        <w:t xml:space="preserve"> national or regional bodies </w:t>
      </w:r>
      <w:r w:rsidR="003B5248">
        <w:rPr>
          <w:lang w:val="en-GB"/>
        </w:rPr>
        <w:t>should</w:t>
      </w:r>
      <w:r w:rsidRPr="00BE38BC">
        <w:rPr>
          <w:rFonts w:eastAsia="Times New Roman"/>
          <w:lang w:val="en-GB"/>
        </w:rPr>
        <w:t xml:space="preserve"> be used to develop a threat enumeration list along with corresponding mitigation measures. Additional sources may be considered for developing this threat enumeration list and mitigation measures, and this list </w:t>
      </w:r>
      <w:r w:rsidR="003B5248">
        <w:rPr>
          <w:rFonts w:eastAsia="Times New Roman"/>
          <w:lang w:val="en-GB"/>
        </w:rPr>
        <w:t>should</w:t>
      </w:r>
      <w:r w:rsidRPr="00BE38BC">
        <w:rPr>
          <w:rFonts w:eastAsia="Times New Roman"/>
          <w:lang w:val="en-GB"/>
        </w:rPr>
        <w:t xml:space="preserve"> be maintained at national or regional level as a reference for the minimum product security that needs to be implemented for vehicle type approval.</w:t>
      </w:r>
      <w:r w:rsidRPr="00BE38BC">
        <w:rPr>
          <w:lang w:val="en-GB"/>
        </w:rPr>
        <w:t xml:space="preserve"> </w:t>
      </w:r>
    </w:p>
    <w:p w14:paraId="03FC2E3D" w14:textId="7C8695F3" w:rsidR="00BE38BC" w:rsidRPr="00BE38BC" w:rsidRDefault="00BE38BC" w:rsidP="00524E7B">
      <w:pPr>
        <w:jc w:val="both"/>
        <w:rPr>
          <w:rFonts w:eastAsia="Times New Roman"/>
          <w:b/>
          <w:bCs/>
          <w:u w:val="single"/>
          <w:lang w:val="en-GB"/>
        </w:rPr>
      </w:pPr>
    </w:p>
    <w:p w14:paraId="52338988" w14:textId="7A7E64AA" w:rsidR="00BE38BC" w:rsidRPr="00BE38BC" w:rsidRDefault="00BE38BC" w:rsidP="00524E7B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/>
          <w:b/>
          <w:bCs/>
          <w:u w:val="single"/>
          <w:lang w:val="en-GB"/>
        </w:rPr>
      </w:pPr>
      <w:r w:rsidRPr="00BE38BC">
        <w:rPr>
          <w:rFonts w:eastAsia="Times New Roman"/>
          <w:b/>
          <w:bCs/>
          <w:u w:val="single"/>
          <w:lang w:val="en-GB"/>
        </w:rPr>
        <w:t>Threat Enumeration and Mitigation measure list</w:t>
      </w:r>
    </w:p>
    <w:p w14:paraId="15C115A2" w14:textId="77777777" w:rsidR="00BE38BC" w:rsidRPr="00BE38BC" w:rsidRDefault="00BE38BC" w:rsidP="00524E7B">
      <w:pPr>
        <w:pStyle w:val="ListParagraph"/>
        <w:ind w:left="360"/>
        <w:jc w:val="both"/>
        <w:rPr>
          <w:rFonts w:eastAsia="Times New Roman"/>
          <w:lang w:val="en-GB"/>
        </w:rPr>
      </w:pPr>
    </w:p>
    <w:p w14:paraId="7DE4A03C" w14:textId="243CC94A" w:rsidR="00BE38BC" w:rsidRDefault="00BE38BC" w:rsidP="00524E7B">
      <w:pPr>
        <w:pStyle w:val="ListParagraph"/>
        <w:ind w:left="360"/>
        <w:jc w:val="both"/>
        <w:rPr>
          <w:rFonts w:eastAsia="Times New Roman"/>
          <w:lang w:val="en-GB"/>
        </w:rPr>
      </w:pPr>
      <w:r w:rsidRPr="00012583">
        <w:rPr>
          <w:rFonts w:eastAsia="Times New Roman"/>
          <w:b/>
          <w:bCs/>
          <w:lang w:val="en-GB"/>
        </w:rPr>
        <w:t>B.1.</w:t>
      </w:r>
      <w:r w:rsidR="00012583">
        <w:rPr>
          <w:rFonts w:eastAsia="Times New Roman"/>
          <w:b/>
          <w:bCs/>
          <w:lang w:val="en-GB"/>
        </w:rPr>
        <w:tab/>
      </w:r>
      <w:r w:rsidRPr="00012583">
        <w:rPr>
          <w:rFonts w:eastAsia="Times New Roman"/>
          <w:b/>
          <w:bCs/>
          <w:lang w:val="en-GB"/>
        </w:rPr>
        <w:tab/>
      </w:r>
      <w:r w:rsidRPr="00012583">
        <w:rPr>
          <w:rFonts w:eastAsia="Times New Roman"/>
          <w:lang w:val="en-GB"/>
        </w:rPr>
        <w:t>The threat enumeration and mitigation measures list</w:t>
      </w:r>
      <w:r w:rsidR="001C09EE">
        <w:rPr>
          <w:rStyle w:val="FootnoteReference"/>
          <w:rFonts w:eastAsia="Times New Roman"/>
          <w:lang w:val="en-GB"/>
        </w:rPr>
        <w:footnoteReference w:id="2"/>
      </w:r>
      <w:r w:rsidRPr="00012583">
        <w:rPr>
          <w:rFonts w:eastAsia="Times New Roman"/>
          <w:lang w:val="en-GB"/>
        </w:rPr>
        <w:t xml:space="preserve"> </w:t>
      </w:r>
      <w:r w:rsidR="00783807">
        <w:rPr>
          <w:rFonts w:eastAsia="Times New Roman"/>
          <w:lang w:val="en-GB"/>
        </w:rPr>
        <w:t>should</w:t>
      </w:r>
      <w:r w:rsidRPr="00012583">
        <w:rPr>
          <w:rFonts w:eastAsia="Times New Roman"/>
          <w:lang w:val="en-GB"/>
        </w:rPr>
        <w:t xml:space="preserve"> be maintained in the form a living document. Its base version </w:t>
      </w:r>
      <w:r w:rsidR="00783807">
        <w:rPr>
          <w:rFonts w:eastAsia="Times New Roman"/>
          <w:lang w:val="en-GB"/>
        </w:rPr>
        <w:t>should</w:t>
      </w:r>
      <w:r w:rsidRPr="00012583">
        <w:rPr>
          <w:rFonts w:eastAsia="Times New Roman"/>
          <w:lang w:val="en-GB"/>
        </w:rPr>
        <w:t xml:space="preserve"> be constructed using current Annex B) and C) of the Regulation</w:t>
      </w:r>
      <w:r w:rsidR="00C02B49">
        <w:rPr>
          <w:rFonts w:eastAsia="Times New Roman"/>
          <w:lang w:val="en-GB"/>
        </w:rPr>
        <w:t xml:space="preserve"> and</w:t>
      </w:r>
      <w:r w:rsidRPr="00012583">
        <w:rPr>
          <w:rFonts w:eastAsia="Times New Roman"/>
          <w:lang w:val="en-GB"/>
        </w:rPr>
        <w:t xml:space="preserve"> threat landscape</w:t>
      </w:r>
      <w:r w:rsidR="00296379">
        <w:rPr>
          <w:rFonts w:eastAsia="Times New Roman"/>
          <w:lang w:val="en-GB"/>
        </w:rPr>
        <w:t>s developed by national/regional cybersecurity agencies and other relevant sources</w:t>
      </w:r>
      <w:r w:rsidRPr="00012583">
        <w:rPr>
          <w:rFonts w:eastAsia="Times New Roman"/>
          <w:lang w:val="en-GB"/>
        </w:rPr>
        <w:t xml:space="preserve">. </w:t>
      </w:r>
    </w:p>
    <w:p w14:paraId="0656B472" w14:textId="77777777" w:rsidR="00447137" w:rsidRPr="00012583" w:rsidRDefault="00447137" w:rsidP="00524E7B">
      <w:pPr>
        <w:pStyle w:val="ListParagraph"/>
        <w:ind w:left="360"/>
        <w:jc w:val="both"/>
        <w:rPr>
          <w:rFonts w:eastAsia="Times New Roman"/>
          <w:lang w:val="en-GB"/>
        </w:rPr>
      </w:pPr>
    </w:p>
    <w:p w14:paraId="7CC346AF" w14:textId="7ED35CBD" w:rsidR="003E4761" w:rsidRDefault="00BE38BC" w:rsidP="00524E7B">
      <w:pPr>
        <w:pStyle w:val="ListParagraph"/>
        <w:ind w:left="360"/>
        <w:jc w:val="both"/>
        <w:rPr>
          <w:rFonts w:eastAsia="Times New Roman"/>
          <w:lang w:val="en-GB"/>
        </w:rPr>
      </w:pPr>
      <w:r w:rsidRPr="00012583">
        <w:rPr>
          <w:rFonts w:eastAsia="Times New Roman"/>
          <w:b/>
          <w:bCs/>
          <w:lang w:val="en-GB"/>
        </w:rPr>
        <w:t>B.2.</w:t>
      </w:r>
      <w:r w:rsidRPr="00012583">
        <w:rPr>
          <w:rFonts w:eastAsia="Times New Roman"/>
          <w:b/>
          <w:bCs/>
          <w:lang w:val="en-GB"/>
        </w:rPr>
        <w:tab/>
      </w:r>
      <w:r w:rsidR="00012583">
        <w:rPr>
          <w:rFonts w:eastAsia="Times New Roman"/>
          <w:b/>
          <w:bCs/>
          <w:lang w:val="en-GB"/>
        </w:rPr>
        <w:tab/>
      </w:r>
      <w:r w:rsidRPr="00012583">
        <w:rPr>
          <w:rFonts w:eastAsia="Times New Roman"/>
          <w:lang w:val="en-GB"/>
        </w:rPr>
        <w:t xml:space="preserve">The threat enumeration and mitigation measures list </w:t>
      </w:r>
      <w:r w:rsidR="00783807">
        <w:rPr>
          <w:rFonts w:eastAsia="Times New Roman"/>
          <w:lang w:val="en-GB"/>
        </w:rPr>
        <w:t>should</w:t>
      </w:r>
      <w:r w:rsidRPr="00012583">
        <w:rPr>
          <w:rFonts w:eastAsia="Times New Roman"/>
          <w:lang w:val="en-GB"/>
        </w:rPr>
        <w:t xml:space="preserve"> be updated every time a new successful hack</w:t>
      </w:r>
      <w:r w:rsidR="00012583">
        <w:rPr>
          <w:rFonts w:eastAsia="Times New Roman"/>
          <w:lang w:val="en-GB"/>
        </w:rPr>
        <w:t xml:space="preserve">, or new threat </w:t>
      </w:r>
      <w:r w:rsidRPr="00012583">
        <w:rPr>
          <w:rFonts w:eastAsia="Times New Roman"/>
          <w:lang w:val="en-GB"/>
        </w:rPr>
        <w:t xml:space="preserve">have been identified in the automotive industry, or if any of its existing mitigation measure has been identified to have an updated version. </w:t>
      </w:r>
      <w:r w:rsidR="00296379">
        <w:rPr>
          <w:rFonts w:eastAsia="Times New Roman"/>
          <w:lang w:val="en-GB"/>
        </w:rPr>
        <w:t xml:space="preserve">Vehicle Manufacturers and suppliers </w:t>
      </w:r>
      <w:r w:rsidR="00783807">
        <w:rPr>
          <w:rFonts w:eastAsia="Times New Roman"/>
          <w:lang w:val="en-GB"/>
        </w:rPr>
        <w:t>should</w:t>
      </w:r>
      <w:r w:rsidRPr="00012583">
        <w:rPr>
          <w:rFonts w:eastAsia="Times New Roman"/>
          <w:lang w:val="en-GB"/>
        </w:rPr>
        <w:t xml:space="preserve"> be responsible for reporting the same and enriching the list as and when such an event occurs.</w:t>
      </w:r>
    </w:p>
    <w:p w14:paraId="29435D07" w14:textId="77777777" w:rsidR="00447137" w:rsidRDefault="00447137" w:rsidP="00524E7B">
      <w:pPr>
        <w:pStyle w:val="ListParagraph"/>
        <w:ind w:left="360"/>
        <w:jc w:val="both"/>
        <w:rPr>
          <w:rFonts w:eastAsia="Times New Roman"/>
          <w:lang w:val="en-GB"/>
        </w:rPr>
      </w:pPr>
    </w:p>
    <w:p w14:paraId="379C408B" w14:textId="1DBBFEBA" w:rsidR="00BE38BC" w:rsidRDefault="003E4761" w:rsidP="00524E7B">
      <w:pPr>
        <w:pStyle w:val="ListParagraph"/>
        <w:ind w:left="360"/>
        <w:jc w:val="both"/>
        <w:rPr>
          <w:rFonts w:eastAsia="Times New Roman"/>
        </w:rPr>
      </w:pPr>
      <w:r>
        <w:rPr>
          <w:rFonts w:eastAsia="Times New Roman"/>
          <w:b/>
          <w:bCs/>
          <w:lang w:val="en-GB"/>
        </w:rPr>
        <w:t>B.</w:t>
      </w:r>
      <w:r>
        <w:rPr>
          <w:rFonts w:eastAsia="Times New Roman"/>
          <w:lang w:val="en-GB"/>
        </w:rPr>
        <w:t>3.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="008F03A9">
        <w:rPr>
          <w:rFonts w:eastAsia="Times New Roman"/>
          <w:lang w:val="en-GB"/>
        </w:rPr>
        <w:t xml:space="preserve">Every </w:t>
      </w:r>
      <w:r w:rsidR="00BE38BC" w:rsidRPr="00BE38BC">
        <w:rPr>
          <w:rFonts w:eastAsia="Times New Roman"/>
        </w:rPr>
        <w:t xml:space="preserve">time the </w:t>
      </w:r>
      <w:r w:rsidR="00BE38BC" w:rsidRPr="00BE38BC">
        <w:rPr>
          <w:rFonts w:eastAsia="Times New Roman"/>
          <w:lang w:val="en-GB"/>
        </w:rPr>
        <w:t xml:space="preserve">threat enumeration and mitigation measures </w:t>
      </w:r>
      <w:r w:rsidR="00BE38BC" w:rsidRPr="00BE38BC">
        <w:rPr>
          <w:rFonts w:eastAsia="Times New Roman"/>
        </w:rPr>
        <w:t>list is updated with a new product security feature/risk/threat</w:t>
      </w:r>
      <w:r w:rsidR="00BE38BC" w:rsidRPr="00BE38BC">
        <w:rPr>
          <w:rFonts w:eastAsia="Times New Roman"/>
          <w:lang w:val="en-GB"/>
        </w:rPr>
        <w:t>/mitigation measure</w:t>
      </w:r>
      <w:r w:rsidR="00BE38BC" w:rsidRPr="00BE38BC">
        <w:rPr>
          <w:rFonts w:eastAsia="Times New Roman"/>
        </w:rPr>
        <w:t xml:space="preserve">, </w:t>
      </w:r>
      <w:r w:rsidR="00296379">
        <w:rPr>
          <w:rFonts w:eastAsia="Times New Roman"/>
        </w:rPr>
        <w:t xml:space="preserve">Vehicle manufacturers and suppliers </w:t>
      </w:r>
      <w:r w:rsidR="00783807">
        <w:rPr>
          <w:rFonts w:eastAsia="Times New Roman"/>
          <w:lang w:val="en-GB"/>
        </w:rPr>
        <w:t>should</w:t>
      </w:r>
      <w:r w:rsidR="00BE38BC" w:rsidRPr="00BE38BC">
        <w:rPr>
          <w:rFonts w:eastAsia="Times New Roman"/>
        </w:rPr>
        <w:t xml:space="preserve"> re</w:t>
      </w:r>
      <w:r w:rsidR="00E76513">
        <w:rPr>
          <w:rFonts w:eastAsia="Times New Roman"/>
        </w:rPr>
        <w:t>vise</w:t>
      </w:r>
      <w:r w:rsidR="00BE38BC" w:rsidRPr="00BE38BC">
        <w:rPr>
          <w:rFonts w:eastAsia="Times New Roman"/>
        </w:rPr>
        <w:t xml:space="preserve"> their risk assessment and provide justification for </w:t>
      </w:r>
      <w:r w:rsidR="00E76513">
        <w:rPr>
          <w:rFonts w:eastAsia="Times New Roman"/>
        </w:rPr>
        <w:t>continued</w:t>
      </w:r>
      <w:r w:rsidR="00E76513" w:rsidRPr="00BE38BC">
        <w:rPr>
          <w:rFonts w:eastAsia="Times New Roman"/>
        </w:rPr>
        <w:t xml:space="preserve"> </w:t>
      </w:r>
      <w:r w:rsidR="00BE38BC" w:rsidRPr="00BE38BC">
        <w:rPr>
          <w:rFonts w:eastAsia="Times New Roman"/>
        </w:rPr>
        <w:t>compliance with 7.2.2.2 f) and 7.2.2.2.g)</w:t>
      </w:r>
      <w:r w:rsidR="00BE38BC" w:rsidRPr="00BE38BC">
        <w:rPr>
          <w:rFonts w:eastAsia="Times New Roman"/>
          <w:lang w:val="en-GB"/>
        </w:rPr>
        <w:t xml:space="preserve"> of the </w:t>
      </w:r>
      <w:r w:rsidR="00F359C0">
        <w:rPr>
          <w:rFonts w:eastAsia="Times New Roman"/>
          <w:lang w:val="en-GB"/>
        </w:rPr>
        <w:t>Cybersecurity</w:t>
      </w:r>
      <w:r w:rsidR="00BE38BC" w:rsidRPr="00BE38BC">
        <w:rPr>
          <w:rFonts w:eastAsia="Times New Roman"/>
          <w:lang w:val="en-GB"/>
        </w:rPr>
        <w:t xml:space="preserve"> regulation</w:t>
      </w:r>
      <w:r w:rsidR="00BE38BC" w:rsidRPr="00BE38BC">
        <w:rPr>
          <w:rFonts w:eastAsia="Times New Roman"/>
        </w:rPr>
        <w:t xml:space="preserve"> in light of the new threat/ risk/ security product feature that have been identified. </w:t>
      </w:r>
    </w:p>
    <w:p w14:paraId="4A44FE80" w14:textId="77777777" w:rsidR="00447137" w:rsidRDefault="00447137" w:rsidP="00524E7B">
      <w:pPr>
        <w:jc w:val="both"/>
        <w:rPr>
          <w:rFonts w:eastAsia="Times New Roman"/>
          <w:b/>
          <w:bCs/>
          <w:lang w:val="en-GB"/>
        </w:rPr>
      </w:pPr>
    </w:p>
    <w:p w14:paraId="698F4398" w14:textId="7BD8FEC0" w:rsidR="003E4761" w:rsidRPr="00447137" w:rsidRDefault="002D5BD4" w:rsidP="00524E7B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/>
          <w:b/>
          <w:bCs/>
          <w:u w:val="single"/>
          <w:lang w:val="en-GB"/>
        </w:rPr>
      </w:pPr>
      <w:r>
        <w:rPr>
          <w:rFonts w:eastAsia="Times New Roman"/>
          <w:b/>
          <w:bCs/>
          <w:u w:val="single"/>
          <w:lang w:val="en-GB"/>
        </w:rPr>
        <w:t>Vehicle Manufacturers and suppliers</w:t>
      </w:r>
    </w:p>
    <w:p w14:paraId="0064DA2F" w14:textId="3B607079" w:rsidR="00BE38BC" w:rsidRPr="00447137" w:rsidRDefault="00447137" w:rsidP="00524E7B">
      <w:pPr>
        <w:ind w:left="360"/>
        <w:jc w:val="both"/>
        <w:rPr>
          <w:rFonts w:eastAsia="Times New Roman"/>
          <w:lang w:val="en-GB"/>
        </w:rPr>
      </w:pPr>
      <w:r w:rsidRPr="00447137">
        <w:rPr>
          <w:rFonts w:eastAsia="Times New Roman"/>
          <w:b/>
          <w:bCs/>
          <w:lang w:val="en-GB"/>
        </w:rPr>
        <w:t>C.1.</w:t>
      </w:r>
      <w:r>
        <w:rPr>
          <w:rFonts w:eastAsia="Times New Roman"/>
          <w:b/>
          <w:bCs/>
          <w:lang w:val="en-GB"/>
        </w:rPr>
        <w:tab/>
      </w:r>
      <w:r>
        <w:rPr>
          <w:rFonts w:eastAsia="Times New Roman"/>
        </w:rPr>
        <w:tab/>
      </w:r>
      <w:r w:rsidR="002D5BD4">
        <w:rPr>
          <w:rFonts w:eastAsia="Times New Roman"/>
          <w:lang w:val="en-GB"/>
        </w:rPr>
        <w:t>Vehicle manufacturers and suppliers</w:t>
      </w:r>
      <w:r w:rsidR="002D5BD4" w:rsidRPr="00447137">
        <w:rPr>
          <w:rFonts w:eastAsia="Times New Roman"/>
          <w:lang w:val="en-GB"/>
        </w:rPr>
        <w:t xml:space="preserve"> </w:t>
      </w:r>
      <w:r w:rsidR="00783807">
        <w:rPr>
          <w:rFonts w:eastAsia="Times New Roman"/>
          <w:lang w:val="en-GB"/>
        </w:rPr>
        <w:t>should</w:t>
      </w:r>
      <w:r w:rsidR="00BE38BC" w:rsidRPr="00447137">
        <w:rPr>
          <w:rFonts w:eastAsia="Times New Roman"/>
          <w:lang w:val="en-GB"/>
        </w:rPr>
        <w:t xml:space="preserve"> be mandated to keep their </w:t>
      </w:r>
      <w:r w:rsidR="00A624A1">
        <w:rPr>
          <w:rFonts w:eastAsia="Times New Roman"/>
          <w:lang w:val="en-GB"/>
        </w:rPr>
        <w:t>risk assessments and corresponding mitigation measures for the vehicle type</w:t>
      </w:r>
      <w:r w:rsidR="00A624A1" w:rsidRPr="00447137">
        <w:rPr>
          <w:rFonts w:eastAsia="Times New Roman"/>
          <w:lang w:val="en-GB"/>
        </w:rPr>
        <w:t xml:space="preserve"> </w:t>
      </w:r>
      <w:r w:rsidR="00BE38BC" w:rsidRPr="00447137">
        <w:rPr>
          <w:rFonts w:eastAsia="Times New Roman"/>
          <w:lang w:val="en-GB"/>
        </w:rPr>
        <w:t xml:space="preserve">in compliance with the </w:t>
      </w:r>
      <w:r w:rsidR="00A624A1">
        <w:rPr>
          <w:rFonts w:eastAsia="Times New Roman"/>
          <w:lang w:val="en-GB"/>
        </w:rPr>
        <w:t>threat enumeration</w:t>
      </w:r>
      <w:r w:rsidR="00BE38BC" w:rsidRPr="00447137">
        <w:rPr>
          <w:rFonts w:eastAsia="Times New Roman"/>
          <w:lang w:val="en-GB"/>
        </w:rPr>
        <w:t xml:space="preserve"> list or provide justification for non-compliance, to the satisfaction of the approval authority. </w:t>
      </w:r>
      <w:r w:rsidR="009D6EF4">
        <w:rPr>
          <w:rFonts w:eastAsia="Times New Roman"/>
          <w:lang w:val="en-GB"/>
        </w:rPr>
        <w:t xml:space="preserve">The compliance of </w:t>
      </w:r>
      <w:r w:rsidR="00FD079B">
        <w:rPr>
          <w:rFonts w:eastAsia="Times New Roman"/>
          <w:lang w:val="en-GB"/>
        </w:rPr>
        <w:t xml:space="preserve">an </w:t>
      </w:r>
      <w:r w:rsidR="009D6EF4">
        <w:rPr>
          <w:rFonts w:eastAsia="Times New Roman"/>
          <w:lang w:val="en-GB"/>
        </w:rPr>
        <w:t>indi</w:t>
      </w:r>
      <w:r w:rsidR="00FD079B">
        <w:rPr>
          <w:rFonts w:eastAsia="Times New Roman"/>
          <w:lang w:val="en-GB"/>
        </w:rPr>
        <w:t>vidual</w:t>
      </w:r>
      <w:r w:rsidR="009D6EF4">
        <w:rPr>
          <w:rFonts w:eastAsia="Times New Roman"/>
          <w:lang w:val="en-GB"/>
        </w:rPr>
        <w:t xml:space="preserve"> vehicle with this list</w:t>
      </w:r>
      <w:r w:rsidR="00BE38BC" w:rsidRPr="00447137">
        <w:rPr>
          <w:rFonts w:eastAsia="Times New Roman"/>
          <w:lang w:val="en-GB"/>
        </w:rPr>
        <w:t xml:space="preserve"> can be </w:t>
      </w:r>
      <w:r w:rsidR="009D6EF4">
        <w:rPr>
          <w:rFonts w:eastAsia="Times New Roman"/>
          <w:lang w:val="en-GB"/>
        </w:rPr>
        <w:t>verified</w:t>
      </w:r>
      <w:r w:rsidR="00BE38BC" w:rsidRPr="00447137">
        <w:rPr>
          <w:rFonts w:eastAsia="Times New Roman"/>
          <w:lang w:val="en-GB"/>
        </w:rPr>
        <w:t xml:space="preserve"> as an additional test to be included during PTI inspections. </w:t>
      </w:r>
    </w:p>
    <w:p w14:paraId="3812EDB4" w14:textId="37274076" w:rsidR="00BE38BC" w:rsidRDefault="00447137" w:rsidP="005748F5">
      <w:pPr>
        <w:pStyle w:val="NormalWeb"/>
        <w:ind w:left="360"/>
      </w:pPr>
      <w:r w:rsidRPr="0085124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C.2.</w:t>
      </w:r>
      <w:r w:rsidRPr="0085124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ab/>
      </w:r>
      <w:r w:rsidRPr="00447137">
        <w:tab/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>Any v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>ehicle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>that do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 xml:space="preserve">es 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>not comply with the requirement</w:t>
      </w:r>
      <w:r w:rsidR="00FD079B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 xml:space="preserve"> made under </w:t>
      </w:r>
      <w:r w:rsidR="00E05884" w:rsidRPr="00291DBC">
        <w:rPr>
          <w:rFonts w:asciiTheme="minorHAnsi" w:hAnsiTheme="minorHAnsi" w:cstheme="minorBidi"/>
          <w:sz w:val="22"/>
          <w:szCs w:val="22"/>
          <w:lang w:eastAsia="en-US"/>
        </w:rPr>
        <w:t>C.1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>is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 xml:space="preserve"> deemed 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 xml:space="preserve">to be </w:t>
      </w:r>
      <w:r w:rsidR="00BE38BC" w:rsidRPr="00291DBC">
        <w:rPr>
          <w:rFonts w:asciiTheme="minorHAnsi" w:hAnsiTheme="minorHAnsi" w:cstheme="minorBidi"/>
          <w:sz w:val="22"/>
          <w:szCs w:val="22"/>
          <w:lang w:eastAsia="en-US"/>
        </w:rPr>
        <w:t xml:space="preserve">not roadworthy </w:t>
      </w:r>
      <w:r w:rsidR="00FD079B">
        <w:rPr>
          <w:rFonts w:asciiTheme="minorHAnsi" w:hAnsiTheme="minorHAnsi" w:cstheme="minorBidi"/>
          <w:sz w:val="22"/>
          <w:szCs w:val="22"/>
          <w:lang w:eastAsia="en-US"/>
        </w:rPr>
        <w:t xml:space="preserve">and </w:t>
      </w:r>
      <w:proofErr w:type="gramStart"/>
      <w:r w:rsidR="0057090C">
        <w:rPr>
          <w:rFonts w:asciiTheme="minorHAnsi" w:hAnsiTheme="minorHAnsi" w:cstheme="minorBidi"/>
          <w:sz w:val="22"/>
          <w:szCs w:val="22"/>
          <w:lang w:eastAsia="en-US"/>
        </w:rPr>
        <w:t>as a consequence</w:t>
      </w:r>
      <w:proofErr w:type="gramEnd"/>
      <w:r w:rsidR="0057090C">
        <w:rPr>
          <w:rFonts w:asciiTheme="minorHAnsi" w:hAnsiTheme="minorHAnsi" w:cstheme="minorBidi"/>
          <w:sz w:val="22"/>
          <w:szCs w:val="22"/>
          <w:lang w:eastAsia="en-US"/>
        </w:rPr>
        <w:t>, this</w:t>
      </w:r>
      <w:r w:rsidR="00FD079B">
        <w:rPr>
          <w:rFonts w:asciiTheme="minorHAnsi" w:hAnsiTheme="minorHAnsi" w:cstheme="minorBidi"/>
          <w:sz w:val="22"/>
          <w:szCs w:val="22"/>
          <w:lang w:eastAsia="en-US"/>
        </w:rPr>
        <w:t xml:space="preserve"> v</w:t>
      </w:r>
      <w:r w:rsidR="00191DDC" w:rsidRPr="005748F5">
        <w:rPr>
          <w:rFonts w:asciiTheme="minorHAnsi" w:hAnsiTheme="minorHAnsi" w:cstheme="minorBidi"/>
          <w:sz w:val="22"/>
          <w:szCs w:val="22"/>
          <w:lang w:eastAsia="en-US"/>
        </w:rPr>
        <w:t>ehicle</w:t>
      </w:r>
      <w:r w:rsidR="00191DDC">
        <w:rPr>
          <w:rFonts w:asciiTheme="minorHAnsi" w:hAnsiTheme="minorHAnsi" w:cstheme="minorBidi"/>
          <w:sz w:val="22"/>
          <w:szCs w:val="22"/>
          <w:lang w:eastAsia="en-US"/>
        </w:rPr>
        <w:t xml:space="preserve"> may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191DDC">
        <w:rPr>
          <w:rFonts w:asciiTheme="minorHAnsi" w:hAnsiTheme="minorHAnsi" w:cstheme="minorBidi"/>
          <w:sz w:val="22"/>
          <w:szCs w:val="22"/>
          <w:lang w:eastAsia="en-US"/>
        </w:rPr>
        <w:t xml:space="preserve">lose 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>its</w:t>
      </w:r>
      <w:r w:rsidR="00191DDC">
        <w:rPr>
          <w:rFonts w:asciiTheme="minorHAnsi" w:hAnsiTheme="minorHAnsi" w:cstheme="minorBidi"/>
          <w:sz w:val="22"/>
          <w:szCs w:val="22"/>
          <w:lang w:eastAsia="en-US"/>
        </w:rPr>
        <w:t xml:space="preserve"> type approval</w:t>
      </w:r>
      <w:r w:rsidR="00A624A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 xml:space="preserve">if it does not comply with </w:t>
      </w:r>
      <w:r w:rsidR="00A624A1">
        <w:rPr>
          <w:rFonts w:asciiTheme="minorHAnsi" w:hAnsiTheme="minorHAnsi" w:cstheme="minorBidi"/>
          <w:sz w:val="22"/>
          <w:szCs w:val="22"/>
          <w:lang w:eastAsia="en-US"/>
        </w:rPr>
        <w:t xml:space="preserve">the national/regional </w:t>
      </w:r>
      <w:r w:rsidR="0057090C">
        <w:rPr>
          <w:rFonts w:asciiTheme="minorHAnsi" w:hAnsiTheme="minorHAnsi" w:cstheme="minorBidi"/>
          <w:sz w:val="22"/>
          <w:szCs w:val="22"/>
          <w:lang w:eastAsia="en-US"/>
        </w:rPr>
        <w:t xml:space="preserve">PTI </w:t>
      </w:r>
      <w:r w:rsidR="00A624A1">
        <w:rPr>
          <w:rFonts w:asciiTheme="minorHAnsi" w:hAnsiTheme="minorHAnsi" w:cstheme="minorBidi"/>
          <w:sz w:val="22"/>
          <w:szCs w:val="22"/>
          <w:lang w:eastAsia="en-US"/>
        </w:rPr>
        <w:t>legislation.</w:t>
      </w:r>
      <w:r w:rsidR="00191DD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14:paraId="33D881F4" w14:textId="77777777" w:rsidR="00E05884" w:rsidRDefault="00E05884" w:rsidP="00524E7B">
      <w:pPr>
        <w:pStyle w:val="ListParagraph"/>
        <w:ind w:left="360"/>
        <w:jc w:val="both"/>
      </w:pPr>
    </w:p>
    <w:p w14:paraId="13FE2CCF" w14:textId="7236FD31" w:rsidR="00E05884" w:rsidRPr="00447137" w:rsidRDefault="00E05884" w:rsidP="00524E7B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/>
          <w:b/>
          <w:bCs/>
          <w:u w:val="single"/>
          <w:lang w:val="en-GB"/>
        </w:rPr>
      </w:pPr>
      <w:r>
        <w:rPr>
          <w:rFonts w:eastAsia="Times New Roman"/>
          <w:b/>
          <w:bCs/>
          <w:u w:val="single"/>
          <w:lang w:val="en-GB"/>
        </w:rPr>
        <w:t>Security Updates</w:t>
      </w:r>
    </w:p>
    <w:p w14:paraId="1909B966" w14:textId="77777777" w:rsidR="00E05884" w:rsidRPr="00BE38BC" w:rsidRDefault="00E05884" w:rsidP="00524E7B">
      <w:pPr>
        <w:pStyle w:val="ListParagraph"/>
        <w:ind w:left="360"/>
        <w:jc w:val="both"/>
      </w:pPr>
    </w:p>
    <w:p w14:paraId="251A3A60" w14:textId="0DEDD3E2" w:rsidR="00E05884" w:rsidRPr="00447137" w:rsidRDefault="00E05884" w:rsidP="00524E7B">
      <w:pPr>
        <w:ind w:left="360"/>
        <w:jc w:val="both"/>
        <w:rPr>
          <w:rFonts w:eastAsia="Times New Roman"/>
          <w:lang w:val="en-GB"/>
        </w:rPr>
      </w:pPr>
      <w:r w:rsidRPr="00263532">
        <w:rPr>
          <w:rFonts w:eastAsia="Times New Roman"/>
          <w:b/>
          <w:bCs/>
          <w:lang w:val="en-GB"/>
        </w:rPr>
        <w:t>D.1.</w:t>
      </w:r>
      <w:r w:rsidR="00263532" w:rsidRPr="00263532">
        <w:rPr>
          <w:rFonts w:eastAsia="Times New Roman"/>
          <w:b/>
          <w:bCs/>
          <w:lang w:val="en-GB"/>
        </w:rPr>
        <w:tab/>
      </w:r>
      <w:r w:rsidRPr="00447137">
        <w:rPr>
          <w:rFonts w:eastAsia="Times New Roman"/>
          <w:lang w:val="en-GB"/>
        </w:rPr>
        <w:t xml:space="preserve">RXSWINs for security updates </w:t>
      </w:r>
      <w:r w:rsidR="00783807">
        <w:rPr>
          <w:rFonts w:eastAsia="Times New Roman"/>
          <w:lang w:val="en-GB"/>
        </w:rPr>
        <w:t>should</w:t>
      </w:r>
      <w:r w:rsidRPr="00447137">
        <w:rPr>
          <w:rFonts w:eastAsia="Times New Roman"/>
          <w:lang w:val="en-GB"/>
        </w:rPr>
        <w:t xml:space="preserve"> be submitted by the </w:t>
      </w:r>
      <w:r w:rsidR="002D5BD4">
        <w:rPr>
          <w:rFonts w:eastAsia="Times New Roman"/>
          <w:lang w:val="en-GB"/>
        </w:rPr>
        <w:t>Vehicle manufacturers</w:t>
      </w:r>
      <w:r w:rsidR="00D54159">
        <w:rPr>
          <w:rFonts w:eastAsia="Times New Roman"/>
          <w:lang w:val="en-GB"/>
        </w:rPr>
        <w:t xml:space="preserve"> or their suppliers</w:t>
      </w:r>
      <w:r w:rsidR="002D5BD4">
        <w:rPr>
          <w:rFonts w:eastAsia="Times New Roman"/>
          <w:lang w:val="en-GB"/>
        </w:rPr>
        <w:t xml:space="preserve"> </w:t>
      </w:r>
      <w:r w:rsidRPr="00447137">
        <w:rPr>
          <w:rFonts w:eastAsia="Times New Roman"/>
          <w:lang w:val="en-GB"/>
        </w:rPr>
        <w:t xml:space="preserve">to the Approval Authority. In addition, software versions and integrity validation data for security updates </w:t>
      </w:r>
      <w:r w:rsidR="00783807">
        <w:rPr>
          <w:rFonts w:eastAsia="Times New Roman"/>
          <w:lang w:val="en-GB"/>
        </w:rPr>
        <w:t>should</w:t>
      </w:r>
      <w:r w:rsidRPr="00447137">
        <w:rPr>
          <w:rFonts w:eastAsia="Times New Roman"/>
          <w:lang w:val="en-GB"/>
        </w:rPr>
        <w:t xml:space="preserve"> be submitted to the approval authority. This data set </w:t>
      </w:r>
      <w:r w:rsidR="00783807">
        <w:rPr>
          <w:rFonts w:eastAsia="Times New Roman"/>
          <w:lang w:val="en-GB"/>
        </w:rPr>
        <w:t>should</w:t>
      </w:r>
      <w:r w:rsidRPr="00447137">
        <w:rPr>
          <w:rFonts w:eastAsia="Times New Roman"/>
          <w:lang w:val="en-GB"/>
        </w:rPr>
        <w:t xml:space="preserve"> be maintained by all </w:t>
      </w:r>
      <w:r w:rsidR="00D54159">
        <w:rPr>
          <w:rFonts w:eastAsia="Times New Roman"/>
          <w:lang w:val="en-GB"/>
        </w:rPr>
        <w:t xml:space="preserve">vehicle </w:t>
      </w:r>
      <w:r w:rsidRPr="00447137">
        <w:rPr>
          <w:rFonts w:eastAsia="Times New Roman"/>
          <w:lang w:val="en-GB"/>
        </w:rPr>
        <w:t xml:space="preserve">approval authorities and information </w:t>
      </w:r>
      <w:r w:rsidR="002C4E8C">
        <w:rPr>
          <w:rFonts w:eastAsia="Times New Roman"/>
          <w:lang w:val="en-GB"/>
        </w:rPr>
        <w:t>should</w:t>
      </w:r>
      <w:r w:rsidR="002C4E8C" w:rsidRPr="00447137">
        <w:rPr>
          <w:rFonts w:eastAsia="Times New Roman"/>
          <w:lang w:val="en-GB"/>
        </w:rPr>
        <w:t xml:space="preserve"> </w:t>
      </w:r>
      <w:r w:rsidRPr="00447137">
        <w:rPr>
          <w:rFonts w:eastAsia="Times New Roman"/>
          <w:lang w:val="en-GB"/>
        </w:rPr>
        <w:t xml:space="preserve">be shared between </w:t>
      </w:r>
      <w:r w:rsidR="00892B36">
        <w:rPr>
          <w:rFonts w:eastAsia="Times New Roman"/>
          <w:lang w:val="en-GB"/>
        </w:rPr>
        <w:t xml:space="preserve">approval </w:t>
      </w:r>
      <w:r w:rsidRPr="00447137">
        <w:rPr>
          <w:rFonts w:eastAsia="Times New Roman"/>
          <w:lang w:val="en-GB"/>
        </w:rPr>
        <w:t>authorities for PTI inspections/ checks.</w:t>
      </w:r>
      <w:r w:rsidRPr="00447137">
        <w:rPr>
          <w:lang w:val="en-GB"/>
        </w:rPr>
        <w:t xml:space="preserve"> </w:t>
      </w:r>
    </w:p>
    <w:p w14:paraId="7A3E30D0" w14:textId="09F9DFE8" w:rsidR="00E05884" w:rsidRPr="00447137" w:rsidRDefault="00E05884" w:rsidP="00524E7B">
      <w:pPr>
        <w:ind w:left="360"/>
        <w:jc w:val="both"/>
        <w:rPr>
          <w:rFonts w:eastAsia="Times New Roman"/>
        </w:rPr>
      </w:pPr>
      <w:r w:rsidRPr="00263532">
        <w:rPr>
          <w:rFonts w:eastAsia="Times New Roman"/>
          <w:b/>
          <w:bCs/>
          <w:lang w:val="en-GB"/>
        </w:rPr>
        <w:t>D.2.</w:t>
      </w:r>
      <w:r w:rsidRPr="00263532">
        <w:rPr>
          <w:rFonts w:eastAsia="Times New Roman"/>
          <w:b/>
          <w:bCs/>
          <w:lang w:val="en-GB"/>
        </w:rPr>
        <w:tab/>
      </w:r>
      <w:r w:rsidRPr="00447137">
        <w:rPr>
          <w:rFonts w:eastAsia="Times New Roman"/>
        </w:rPr>
        <w:t xml:space="preserve">RXSWIN, Software </w:t>
      </w:r>
      <w:r w:rsidRPr="00447137">
        <w:rPr>
          <w:rFonts w:eastAsia="Times New Roman"/>
          <w:lang w:val="en-GB"/>
        </w:rPr>
        <w:t xml:space="preserve">update </w:t>
      </w:r>
      <w:r w:rsidRPr="00447137">
        <w:rPr>
          <w:rFonts w:eastAsia="Times New Roman"/>
        </w:rPr>
        <w:t xml:space="preserve">Version, Integrity validation data </w:t>
      </w:r>
      <w:r w:rsidR="00783807">
        <w:rPr>
          <w:rFonts w:eastAsia="Times New Roman"/>
          <w:lang w:val="en-GB"/>
        </w:rPr>
        <w:t>should</w:t>
      </w:r>
      <w:r w:rsidRPr="00447137">
        <w:rPr>
          <w:rFonts w:eastAsia="Times New Roman"/>
          <w:lang w:val="en-GB"/>
        </w:rPr>
        <w:t xml:space="preserve"> be validated</w:t>
      </w:r>
      <w:r w:rsidRPr="00447137">
        <w:rPr>
          <w:rFonts w:eastAsia="Times New Roman"/>
        </w:rPr>
        <w:t xml:space="preserve"> within PTI checks for security and other type approval relevant components.</w:t>
      </w:r>
      <w:r w:rsidRPr="00447137">
        <w:rPr>
          <w:rFonts w:eastAsia="Times New Roman"/>
          <w:lang w:val="en-GB"/>
        </w:rPr>
        <w:t xml:space="preserve"> Such checks </w:t>
      </w:r>
      <w:r w:rsidR="00783807">
        <w:rPr>
          <w:rFonts w:eastAsia="Times New Roman"/>
          <w:lang w:val="en-GB"/>
        </w:rPr>
        <w:t>should</w:t>
      </w:r>
      <w:r w:rsidRPr="00447137">
        <w:rPr>
          <w:rFonts w:eastAsia="Times New Roman"/>
          <w:lang w:val="en-GB"/>
        </w:rPr>
        <w:t xml:space="preserve"> also include </w:t>
      </w:r>
      <w:r w:rsidR="009123A0">
        <w:rPr>
          <w:rFonts w:eastAsia="Times New Roman"/>
          <w:lang w:val="en-GB"/>
        </w:rPr>
        <w:t xml:space="preserve">cybersecurity related </w:t>
      </w:r>
      <w:r w:rsidRPr="00447137">
        <w:rPr>
          <w:rFonts w:eastAsia="Times New Roman"/>
          <w:lang w:val="en-GB"/>
        </w:rPr>
        <w:t>hardware components along with their respective identification attributes</w:t>
      </w:r>
      <w:r w:rsidR="009123A0">
        <w:rPr>
          <w:rFonts w:eastAsia="Times New Roman"/>
          <w:lang w:val="en-GB"/>
        </w:rPr>
        <w:t>.</w:t>
      </w:r>
      <w:r w:rsidRPr="00447137">
        <w:rPr>
          <w:lang w:val="en-GB"/>
        </w:rPr>
        <w:t xml:space="preserve"> </w:t>
      </w:r>
    </w:p>
    <w:p w14:paraId="3EE3A7C1" w14:textId="5BF08572" w:rsidR="00E05884" w:rsidRPr="00447137" w:rsidRDefault="00E05884" w:rsidP="00524E7B">
      <w:pPr>
        <w:ind w:left="360"/>
        <w:jc w:val="both"/>
        <w:rPr>
          <w:rFonts w:eastAsia="Times New Roman"/>
        </w:rPr>
      </w:pPr>
      <w:r w:rsidRPr="00263532">
        <w:rPr>
          <w:rFonts w:eastAsia="Times New Roman"/>
          <w:b/>
          <w:bCs/>
          <w:lang w:val="en-GB"/>
        </w:rPr>
        <w:t>D.3.</w:t>
      </w:r>
      <w:r w:rsidR="00263532" w:rsidRPr="00263532">
        <w:rPr>
          <w:rFonts w:eastAsia="Times New Roman"/>
          <w:b/>
          <w:bCs/>
          <w:lang w:val="en-GB"/>
        </w:rPr>
        <w:tab/>
      </w:r>
      <w:r w:rsidRPr="00447137">
        <w:rPr>
          <w:rFonts w:eastAsia="Times New Roman"/>
          <w:lang w:val="en-GB"/>
        </w:rPr>
        <w:t xml:space="preserve">The vehicle </w:t>
      </w:r>
      <w:r w:rsidR="00783807">
        <w:rPr>
          <w:rFonts w:eastAsia="Times New Roman"/>
          <w:lang w:val="en-GB"/>
        </w:rPr>
        <w:t>should</w:t>
      </w:r>
      <w:r w:rsidRPr="00447137">
        <w:rPr>
          <w:rFonts w:eastAsia="Times New Roman"/>
          <w:lang w:val="en-GB"/>
        </w:rPr>
        <w:t xml:space="preserve"> alert the vehicle user/owner about </w:t>
      </w:r>
      <w:r w:rsidR="009123A0">
        <w:rPr>
          <w:rFonts w:eastAsia="Times New Roman"/>
          <w:lang w:val="en-GB"/>
        </w:rPr>
        <w:t>cyber</w:t>
      </w:r>
      <w:r w:rsidRPr="00447137">
        <w:rPr>
          <w:rFonts w:eastAsia="Times New Roman"/>
          <w:lang w:val="en-GB"/>
        </w:rPr>
        <w:t xml:space="preserve">security issues and the need to update the software or perform hardware replacement. </w:t>
      </w:r>
      <w:r w:rsidRPr="00447137">
        <w:rPr>
          <w:rFonts w:eastAsia="Times New Roman"/>
        </w:rPr>
        <w:t>Such a</w:t>
      </w:r>
      <w:r w:rsidRPr="00447137">
        <w:rPr>
          <w:rFonts w:eastAsia="Times New Roman"/>
          <w:lang w:val="en-GB"/>
        </w:rPr>
        <w:t xml:space="preserve">n alert </w:t>
      </w:r>
      <w:r w:rsidRPr="00447137">
        <w:rPr>
          <w:rFonts w:eastAsia="Times New Roman"/>
        </w:rPr>
        <w:t xml:space="preserve">can be </w:t>
      </w:r>
      <w:r w:rsidRPr="00447137">
        <w:rPr>
          <w:rFonts w:eastAsia="Times New Roman"/>
          <w:lang w:val="en-GB"/>
        </w:rPr>
        <w:t>notified</w:t>
      </w:r>
      <w:r w:rsidRPr="00447137">
        <w:rPr>
          <w:rFonts w:eastAsia="Times New Roman"/>
        </w:rPr>
        <w:t xml:space="preserve"> through </w:t>
      </w:r>
      <w:r w:rsidRPr="00447137">
        <w:rPr>
          <w:rFonts w:eastAsia="Times New Roman"/>
          <w:lang w:val="en-GB"/>
        </w:rPr>
        <w:t xml:space="preserve">the </w:t>
      </w:r>
      <w:r w:rsidRPr="00447137">
        <w:rPr>
          <w:rFonts w:eastAsia="Times New Roman"/>
        </w:rPr>
        <w:t xml:space="preserve">HMI (without obstructing any driver distraction regulations), </w:t>
      </w:r>
      <w:r w:rsidRPr="00447137">
        <w:rPr>
          <w:rFonts w:eastAsia="Times New Roman"/>
          <w:lang w:val="en-GB"/>
        </w:rPr>
        <w:t xml:space="preserve">or </w:t>
      </w:r>
      <w:r w:rsidRPr="00447137">
        <w:rPr>
          <w:rFonts w:eastAsia="Times New Roman"/>
        </w:rPr>
        <w:t>MILs (in</w:t>
      </w:r>
      <w:r w:rsidRPr="00447137">
        <w:rPr>
          <w:rFonts w:eastAsia="Times New Roman"/>
          <w:lang w:val="en-GB"/>
        </w:rPr>
        <w:t xml:space="preserve"> </w:t>
      </w:r>
      <w:r w:rsidRPr="00447137">
        <w:rPr>
          <w:rFonts w:eastAsia="Times New Roman"/>
        </w:rPr>
        <w:t>case the vehicle doesn’t have an HMI), other user/driver notification means</w:t>
      </w:r>
      <w:r w:rsidRPr="00447137">
        <w:rPr>
          <w:rFonts w:eastAsia="Times New Roman"/>
          <w:lang w:val="en-GB"/>
        </w:rPr>
        <w:t>.</w:t>
      </w:r>
      <w:r w:rsidRPr="00447137">
        <w:rPr>
          <w:lang w:val="en-GB"/>
        </w:rPr>
        <w:t xml:space="preserve"> </w:t>
      </w:r>
    </w:p>
    <w:p w14:paraId="62074945" w14:textId="5B3611F2" w:rsidR="00C70036" w:rsidRDefault="00C70036" w:rsidP="00524E7B">
      <w:pPr>
        <w:jc w:val="both"/>
        <w:rPr>
          <w:rFonts w:eastAsia="Times New Roman"/>
          <w:b/>
          <w:color w:val="000000" w:themeColor="text1"/>
          <w:sz w:val="24"/>
        </w:rPr>
      </w:pPr>
    </w:p>
    <w:sectPr w:rsidR="00C70036" w:rsidSect="008739EC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BCFB" w14:textId="77777777" w:rsidR="004F2BEB" w:rsidRDefault="004F2BEB" w:rsidP="00726FD9">
      <w:pPr>
        <w:spacing w:after="0" w:line="240" w:lineRule="auto"/>
      </w:pPr>
      <w:r>
        <w:separator/>
      </w:r>
    </w:p>
  </w:endnote>
  <w:endnote w:type="continuationSeparator" w:id="0">
    <w:p w14:paraId="48EBB12A" w14:textId="77777777" w:rsidR="004F2BEB" w:rsidRDefault="004F2BEB" w:rsidP="0072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07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5309B" w14:textId="2D4CBBEE" w:rsidR="00F359C0" w:rsidRDefault="00F35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E21DB" w14:textId="77777777" w:rsidR="00F359C0" w:rsidRDefault="00F35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065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51FC5" w14:textId="77777777" w:rsidR="008739EC" w:rsidRDefault="008739EC" w:rsidP="008739E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719A6FFA" w14:textId="77777777" w:rsidR="008739EC" w:rsidRDefault="0087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4BE3" w14:textId="77777777" w:rsidR="004F2BEB" w:rsidRDefault="004F2BEB" w:rsidP="00726FD9">
      <w:pPr>
        <w:spacing w:after="0" w:line="240" w:lineRule="auto"/>
      </w:pPr>
      <w:r>
        <w:separator/>
      </w:r>
    </w:p>
  </w:footnote>
  <w:footnote w:type="continuationSeparator" w:id="0">
    <w:p w14:paraId="05A2DCA9" w14:textId="77777777" w:rsidR="004F2BEB" w:rsidRDefault="004F2BEB" w:rsidP="00726FD9">
      <w:pPr>
        <w:spacing w:after="0" w:line="240" w:lineRule="auto"/>
      </w:pPr>
      <w:r>
        <w:continuationSeparator/>
      </w:r>
    </w:p>
  </w:footnote>
  <w:footnote w:id="1">
    <w:p w14:paraId="7339EFB4" w14:textId="1FD39CA3" w:rsidR="00726FD9" w:rsidRPr="001C09EE" w:rsidRDefault="00726FD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An example of an assessment framework is the </w:t>
      </w:r>
      <w:r w:rsidRPr="00197819">
        <w:rPr>
          <w:rFonts w:eastAsia="Times New Roman"/>
        </w:rPr>
        <w:t>cyber assessment framework from the UK NCSC (</w:t>
      </w:r>
      <w:hyperlink r:id="rId1" w:history="1">
        <w:r w:rsidRPr="00197819">
          <w:rPr>
            <w:rStyle w:val="Hyperlink"/>
            <w:color w:val="auto"/>
          </w:rPr>
          <w:t>https://www.ncsc.gov.uk/collection/caf/cyber-assessment-framework</w:t>
        </w:r>
      </w:hyperlink>
      <w:r w:rsidRPr="00BE38BC">
        <w:t>)</w:t>
      </w:r>
    </w:p>
  </w:footnote>
  <w:footnote w:id="2">
    <w:p w14:paraId="4B02F3A0" w14:textId="091D12A1" w:rsidR="001C09EE" w:rsidRPr="001C09EE" w:rsidRDefault="001C09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An example of such a list is the CVE (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Common Vulnerabilities and Exposures) list by MITRE. CVE is sponsored by the </w:t>
      </w:r>
      <w:hyperlink r:id="rId2" w:tgtFrame="_blank" w:history="1">
        <w:r>
          <w:rPr>
            <w:rStyle w:val="Hyperlink"/>
            <w:rFonts w:ascii="Verdana" w:hAnsi="Verdana"/>
            <w:color w:val="000000"/>
            <w:sz w:val="17"/>
            <w:szCs w:val="17"/>
            <w:shd w:val="clear" w:color="auto" w:fill="FFFFFF"/>
          </w:rPr>
          <w:t>U.S. Department of Homeland Security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(DHS) </w:t>
      </w:r>
      <w:hyperlink r:id="rId3" w:tgtFrame="_blank" w:history="1">
        <w:r>
          <w:rPr>
            <w:rStyle w:val="Hyperlink"/>
            <w:rFonts w:ascii="Verdana" w:hAnsi="Verdana"/>
            <w:color w:val="000000"/>
            <w:sz w:val="17"/>
            <w:szCs w:val="17"/>
            <w:shd w:val="clear" w:color="auto" w:fill="FFFFFF"/>
          </w:rPr>
          <w:t>Cybersecurity and Infrastructure Security Agency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(CISA). This list is not automotive </w:t>
      </w:r>
      <w:r w:rsidR="00F80064">
        <w:rPr>
          <w:rFonts w:ascii="Verdana" w:hAnsi="Verdana"/>
          <w:color w:val="000000"/>
          <w:sz w:val="17"/>
          <w:szCs w:val="17"/>
          <w:shd w:val="clear" w:color="auto" w:fill="FFFFFF"/>
        </w:rPr>
        <w:t>specific but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D6EF4">
        <w:rPr>
          <w:rFonts w:ascii="Verdana" w:hAnsi="Verdana"/>
          <w:color w:val="000000"/>
          <w:sz w:val="17"/>
          <w:szCs w:val="17"/>
          <w:shd w:val="clear" w:color="auto" w:fill="FFFFFF"/>
        </w:rPr>
        <w:t>can be used by authorities as an example.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739EC" w14:paraId="7B3A9A20" w14:textId="77777777" w:rsidTr="00BD1845">
      <w:tc>
        <w:tcPr>
          <w:tcW w:w="4508" w:type="dxa"/>
        </w:tcPr>
        <w:p w14:paraId="4CC6AE26" w14:textId="55569AA8" w:rsidR="008739EC" w:rsidRDefault="008739EC" w:rsidP="008739EC">
          <w:pPr>
            <w:pStyle w:val="Header"/>
          </w:pPr>
          <w:r>
            <w:br/>
          </w:r>
          <w:r>
            <w:t>Submitted by the expert from FIGIEFA</w:t>
          </w:r>
        </w:p>
      </w:tc>
      <w:tc>
        <w:tcPr>
          <w:tcW w:w="4508" w:type="dxa"/>
        </w:tcPr>
        <w:p w14:paraId="7D13CA08" w14:textId="69A9A3FE" w:rsidR="008739EC" w:rsidRDefault="008739EC" w:rsidP="008739EC">
          <w:pPr>
            <w:pStyle w:val="Header"/>
            <w:jc w:val="right"/>
          </w:pPr>
          <w:r w:rsidRPr="008739EC">
            <w:rPr>
              <w:u w:val="single"/>
            </w:rPr>
            <w:t>Informal document</w:t>
          </w:r>
          <w:r>
            <w:t xml:space="preserve"> </w:t>
          </w:r>
          <w:r w:rsidRPr="008739EC">
            <w:rPr>
              <w:b/>
              <w:bCs/>
            </w:rPr>
            <w:t>GRVA-05-15</w:t>
          </w:r>
          <w:r>
            <w:br/>
            <w:t>5</w:t>
          </w:r>
          <w:r w:rsidRPr="008739EC">
            <w:rPr>
              <w:vertAlign w:val="superscript"/>
            </w:rPr>
            <w:t>th</w:t>
          </w:r>
          <w:r>
            <w:t xml:space="preserve"> GRVA, 10-14 February 2020</w:t>
          </w:r>
          <w:r>
            <w:br/>
            <w:t>Agenda item 5(a)</w:t>
          </w:r>
        </w:p>
      </w:tc>
    </w:tr>
  </w:tbl>
  <w:p w14:paraId="00163305" w14:textId="77777777" w:rsidR="008739EC" w:rsidRDefault="00873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4C8"/>
    <w:multiLevelType w:val="hybridMultilevel"/>
    <w:tmpl w:val="B0AADA5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542"/>
    <w:multiLevelType w:val="hybridMultilevel"/>
    <w:tmpl w:val="45FE8E8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2"/>
    <w:rsid w:val="00012583"/>
    <w:rsid w:val="000D18F0"/>
    <w:rsid w:val="000D2BF5"/>
    <w:rsid w:val="00181148"/>
    <w:rsid w:val="001815B3"/>
    <w:rsid w:val="0018635C"/>
    <w:rsid w:val="00191DDC"/>
    <w:rsid w:val="00197819"/>
    <w:rsid w:val="001C0462"/>
    <w:rsid w:val="001C09EE"/>
    <w:rsid w:val="001E5DFC"/>
    <w:rsid w:val="00220D65"/>
    <w:rsid w:val="00263532"/>
    <w:rsid w:val="00291DBC"/>
    <w:rsid w:val="00293A2B"/>
    <w:rsid w:val="00296379"/>
    <w:rsid w:val="002A2890"/>
    <w:rsid w:val="002C4E8C"/>
    <w:rsid w:val="002D5BD4"/>
    <w:rsid w:val="00310B2D"/>
    <w:rsid w:val="003620B3"/>
    <w:rsid w:val="0037131E"/>
    <w:rsid w:val="003B5248"/>
    <w:rsid w:val="003C422F"/>
    <w:rsid w:val="003E4761"/>
    <w:rsid w:val="00403789"/>
    <w:rsid w:val="004406B9"/>
    <w:rsid w:val="00447137"/>
    <w:rsid w:val="004F2BEB"/>
    <w:rsid w:val="00514A45"/>
    <w:rsid w:val="00515813"/>
    <w:rsid w:val="00524E7B"/>
    <w:rsid w:val="0057090C"/>
    <w:rsid w:val="005748F5"/>
    <w:rsid w:val="005C2F3A"/>
    <w:rsid w:val="005F36F5"/>
    <w:rsid w:val="006B7CEB"/>
    <w:rsid w:val="00726FD9"/>
    <w:rsid w:val="00783807"/>
    <w:rsid w:val="007A4A9B"/>
    <w:rsid w:val="007C07DF"/>
    <w:rsid w:val="008150FC"/>
    <w:rsid w:val="008434A2"/>
    <w:rsid w:val="00851247"/>
    <w:rsid w:val="00856564"/>
    <w:rsid w:val="0086591C"/>
    <w:rsid w:val="008739EC"/>
    <w:rsid w:val="00892B36"/>
    <w:rsid w:val="00896BC6"/>
    <w:rsid w:val="008E2B92"/>
    <w:rsid w:val="008E5732"/>
    <w:rsid w:val="008F03A9"/>
    <w:rsid w:val="008F76E5"/>
    <w:rsid w:val="009123A0"/>
    <w:rsid w:val="009125C8"/>
    <w:rsid w:val="009D6EF4"/>
    <w:rsid w:val="00A02EE6"/>
    <w:rsid w:val="00A07748"/>
    <w:rsid w:val="00A16B4A"/>
    <w:rsid w:val="00A274B2"/>
    <w:rsid w:val="00A2772F"/>
    <w:rsid w:val="00A624A1"/>
    <w:rsid w:val="00B62320"/>
    <w:rsid w:val="00BB423F"/>
    <w:rsid w:val="00BE38BC"/>
    <w:rsid w:val="00C02B49"/>
    <w:rsid w:val="00C33120"/>
    <w:rsid w:val="00C57A74"/>
    <w:rsid w:val="00C65F41"/>
    <w:rsid w:val="00C70036"/>
    <w:rsid w:val="00CA0328"/>
    <w:rsid w:val="00CA0BB2"/>
    <w:rsid w:val="00CD3F4F"/>
    <w:rsid w:val="00CF6A72"/>
    <w:rsid w:val="00D078E1"/>
    <w:rsid w:val="00D54159"/>
    <w:rsid w:val="00D66528"/>
    <w:rsid w:val="00D73797"/>
    <w:rsid w:val="00DC67AA"/>
    <w:rsid w:val="00DE62B3"/>
    <w:rsid w:val="00E05884"/>
    <w:rsid w:val="00E07DDF"/>
    <w:rsid w:val="00E40AED"/>
    <w:rsid w:val="00E76513"/>
    <w:rsid w:val="00E867C8"/>
    <w:rsid w:val="00EB2D8C"/>
    <w:rsid w:val="00F16749"/>
    <w:rsid w:val="00F359C0"/>
    <w:rsid w:val="00F80064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3DAA"/>
  <w15:chartTrackingRefBased/>
  <w15:docId w15:val="{93199D45-8B36-4A40-821E-9987EC2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8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8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8B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E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B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3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9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F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FD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6F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C0"/>
    <w:rPr>
      <w:lang w:val="en-US"/>
    </w:rPr>
  </w:style>
  <w:style w:type="table" w:styleId="TableGrid">
    <w:name w:val="Table Grid"/>
    <w:basedOn w:val="TableNormal"/>
    <w:uiPriority w:val="39"/>
    <w:rsid w:val="0087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hs.gov/cisa/cybersecurity-division/" TargetMode="External"/><Relationship Id="rId2" Type="http://schemas.openxmlformats.org/officeDocument/2006/relationships/hyperlink" Target="https://www.dhs.gov/" TargetMode="External"/><Relationship Id="rId1" Type="http://schemas.openxmlformats.org/officeDocument/2006/relationships/hyperlink" Target="https://www.ncsc.gov.uk/collection/caf/cyber-assessment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B2AF-36B1-455C-81BC-6A6D0272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Ramakrishnan</dc:creator>
  <cp:keywords/>
  <dc:description/>
  <cp:lastModifiedBy>F. Guichard</cp:lastModifiedBy>
  <cp:revision>2</cp:revision>
  <dcterms:created xsi:type="dcterms:W3CDTF">2020-02-05T13:19:00Z</dcterms:created>
  <dcterms:modified xsi:type="dcterms:W3CDTF">2020-02-05T13:19:00Z</dcterms:modified>
</cp:coreProperties>
</file>