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979F0A" w14:textId="77777777" w:rsidTr="00387CD4">
        <w:trPr>
          <w:trHeight w:hRule="exact" w:val="851"/>
        </w:trPr>
        <w:tc>
          <w:tcPr>
            <w:tcW w:w="142" w:type="dxa"/>
            <w:tcBorders>
              <w:bottom w:val="single" w:sz="4" w:space="0" w:color="auto"/>
            </w:tcBorders>
          </w:tcPr>
          <w:p w14:paraId="68C084DB" w14:textId="77777777" w:rsidR="002D5AAC" w:rsidRDefault="002D5AAC" w:rsidP="00876C2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B5A2C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3237E9" w14:textId="77777777" w:rsidR="002D5AAC" w:rsidRDefault="00876C2F" w:rsidP="00876C2F">
            <w:pPr>
              <w:jc w:val="right"/>
            </w:pPr>
            <w:r w:rsidRPr="00876C2F">
              <w:rPr>
                <w:sz w:val="40"/>
              </w:rPr>
              <w:t>ECE</w:t>
            </w:r>
            <w:r>
              <w:t>/TRANS/WP.29/GRVA/2020/5</w:t>
            </w:r>
          </w:p>
        </w:tc>
      </w:tr>
      <w:tr w:rsidR="002D5AAC" w:rsidRPr="00AF6BAD" w14:paraId="12F6AAE1" w14:textId="77777777" w:rsidTr="00387CD4">
        <w:trPr>
          <w:trHeight w:hRule="exact" w:val="2835"/>
        </w:trPr>
        <w:tc>
          <w:tcPr>
            <w:tcW w:w="1280" w:type="dxa"/>
            <w:gridSpan w:val="2"/>
            <w:tcBorders>
              <w:top w:val="single" w:sz="4" w:space="0" w:color="auto"/>
              <w:bottom w:val="single" w:sz="12" w:space="0" w:color="auto"/>
            </w:tcBorders>
          </w:tcPr>
          <w:p w14:paraId="27BD21B8" w14:textId="77777777" w:rsidR="002D5AAC" w:rsidRDefault="002E5067" w:rsidP="00387CD4">
            <w:pPr>
              <w:spacing w:before="120"/>
              <w:jc w:val="center"/>
            </w:pPr>
            <w:r>
              <w:rPr>
                <w:noProof/>
                <w:lang w:val="fr-CH" w:eastAsia="fr-CH"/>
              </w:rPr>
              <w:drawing>
                <wp:inline distT="0" distB="0" distL="0" distR="0" wp14:anchorId="7DE33470" wp14:editId="105F982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DC3569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9DD3139" w14:textId="77777777" w:rsidR="002D5AAC" w:rsidRDefault="00876C2F" w:rsidP="00387CD4">
            <w:pPr>
              <w:spacing w:before="240"/>
              <w:rPr>
                <w:lang w:val="en-US"/>
              </w:rPr>
            </w:pPr>
            <w:r>
              <w:rPr>
                <w:lang w:val="en-US"/>
              </w:rPr>
              <w:t>Distr.: General</w:t>
            </w:r>
          </w:p>
          <w:p w14:paraId="65B64028" w14:textId="77777777" w:rsidR="00876C2F" w:rsidRDefault="00876C2F" w:rsidP="00876C2F">
            <w:pPr>
              <w:spacing w:line="240" w:lineRule="exact"/>
              <w:rPr>
                <w:lang w:val="en-US"/>
              </w:rPr>
            </w:pPr>
            <w:r>
              <w:rPr>
                <w:lang w:val="en-US"/>
              </w:rPr>
              <w:t>29 November 2019</w:t>
            </w:r>
          </w:p>
          <w:p w14:paraId="1BC82051" w14:textId="77777777" w:rsidR="00876C2F" w:rsidRDefault="00876C2F" w:rsidP="00876C2F">
            <w:pPr>
              <w:spacing w:line="240" w:lineRule="exact"/>
              <w:rPr>
                <w:lang w:val="en-US"/>
              </w:rPr>
            </w:pPr>
            <w:r>
              <w:rPr>
                <w:lang w:val="en-US"/>
              </w:rPr>
              <w:t>Russian</w:t>
            </w:r>
          </w:p>
          <w:p w14:paraId="678C7879" w14:textId="77777777" w:rsidR="00876C2F" w:rsidRPr="008D53B6" w:rsidRDefault="00876C2F" w:rsidP="00876C2F">
            <w:pPr>
              <w:spacing w:line="240" w:lineRule="exact"/>
              <w:rPr>
                <w:lang w:val="en-US"/>
              </w:rPr>
            </w:pPr>
            <w:r>
              <w:rPr>
                <w:lang w:val="en-US"/>
              </w:rPr>
              <w:t>Original: English</w:t>
            </w:r>
          </w:p>
        </w:tc>
      </w:tr>
    </w:tbl>
    <w:p w14:paraId="1C0622F4" w14:textId="77777777" w:rsidR="00876C2F" w:rsidRDefault="008A37C8" w:rsidP="00255343">
      <w:pPr>
        <w:spacing w:before="120"/>
        <w:rPr>
          <w:b/>
          <w:sz w:val="28"/>
          <w:szCs w:val="28"/>
        </w:rPr>
      </w:pPr>
      <w:r w:rsidRPr="00245892">
        <w:rPr>
          <w:b/>
          <w:sz w:val="28"/>
          <w:szCs w:val="28"/>
        </w:rPr>
        <w:t>Европейская экономическая комиссия</w:t>
      </w:r>
    </w:p>
    <w:p w14:paraId="32779A5F" w14:textId="77777777" w:rsidR="00876C2F" w:rsidRPr="00876C2F" w:rsidRDefault="00876C2F" w:rsidP="00876C2F">
      <w:pPr>
        <w:spacing w:before="120"/>
        <w:rPr>
          <w:rFonts w:asciiTheme="majorBidi" w:eastAsia="Times New Roman" w:hAnsiTheme="majorBidi" w:cstheme="majorBidi"/>
          <w:sz w:val="28"/>
          <w:szCs w:val="28"/>
        </w:rPr>
      </w:pPr>
      <w:r w:rsidRPr="00876C2F">
        <w:rPr>
          <w:rFonts w:asciiTheme="majorBidi" w:hAnsiTheme="majorBidi" w:cstheme="majorBidi"/>
          <w:sz w:val="28"/>
          <w:szCs w:val="28"/>
        </w:rPr>
        <w:t>Комитет по внутреннему транспорту</w:t>
      </w:r>
    </w:p>
    <w:p w14:paraId="3169FD0A" w14:textId="77777777" w:rsidR="00876C2F" w:rsidRPr="00876C2F" w:rsidRDefault="00876C2F" w:rsidP="00876C2F">
      <w:pPr>
        <w:spacing w:before="120"/>
        <w:rPr>
          <w:rFonts w:asciiTheme="majorBidi" w:eastAsia="Times New Roman" w:hAnsiTheme="majorBidi" w:cstheme="majorBidi"/>
          <w:b/>
          <w:sz w:val="24"/>
          <w:szCs w:val="24"/>
        </w:rPr>
      </w:pPr>
      <w:r w:rsidRPr="00876C2F">
        <w:rPr>
          <w:rFonts w:asciiTheme="majorBidi" w:hAnsiTheme="majorBidi" w:cstheme="majorBidi"/>
          <w:b/>
          <w:bCs/>
          <w:sz w:val="24"/>
          <w:szCs w:val="24"/>
        </w:rPr>
        <w:t>Всемирный форум для согласования правил</w:t>
      </w:r>
      <w:r>
        <w:rPr>
          <w:rFonts w:asciiTheme="majorBidi" w:hAnsiTheme="majorBidi" w:cstheme="majorBidi"/>
          <w:b/>
          <w:bCs/>
          <w:sz w:val="24"/>
          <w:szCs w:val="24"/>
        </w:rPr>
        <w:br/>
      </w:r>
      <w:r w:rsidRPr="00876C2F">
        <w:rPr>
          <w:rFonts w:asciiTheme="majorBidi" w:hAnsiTheme="majorBidi" w:cstheme="majorBidi"/>
          <w:b/>
          <w:bCs/>
          <w:sz w:val="24"/>
          <w:szCs w:val="24"/>
        </w:rPr>
        <w:t>в области транспортных средств</w:t>
      </w:r>
    </w:p>
    <w:p w14:paraId="4A1D29E5" w14:textId="77777777" w:rsidR="00876C2F" w:rsidRPr="00B979AE" w:rsidRDefault="00876C2F" w:rsidP="00876C2F">
      <w:pPr>
        <w:spacing w:before="120"/>
        <w:rPr>
          <w:rFonts w:asciiTheme="majorBidi" w:eastAsia="Times New Roman" w:hAnsiTheme="majorBidi" w:cstheme="majorBidi"/>
          <w:b/>
          <w:szCs w:val="20"/>
        </w:rPr>
      </w:pPr>
      <w:bookmarkStart w:id="0" w:name="_Hlk518466992"/>
      <w:r w:rsidRPr="00B979AE">
        <w:rPr>
          <w:rFonts w:asciiTheme="majorBidi" w:hAnsiTheme="majorBidi" w:cstheme="majorBidi"/>
          <w:b/>
          <w:bCs/>
        </w:rPr>
        <w:t>Рабочая группа по автоматизированным/автономным</w:t>
      </w:r>
      <w:r>
        <w:rPr>
          <w:rFonts w:asciiTheme="majorBidi" w:hAnsiTheme="majorBidi" w:cstheme="majorBidi"/>
          <w:b/>
          <w:bCs/>
        </w:rPr>
        <w:br/>
      </w:r>
      <w:r w:rsidRPr="00B979AE">
        <w:rPr>
          <w:rFonts w:asciiTheme="majorBidi" w:hAnsiTheme="majorBidi" w:cstheme="majorBidi"/>
          <w:b/>
          <w:bCs/>
        </w:rPr>
        <w:t>и подключенным транспортным средствам</w:t>
      </w:r>
      <w:bookmarkEnd w:id="0"/>
    </w:p>
    <w:p w14:paraId="5BDD180C" w14:textId="77777777" w:rsidR="00876C2F" w:rsidRPr="00B979AE" w:rsidRDefault="00876C2F" w:rsidP="00876C2F">
      <w:pPr>
        <w:spacing w:before="120"/>
        <w:rPr>
          <w:rFonts w:asciiTheme="majorBidi" w:eastAsia="Times New Roman" w:hAnsiTheme="majorBidi" w:cstheme="majorBidi"/>
          <w:b/>
          <w:szCs w:val="20"/>
        </w:rPr>
      </w:pPr>
      <w:r w:rsidRPr="00B979AE">
        <w:rPr>
          <w:rFonts w:asciiTheme="majorBidi" w:hAnsiTheme="majorBidi" w:cstheme="majorBidi"/>
          <w:b/>
          <w:bCs/>
        </w:rPr>
        <w:t>Пятая сессия</w:t>
      </w:r>
    </w:p>
    <w:p w14:paraId="4BF066BD" w14:textId="77777777" w:rsidR="00876C2F" w:rsidRPr="00B979AE" w:rsidRDefault="00876C2F" w:rsidP="00876C2F">
      <w:pPr>
        <w:rPr>
          <w:rFonts w:asciiTheme="majorBidi" w:eastAsia="Times New Roman" w:hAnsiTheme="majorBidi" w:cstheme="majorBidi"/>
          <w:szCs w:val="20"/>
        </w:rPr>
      </w:pPr>
      <w:r w:rsidRPr="00B979AE">
        <w:rPr>
          <w:rFonts w:asciiTheme="majorBidi" w:hAnsiTheme="majorBidi" w:cstheme="majorBidi"/>
        </w:rPr>
        <w:t>Женева, 10–14 февраля 2020 года</w:t>
      </w:r>
    </w:p>
    <w:p w14:paraId="60A24D74" w14:textId="77777777" w:rsidR="00876C2F" w:rsidRPr="00B979AE" w:rsidRDefault="00876C2F" w:rsidP="00876C2F">
      <w:pPr>
        <w:rPr>
          <w:rFonts w:asciiTheme="majorBidi" w:eastAsia="Times New Roman" w:hAnsiTheme="majorBidi" w:cstheme="majorBidi"/>
          <w:szCs w:val="20"/>
        </w:rPr>
      </w:pPr>
      <w:r w:rsidRPr="00B979AE">
        <w:rPr>
          <w:rFonts w:asciiTheme="majorBidi" w:hAnsiTheme="majorBidi" w:cstheme="majorBidi"/>
        </w:rPr>
        <w:t>Пункт 5 а) предварительной повестки дня</w:t>
      </w:r>
    </w:p>
    <w:p w14:paraId="4D825174" w14:textId="77777777" w:rsidR="00876C2F" w:rsidRPr="00B979AE" w:rsidRDefault="00876C2F" w:rsidP="00876C2F">
      <w:pPr>
        <w:rPr>
          <w:rFonts w:asciiTheme="majorBidi" w:eastAsia="Times New Roman" w:hAnsiTheme="majorBidi" w:cstheme="majorBidi"/>
          <w:b/>
          <w:bCs/>
          <w:szCs w:val="20"/>
        </w:rPr>
      </w:pPr>
      <w:r w:rsidRPr="00B979AE">
        <w:rPr>
          <w:rFonts w:asciiTheme="majorBidi" w:hAnsiTheme="majorBidi" w:cstheme="majorBidi"/>
          <w:b/>
          <w:bCs/>
        </w:rPr>
        <w:t>Подключенные транспортные средства:</w:t>
      </w:r>
    </w:p>
    <w:p w14:paraId="1B7BA1B7" w14:textId="77777777" w:rsidR="00876C2F" w:rsidRPr="00B979AE" w:rsidRDefault="00876C2F" w:rsidP="00876C2F">
      <w:pPr>
        <w:rPr>
          <w:rFonts w:asciiTheme="majorBidi" w:eastAsia="Times New Roman" w:hAnsiTheme="majorBidi" w:cstheme="majorBidi"/>
          <w:b/>
          <w:bCs/>
          <w:szCs w:val="20"/>
        </w:rPr>
      </w:pPr>
      <w:r w:rsidRPr="00B979AE">
        <w:rPr>
          <w:rFonts w:asciiTheme="majorBidi" w:hAnsiTheme="majorBidi" w:cstheme="majorBidi"/>
          <w:b/>
          <w:bCs/>
        </w:rPr>
        <w:t>Кибербезопасность и защита данных, а также обновление</w:t>
      </w:r>
      <w:r>
        <w:rPr>
          <w:rFonts w:asciiTheme="majorBidi" w:hAnsiTheme="majorBidi" w:cstheme="majorBidi"/>
          <w:b/>
          <w:bCs/>
        </w:rPr>
        <w:br/>
      </w:r>
      <w:r w:rsidRPr="00B979AE">
        <w:rPr>
          <w:rFonts w:asciiTheme="majorBidi" w:hAnsiTheme="majorBidi" w:cstheme="majorBidi"/>
          <w:b/>
          <w:bCs/>
        </w:rPr>
        <w:t>программного обеспечения</w:t>
      </w:r>
    </w:p>
    <w:p w14:paraId="70F7A366" w14:textId="77777777" w:rsidR="00876C2F" w:rsidRPr="00B979AE" w:rsidRDefault="00876C2F" w:rsidP="00876C2F">
      <w:pPr>
        <w:pStyle w:val="HChG"/>
        <w:rPr>
          <w:sz w:val="20"/>
        </w:rPr>
      </w:pPr>
      <w:r>
        <w:tab/>
      </w:r>
      <w:r>
        <w:tab/>
      </w:r>
      <w:r>
        <w:rPr>
          <w:bCs/>
        </w:rPr>
        <w:t>Проект предложения по изменению действующих правил ООН посредством включения идентификационных номеров программного обеспечения (RXSWIN)</w:t>
      </w:r>
    </w:p>
    <w:p w14:paraId="6744698D" w14:textId="77777777" w:rsidR="00876C2F" w:rsidRPr="00B979AE" w:rsidRDefault="00876C2F" w:rsidP="00876C2F">
      <w:pPr>
        <w:pStyle w:val="H1G"/>
      </w:pPr>
      <w:r>
        <w:tab/>
      </w:r>
      <w:r>
        <w:tab/>
      </w:r>
      <w:r>
        <w:rPr>
          <w:bCs/>
        </w:rPr>
        <w:t>Представлено экспертами Целевой группы по вопросам кибербезопасности и беспроводной связи</w:t>
      </w:r>
    </w:p>
    <w:p w14:paraId="46923CD6" w14:textId="77777777" w:rsidR="00876C2F" w:rsidRPr="00B979AE" w:rsidRDefault="00876C2F" w:rsidP="00876C2F">
      <w:pPr>
        <w:pStyle w:val="SingleTxtG"/>
        <w:ind w:firstLine="567"/>
      </w:pPr>
      <w:bookmarkStart w:id="1" w:name="_Hlk25254696"/>
      <w:r>
        <w:t>Настоящее предложение было подготовлено экспертами Целевой группы по вопросам кибербезопасности и беспроводной связи в целях обновления соответствующих вопросов в порядке осуществления мандата, согласованного Всемирным форумом для согласования правил в области транспортных средств (WP.29), который отражен в документах ECE/TRANS/WP.29/1126, пункт 28, и ECE/TRANS/WP.29/1131, пункт 27. В его основу положен документ ECE/TRANS/WP.29/GRVA/2018/3, представленный ранее на первой сессии Рабочей группы по автоматизированным/автономным и подключенным транспортным средствам (GRVA) в сентябре 2018 года. В нем содержится предложение, которое необходимо включить в другие правила, позволяющие определять программное обеспечение, имеющее отношение к этим правилам.</w:t>
      </w:r>
      <w:bookmarkEnd w:id="1"/>
    </w:p>
    <w:p w14:paraId="7334A5D2" w14:textId="77777777" w:rsidR="00876C2F" w:rsidRPr="00B979AE" w:rsidRDefault="00876C2F" w:rsidP="00876C2F">
      <w:r w:rsidRPr="00B979AE">
        <w:br w:type="page"/>
      </w:r>
    </w:p>
    <w:p w14:paraId="45CA5F73" w14:textId="77777777" w:rsidR="00876C2F" w:rsidRPr="00B979AE" w:rsidRDefault="00876C2F" w:rsidP="00876C2F">
      <w:pPr>
        <w:pStyle w:val="HChG"/>
      </w:pPr>
      <w:bookmarkStart w:id="2" w:name="_Toc507661190"/>
      <w:r>
        <w:lastRenderedPageBreak/>
        <w:tab/>
      </w:r>
      <w:r>
        <w:tab/>
      </w:r>
      <w:r>
        <w:rPr>
          <w:bCs/>
        </w:rPr>
        <w:t>Проект предложения по изменению действующих правил ООН посредством включения идентификационных номеров программного обеспечения (RXSWIN)</w:t>
      </w:r>
      <w:bookmarkEnd w:id="2"/>
    </w:p>
    <w:p w14:paraId="7FBCA9D9" w14:textId="77777777" w:rsidR="00876C2F" w:rsidRPr="00B979AE" w:rsidRDefault="00876C2F" w:rsidP="00876C2F">
      <w:pPr>
        <w:pStyle w:val="H1G"/>
      </w:pPr>
      <w:r>
        <w:tab/>
        <w:t>1.</w:t>
      </w:r>
      <w:r>
        <w:tab/>
      </w:r>
      <w:r>
        <w:rPr>
          <w:bCs/>
        </w:rPr>
        <w:t>Добавить в разделы «Определения» следующие новые определения:</w:t>
      </w:r>
    </w:p>
    <w:p w14:paraId="03CCD954" w14:textId="77777777" w:rsidR="00876C2F" w:rsidRPr="00EF37D1" w:rsidRDefault="00876C2F" w:rsidP="00F43144">
      <w:pPr>
        <w:spacing w:after="120"/>
        <w:ind w:left="1134"/>
        <w:rPr>
          <w:rFonts w:asciiTheme="majorBidi" w:hAnsiTheme="majorBidi" w:cstheme="majorBidi"/>
          <w:i/>
          <w:szCs w:val="20"/>
        </w:rPr>
      </w:pPr>
      <w:r w:rsidRPr="00EF37D1">
        <w:rPr>
          <w:rFonts w:asciiTheme="majorBidi" w:hAnsiTheme="majorBidi" w:cstheme="majorBidi"/>
          <w:i/>
          <w:iCs/>
          <w:szCs w:val="20"/>
        </w:rPr>
        <w:t>Включить новые пункты 2.x</w:t>
      </w:r>
      <w:r>
        <w:rPr>
          <w:rFonts w:asciiTheme="majorBidi" w:hAnsiTheme="majorBidi" w:cstheme="majorBidi"/>
          <w:i/>
          <w:iCs/>
          <w:szCs w:val="20"/>
        </w:rPr>
        <w:t>, 2.y</w:t>
      </w:r>
      <w:r w:rsidRPr="00EF37D1">
        <w:rPr>
          <w:rFonts w:asciiTheme="majorBidi" w:hAnsiTheme="majorBidi" w:cstheme="majorBidi"/>
          <w:szCs w:val="20"/>
        </w:rPr>
        <w:t xml:space="preserve"> </w:t>
      </w:r>
      <w:r>
        <w:rPr>
          <w:rFonts w:asciiTheme="majorBidi" w:hAnsiTheme="majorBidi" w:cstheme="majorBidi"/>
          <w:i/>
          <w:iCs/>
          <w:szCs w:val="20"/>
        </w:rPr>
        <w:t>и 2.z</w:t>
      </w:r>
      <w:r w:rsidRPr="00EF37D1">
        <w:rPr>
          <w:rFonts w:asciiTheme="majorBidi" w:hAnsiTheme="majorBidi" w:cstheme="majorBidi"/>
          <w:i/>
          <w:iCs/>
          <w:szCs w:val="20"/>
        </w:rPr>
        <w:t xml:space="preserve"> следующего содержания:</w:t>
      </w:r>
    </w:p>
    <w:p w14:paraId="64BA29C7" w14:textId="77777777" w:rsidR="00876C2F" w:rsidRPr="00B979AE" w:rsidRDefault="00876C2F" w:rsidP="00F43144">
      <w:pPr>
        <w:pStyle w:val="SingleTxtG"/>
        <w:ind w:left="2268" w:hanging="1134"/>
      </w:pPr>
      <w:r>
        <w:t>«2.x</w:t>
      </w:r>
      <w:r>
        <w:tab/>
      </w:r>
      <w:r w:rsidR="00F84C87">
        <w:t>"</w:t>
      </w:r>
      <w:r>
        <w:rPr>
          <w:i/>
          <w:iCs/>
        </w:rPr>
        <w:t>Идентификационный номер Rх-пакета программного обеспечения (RXSWIN)</w:t>
      </w:r>
      <w:r w:rsidR="00F84C87">
        <w:t>"</w:t>
      </w:r>
      <w:r>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х ООН.</w:t>
      </w:r>
    </w:p>
    <w:p w14:paraId="54E1B552" w14:textId="77777777" w:rsidR="00876C2F" w:rsidRPr="00B979AE" w:rsidRDefault="00876C2F" w:rsidP="00876C2F">
      <w:pPr>
        <w:pStyle w:val="SingleTxtG"/>
        <w:ind w:left="2268" w:hanging="1134"/>
      </w:pPr>
      <w:r>
        <w:t>2.y</w:t>
      </w:r>
      <w:r>
        <w:tab/>
      </w:r>
      <w:r>
        <w:tab/>
      </w:r>
      <w:r w:rsidR="00F84C87">
        <w:t>"</w:t>
      </w:r>
      <w:r>
        <w:rPr>
          <w:i/>
          <w:iCs/>
        </w:rPr>
        <w:t>Электронная система управления</w:t>
      </w:r>
      <w:r w:rsidR="00F84C87">
        <w:t>"</w:t>
      </w:r>
      <w:r>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 могут содержать механические, электропневматические или электрогидравлические элементы</w:t>
      </w:r>
      <w:r w:rsidR="00F84C87">
        <w:t>.</w:t>
      </w:r>
      <w:r>
        <w:t xml:space="preserve"> Официальное утверждение типа, которое подразумевается в данной связи, требуется именно для этой </w:t>
      </w:r>
      <w:r w:rsidR="00F84C87">
        <w:t>"</w:t>
      </w:r>
      <w:r>
        <w:t>системы</w:t>
      </w:r>
      <w:r w:rsidR="00F84C87">
        <w:t>"</w:t>
      </w:r>
      <w:r>
        <w:t>;</w:t>
      </w:r>
    </w:p>
    <w:p w14:paraId="71F5F88E" w14:textId="77777777" w:rsidR="00876C2F" w:rsidRPr="00B979AE" w:rsidRDefault="00876C2F" w:rsidP="00876C2F">
      <w:pPr>
        <w:pStyle w:val="SingleTxtG"/>
        <w:ind w:left="2268" w:hanging="1134"/>
      </w:pPr>
      <w:r>
        <w:t>2.z</w:t>
      </w:r>
      <w:r>
        <w:tab/>
      </w:r>
      <w:r>
        <w:tab/>
      </w:r>
      <w:r w:rsidR="00F84C87">
        <w:t>"</w:t>
      </w:r>
      <w:r w:rsidRPr="00931E96">
        <w:rPr>
          <w:i/>
          <w:iCs/>
        </w:rPr>
        <w:t>Программное обеспечение</w:t>
      </w:r>
      <w:r w:rsidR="00F84C87">
        <w:t>"</w:t>
      </w:r>
      <w:r>
        <w:t xml:space="preserve"> означает компонент электронной системы управления в виде цифровой информации и соответствующих инструкций».</w:t>
      </w:r>
    </w:p>
    <w:p w14:paraId="044D63C3" w14:textId="77777777" w:rsidR="00876C2F" w:rsidRPr="00B979AE" w:rsidRDefault="00876C2F" w:rsidP="00876C2F">
      <w:pPr>
        <w:pStyle w:val="H1G"/>
      </w:pPr>
      <w:r>
        <w:tab/>
        <w:t>2.</w:t>
      </w:r>
      <w:r>
        <w:tab/>
      </w:r>
      <w:r>
        <w:rPr>
          <w:bCs/>
        </w:rPr>
        <w:t>Добавить в раздел «Требования» новые положения относительно введения RXSWIN:</w:t>
      </w:r>
    </w:p>
    <w:p w14:paraId="27F8F334" w14:textId="77777777" w:rsidR="00876C2F" w:rsidRPr="00B979AE" w:rsidRDefault="00876C2F" w:rsidP="00876C2F">
      <w:pPr>
        <w:spacing w:after="120"/>
        <w:ind w:left="1134"/>
        <w:rPr>
          <w:rFonts w:asciiTheme="majorBidi" w:hAnsiTheme="majorBidi" w:cstheme="majorBidi"/>
          <w:i/>
          <w:szCs w:val="20"/>
        </w:rPr>
      </w:pPr>
      <w:r>
        <w:rPr>
          <w:rFonts w:asciiTheme="majorBidi" w:hAnsiTheme="majorBidi" w:cstheme="majorBidi"/>
          <w:i/>
          <w:iCs/>
        </w:rPr>
        <w:t>Добавить новый пункт x.y</w:t>
      </w:r>
      <w:r w:rsidRPr="00B979AE">
        <w:rPr>
          <w:rFonts w:asciiTheme="majorBidi" w:hAnsiTheme="majorBidi" w:cstheme="majorBidi"/>
        </w:rPr>
        <w:t xml:space="preserve"> </w:t>
      </w:r>
      <w:r w:rsidRPr="00B979AE">
        <w:rPr>
          <w:rFonts w:asciiTheme="majorBidi" w:hAnsiTheme="majorBidi" w:cstheme="majorBidi"/>
          <w:i/>
          <w:iCs/>
        </w:rPr>
        <w:t>и относящиеся к нему соответствующие подпункты:</w:t>
      </w:r>
    </w:p>
    <w:p w14:paraId="1496D0AF" w14:textId="77777777" w:rsidR="00876C2F" w:rsidRPr="00B979AE" w:rsidRDefault="00876C2F" w:rsidP="00876C2F">
      <w:pPr>
        <w:pStyle w:val="SingleTxtG"/>
      </w:pPr>
      <w:r>
        <w:t>«х.у</w:t>
      </w:r>
      <w:r>
        <w:tab/>
      </w:r>
      <w:r>
        <w:tab/>
        <w:t>Требования в отношении идентификации программного обеспечения</w:t>
      </w:r>
    </w:p>
    <w:p w14:paraId="78D0854A" w14:textId="77777777" w:rsidR="00876C2F" w:rsidRPr="00B979AE" w:rsidRDefault="00876C2F" w:rsidP="00876C2F">
      <w:pPr>
        <w:pStyle w:val="SingleTxtG"/>
        <w:ind w:left="2268" w:hanging="1134"/>
      </w:pPr>
      <w:r>
        <w:t>x.y.1</w:t>
      </w:r>
      <w:r>
        <w:tab/>
      </w:r>
      <w:r>
        <w:tab/>
        <w:t>В целях обеспечения возможности идентификации установленного в системе программного обеспечения изготовитель транспортного средства может ввести соответствующий RXSWIN.</w:t>
      </w:r>
    </w:p>
    <w:p w14:paraId="72965F2A" w14:textId="77777777" w:rsidR="00876C2F" w:rsidRPr="00B979AE" w:rsidRDefault="00876C2F" w:rsidP="00A02500">
      <w:pPr>
        <w:pStyle w:val="SingleTxtG"/>
        <w:ind w:left="2268" w:hanging="1134"/>
      </w:pPr>
      <w:r>
        <w:t>x.y.2</w:t>
      </w:r>
      <w:r>
        <w:tab/>
      </w:r>
      <w:r w:rsidR="00A02500">
        <w:tab/>
      </w:r>
      <w:r>
        <w:t>Если изготовитель транспортного средства вводит соответствующий RXSWIN, то применяют следующие положения:</w:t>
      </w:r>
    </w:p>
    <w:p w14:paraId="0DCDD50F" w14:textId="77777777" w:rsidR="00876C2F" w:rsidRPr="00B979AE" w:rsidRDefault="00876C2F" w:rsidP="00A02500">
      <w:pPr>
        <w:pStyle w:val="SingleTxtG"/>
        <w:ind w:left="2268" w:hanging="1134"/>
      </w:pPr>
      <w:r>
        <w:t>x.y.2.1</w:t>
      </w:r>
      <w:r w:rsidR="00A02500">
        <w:tab/>
      </w:r>
      <w:r>
        <w:tab/>
        <w:t xml:space="preserve">изготовитель транспортного средства должен располагать действующим официальным утверждением на основании Правил № xxx ООН [Правила, касающиеся порядка обновления программного обеспечения]; </w:t>
      </w:r>
    </w:p>
    <w:p w14:paraId="2C734B3C" w14:textId="77777777" w:rsidR="00876C2F" w:rsidRPr="00B979AE" w:rsidRDefault="00876C2F" w:rsidP="00A02500">
      <w:pPr>
        <w:pStyle w:val="SingleTxtG"/>
        <w:ind w:left="2268" w:hanging="1134"/>
      </w:pPr>
      <w:r>
        <w:t>x.y.2.2</w:t>
      </w:r>
      <w:r w:rsidR="00A02500">
        <w:tab/>
      </w:r>
      <w:r w:rsidR="00A02500">
        <w:tab/>
      </w:r>
      <w:r>
        <w:t>изготовитель транспортного средства указывает в карточке сообщения по настоящим Правилам следующую информацию:</w:t>
      </w:r>
    </w:p>
    <w:p w14:paraId="5E1A0BC5" w14:textId="77777777" w:rsidR="00876C2F" w:rsidRPr="00B979AE" w:rsidRDefault="00A02500" w:rsidP="00876C2F">
      <w:pPr>
        <w:pStyle w:val="SingleTxtG"/>
        <w:ind w:left="2835" w:hanging="567"/>
      </w:pPr>
      <w:r>
        <w:t>–</w:t>
      </w:r>
      <w:r w:rsidR="00876C2F">
        <w:tab/>
        <w:t>RXSWIN;</w:t>
      </w:r>
    </w:p>
    <w:p w14:paraId="28426FA4" w14:textId="77777777" w:rsidR="00876C2F" w:rsidRPr="00B979AE" w:rsidRDefault="00A02500" w:rsidP="00876C2F">
      <w:pPr>
        <w:pStyle w:val="SingleTxtG"/>
        <w:ind w:left="2835" w:hanging="567"/>
      </w:pPr>
      <w:r>
        <w:t>–</w:t>
      </w:r>
      <w:r w:rsidR="00876C2F">
        <w:tab/>
        <w:t>как считать версию(и) программного обеспечения или RXSWIN в том случае, если в программном обеспечении транспортного средства RXSWIN не хранится</w:t>
      </w:r>
      <w:r w:rsidR="00F84C87">
        <w:t>;</w:t>
      </w:r>
    </w:p>
    <w:p w14:paraId="17C1AFB6" w14:textId="77777777" w:rsidR="00876C2F" w:rsidRPr="00B979AE" w:rsidRDefault="00876C2F" w:rsidP="00F43144">
      <w:pPr>
        <w:pStyle w:val="SingleTxtG"/>
        <w:pageBreakBefore/>
        <w:ind w:left="2268" w:hanging="1134"/>
      </w:pPr>
      <w:bookmarkStart w:id="3" w:name="_GoBack"/>
      <w:bookmarkEnd w:id="3"/>
      <w:r>
        <w:t>x.y.2.3</w:t>
      </w:r>
      <w:r w:rsidR="00A02500">
        <w:tab/>
      </w:r>
      <w:r w:rsidR="00A02500">
        <w:tab/>
      </w:r>
      <w:r>
        <w:t>изготовитель транспортного средства может указать в карточке сообщения по настоящим Правилам перечень соответствующих параметров, позволяющих идентифицировать те транспортные средства, обновление программного обеспечения которых может быть произведено на базе версии с присвоенным RXSWIN. Представляемая информация заявляется изготовителем транспортного средства и не подлежит обязательной проверке органом по официальному утверждению.</w:t>
      </w:r>
    </w:p>
    <w:p w14:paraId="7C7E9761" w14:textId="77777777" w:rsidR="00876C2F" w:rsidRPr="00B979AE" w:rsidRDefault="00876C2F" w:rsidP="00A02500">
      <w:pPr>
        <w:pStyle w:val="SingleTxtG"/>
        <w:ind w:left="2268" w:hanging="1134"/>
      </w:pPr>
      <w:r>
        <w:t>[x.y.3</w:t>
      </w:r>
      <w:r>
        <w:tab/>
      </w:r>
      <w:r w:rsidR="00A02500">
        <w:tab/>
      </w:r>
      <w:r>
        <w:t>Допускается возможность получения изготовителем транспортного средства нового официального утверждения транспортного средства, служащего цели проведения различия между версиями программного обеспечения, предназначенными для установки на уже зарегистрированных на рынке транспортных средствах, и версиями программного обеспечения, устанавливаемыми на новых автомобилях. При этом могут охватываться ситуации, связанные с обновлением правил, касающихся официального утверждения типа, либо внесением изменений в аппаратную часть серийных транспортных средств. По</w:t>
      </w:r>
      <w:r w:rsidR="00A02500">
        <w:t> </w:t>
      </w:r>
      <w:r>
        <w:t>согласованию с органом, проводящим испытание, следует, по мере возможности, избегать дублирования испытаний.]»</w:t>
      </w:r>
      <w:r w:rsidR="00A02500">
        <w:t>.</w:t>
      </w:r>
    </w:p>
    <w:p w14:paraId="1F826245" w14:textId="77777777" w:rsidR="00876C2F" w:rsidRPr="00B979AE" w:rsidRDefault="00876C2F" w:rsidP="00876C2F">
      <w:pPr>
        <w:pStyle w:val="H1G"/>
      </w:pPr>
      <w:r>
        <w:tab/>
        <w:t>3.</w:t>
      </w:r>
      <w:r>
        <w:tab/>
      </w:r>
      <w:r>
        <w:rPr>
          <w:bCs/>
        </w:rPr>
        <w:t>Добавить в раздел «Окончательное прекращение производства» новый пункт (или изменить существующий пункт):</w:t>
      </w:r>
    </w:p>
    <w:p w14:paraId="6800B89F" w14:textId="77777777" w:rsidR="00876C2F" w:rsidRPr="00B979AE" w:rsidRDefault="00876C2F" w:rsidP="00A02500">
      <w:pPr>
        <w:spacing w:after="120"/>
        <w:ind w:left="1843" w:hanging="720"/>
        <w:rPr>
          <w:rFonts w:asciiTheme="majorBidi" w:hAnsiTheme="majorBidi" w:cstheme="majorBidi"/>
          <w:szCs w:val="20"/>
        </w:rPr>
      </w:pPr>
      <w:r w:rsidRPr="00B979AE">
        <w:rPr>
          <w:rFonts w:asciiTheme="majorBidi" w:hAnsiTheme="majorBidi" w:cstheme="majorBidi"/>
          <w:i/>
          <w:iCs/>
        </w:rPr>
        <w:t>Включить новый пункт Х и соответствующие подпункты</w:t>
      </w:r>
      <w:r w:rsidRPr="00B979AE">
        <w:rPr>
          <w:rFonts w:asciiTheme="majorBidi" w:hAnsiTheme="majorBidi" w:cstheme="majorBidi"/>
        </w:rPr>
        <w:t xml:space="preserve"> следующего содержания:</w:t>
      </w:r>
    </w:p>
    <w:p w14:paraId="7EB79781" w14:textId="77777777" w:rsidR="00876C2F" w:rsidRPr="00B979AE" w:rsidRDefault="00A02500" w:rsidP="00A02500">
      <w:pPr>
        <w:pStyle w:val="SingleTxtG"/>
      </w:pPr>
      <w:r>
        <w:t>«</w:t>
      </w:r>
      <w:r w:rsidR="00876C2F">
        <w:t>X.</w:t>
      </w:r>
      <w:r w:rsidR="00876C2F">
        <w:tab/>
      </w:r>
      <w:r>
        <w:tab/>
      </w:r>
      <w:r w:rsidR="00876C2F">
        <w:t>Окончательное прекращение производства</w:t>
      </w:r>
    </w:p>
    <w:p w14:paraId="643C37B5" w14:textId="77777777" w:rsidR="00876C2F" w:rsidRPr="00B979AE" w:rsidRDefault="00A02500" w:rsidP="00876C2F">
      <w:pPr>
        <w:pStyle w:val="SingleTxtG"/>
      </w:pPr>
      <w:r>
        <w:tab/>
      </w:r>
      <w:r>
        <w:tab/>
      </w:r>
      <w:r w:rsidR="00876C2F">
        <w:tab/>
        <w:t>[…]</w:t>
      </w:r>
    </w:p>
    <w:p w14:paraId="753200BA" w14:textId="77777777" w:rsidR="00876C2F" w:rsidRPr="00B979AE" w:rsidRDefault="00876C2F" w:rsidP="00A02500">
      <w:pPr>
        <w:pStyle w:val="SingleTxtG"/>
        <w:ind w:left="2268" w:hanging="1134"/>
      </w:pPr>
      <w:r>
        <w:t>X.Y</w:t>
      </w:r>
      <w:r>
        <w:tab/>
      </w:r>
      <w:r w:rsidR="00A02500">
        <w:tab/>
      </w:r>
      <w:r>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w:t>
      </w:r>
      <w:r w:rsidR="00A02500">
        <w:t> </w:t>
      </w:r>
      <w:r>
        <w:t xml:space="preserve">получении соответствующего сообщения данный компетентный орган информирует о нем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[Карточка сообщения] к настоящим Правилам. </w:t>
      </w:r>
    </w:p>
    <w:p w14:paraId="1A52E7F1" w14:textId="77777777" w:rsidR="00876C2F" w:rsidRPr="00B979AE" w:rsidRDefault="00876C2F" w:rsidP="00A02500">
      <w:pPr>
        <w:pStyle w:val="SingleTxtG"/>
        <w:ind w:left="2268" w:hanging="1134"/>
      </w:pPr>
      <w:r>
        <w:t>X.Z</w:t>
      </w:r>
      <w:r>
        <w:tab/>
      </w:r>
      <w:r w:rsidR="00A02500">
        <w:tab/>
      </w:r>
      <w:r>
        <w:t>Производство не считается окончательно прекращенным, если изготовитель транспортного средства намерен добиваться получения официальных утверждений в отношении обновленных версий программного обеспечения, установленных на уже зарегистрированных на рынке транспортных средствах»</w:t>
      </w:r>
      <w:r w:rsidR="00A02500">
        <w:t>.</w:t>
      </w:r>
    </w:p>
    <w:p w14:paraId="7998D280" w14:textId="77777777" w:rsidR="00876C2F" w:rsidRPr="00A02500" w:rsidRDefault="00876C2F" w:rsidP="00876C2F">
      <w:pPr>
        <w:pStyle w:val="af3"/>
        <w:ind w:left="0"/>
        <w:rPr>
          <w:rFonts w:ascii="Times New Roman" w:eastAsia="Times New Roman" w:hAnsi="Times New Roman" w:cs="Times New Roman"/>
          <w:szCs w:val="20"/>
          <w:u w:val="single"/>
          <w:lang w:val="ru-RU" w:eastAsia="ru-RU"/>
        </w:rPr>
      </w:pPr>
      <w:r w:rsidRPr="00B979AE">
        <w:rPr>
          <w:color w:val="FF0000"/>
          <w:u w:val="single"/>
          <w:lang w:val="ru-RU"/>
        </w:rPr>
        <w:br w:type="page"/>
      </w:r>
    </w:p>
    <w:p w14:paraId="76D0836A" w14:textId="77777777" w:rsidR="007E3373" w:rsidRDefault="00876C2F" w:rsidP="00876C2F">
      <w:pPr>
        <w:pStyle w:val="H1G"/>
        <w:ind w:right="900"/>
        <w:rPr>
          <w:bCs/>
        </w:rPr>
      </w:pPr>
      <w:r>
        <w:tab/>
        <w:t>4.</w:t>
      </w:r>
      <w:r>
        <w:tab/>
      </w:r>
      <w:r>
        <w:rPr>
          <w:bCs/>
        </w:rPr>
        <w:t>Добавить в приложение «Сообщение» пункт x.y и его соответствующие подпункты следующего содержания:</w:t>
      </w:r>
    </w:p>
    <w:p w14:paraId="384E70B8" w14:textId="77777777" w:rsidR="00876C2F" w:rsidRDefault="00876C2F" w:rsidP="007E3373">
      <w:pPr>
        <w:pStyle w:val="HChG"/>
        <w:rPr>
          <w:color w:val="000000" w:themeColor="text1"/>
        </w:rPr>
      </w:pPr>
      <w:r>
        <w:t>Приложение [Карточка сообщения]</w:t>
      </w:r>
    </w:p>
    <w:p w14:paraId="34471C62" w14:textId="77777777" w:rsidR="00876C2F" w:rsidRPr="00B979AE" w:rsidRDefault="00876C2F" w:rsidP="00876C2F">
      <w:pPr>
        <w:pStyle w:val="HChG"/>
      </w:pPr>
      <w:r>
        <w:tab/>
      </w:r>
      <w:r>
        <w:tab/>
      </w:r>
      <w:r>
        <w:rPr>
          <w:bCs/>
        </w:rPr>
        <w:t>Карточка сообщения</w:t>
      </w:r>
    </w:p>
    <w:p w14:paraId="2718B7C4" w14:textId="77777777" w:rsidR="007E3373" w:rsidRPr="00987D8C" w:rsidRDefault="007E3373" w:rsidP="007E3373">
      <w:pPr>
        <w:spacing w:after="120"/>
        <w:ind w:left="1134" w:right="1134"/>
        <w:jc w:val="center"/>
        <w:rPr>
          <w:rFonts w:eastAsia="MS Mincho"/>
        </w:rPr>
      </w:pPr>
      <w:r>
        <w:t>СООБЩЕНИЕ</w:t>
      </w:r>
    </w:p>
    <w:p w14:paraId="7A4E9DB6" w14:textId="77777777" w:rsidR="007E3373" w:rsidRPr="00987D8C" w:rsidRDefault="007E3373" w:rsidP="007E3373">
      <w:pPr>
        <w:spacing w:after="120"/>
        <w:ind w:left="1134" w:right="1134"/>
        <w:jc w:val="center"/>
        <w:rPr>
          <w:rFonts w:eastAsia="MS Mincho"/>
        </w:rPr>
      </w:pPr>
      <w:r>
        <w:t>(Максимальный формат: A4 (210 x 297 мм))</w:t>
      </w:r>
    </w:p>
    <w:p w14:paraId="35054235" w14:textId="77777777" w:rsidR="007E3373" w:rsidRPr="000A09CB" w:rsidRDefault="007E3373" w:rsidP="007E3373">
      <w:pPr>
        <w:pStyle w:val="SingleTxtG"/>
        <w:tabs>
          <w:tab w:val="left" w:pos="5100"/>
        </w:tabs>
        <w:rPr>
          <w:rStyle w:val="aa"/>
          <w:rFonts w:eastAsia="MS Mincho"/>
          <w:color w:val="FFFFFF" w:themeColor="background1"/>
        </w:rPr>
      </w:pPr>
    </w:p>
    <w:tbl>
      <w:tblPr>
        <w:tblW w:w="0" w:type="auto"/>
        <w:tblInd w:w="1134" w:type="dxa"/>
        <w:tblLayout w:type="fixed"/>
        <w:tblLook w:val="01E0" w:firstRow="1" w:lastRow="1" w:firstColumn="1" w:lastColumn="1" w:noHBand="0" w:noVBand="0"/>
      </w:tblPr>
      <w:tblGrid>
        <w:gridCol w:w="2208"/>
        <w:gridCol w:w="1582"/>
        <w:gridCol w:w="3947"/>
      </w:tblGrid>
      <w:tr w:rsidR="007E3373" w:rsidRPr="00473497" w14:paraId="47E0D512" w14:textId="77777777" w:rsidTr="005B5928">
        <w:tc>
          <w:tcPr>
            <w:tcW w:w="2208" w:type="dxa"/>
            <w:tcBorders>
              <w:bottom w:val="nil"/>
            </w:tcBorders>
            <w:shd w:val="clear" w:color="auto" w:fill="auto"/>
          </w:tcPr>
          <w:p w14:paraId="25C9C518" w14:textId="77777777" w:rsidR="007E3373" w:rsidRPr="00473497" w:rsidRDefault="007E3373" w:rsidP="005B5928">
            <w:pPr>
              <w:pStyle w:val="SingleTxtGR"/>
              <w:suppressAutoHyphens/>
              <w:spacing w:before="40"/>
              <w:ind w:left="0"/>
              <w:rPr>
                <w:spacing w:val="0"/>
                <w:w w:val="100"/>
                <w:kern w:val="0"/>
                <w:sz w:val="18"/>
              </w:rPr>
            </w:pPr>
            <w:r>
              <w:rPr>
                <w:rFonts w:eastAsia="MS Mincho"/>
                <w:noProof/>
                <w:lang w:val="en-US" w:eastAsia="zh-CN"/>
              </w:rPr>
              <mc:AlternateContent>
                <mc:Choice Requires="wps">
                  <w:drawing>
                    <wp:anchor distT="0" distB="0" distL="114300" distR="114300" simplePos="0" relativeHeight="251664384" behindDoc="0" locked="0" layoutInCell="1" allowOverlap="1" wp14:anchorId="3E5C3C79" wp14:editId="7388CBEA">
                      <wp:simplePos x="0" y="0"/>
                      <wp:positionH relativeFrom="column">
                        <wp:posOffset>497056</wp:posOffset>
                      </wp:positionH>
                      <wp:positionV relativeFrom="paragraph">
                        <wp:posOffset>249972</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9E9C8AF" w14:textId="77777777" w:rsidR="007E3373" w:rsidRPr="008C572C" w:rsidRDefault="007E3373" w:rsidP="007E3373">
                                  <w:pPr>
                                    <w:jc w:val="center"/>
                                    <w:rPr>
                                      <w:rFonts w:ascii="Arial Unicode MS" w:eastAsia="Arial Unicode MS" w:hAnsi="Arial Unicode MS" w:cs="Arial Unicode MS"/>
                                      <w:b/>
                                      <w:w w:val="80"/>
                                      <w:sz w:val="16"/>
                                      <w:szCs w:val="16"/>
                                      <w:vertAlign w:val="superscript"/>
                                    </w:rPr>
                                  </w:pPr>
                                  <w:r>
                                    <w:rPr>
                                      <w:b/>
                                      <w:bCs/>
                                      <w:vertAlign w:val="superscript"/>
                                    </w:rPr>
                                    <w:t>1</w:t>
                                  </w:r>
                                </w:p>
                                <w:p w14:paraId="78C4D6D5" w14:textId="77777777" w:rsidR="007E3373" w:rsidRPr="004508D9" w:rsidRDefault="007E3373" w:rsidP="007E3373">
                                  <w:pPr>
                                    <w:rPr>
                                      <w:rFonts w:eastAsia="Arial Unicode MS"/>
                                      <w:sz w:val="16"/>
                                      <w:szCs w:val="16"/>
                                    </w:rPr>
                                  </w:pPr>
                                  <w:r>
                                    <w:rPr>
                                      <w:rFonts w:eastAsia="Arial Unicode MS"/>
                                      <w:noProof/>
                                      <w:sz w:val="16"/>
                                      <w:szCs w:val="16"/>
                                      <w:lang w:val="en-US" w:eastAsia="zh-CN"/>
                                    </w:rPr>
                                    <w:drawing>
                                      <wp:inline distT="0" distB="0" distL="0" distR="0" wp14:anchorId="0BE85EE3" wp14:editId="6C8CDF70">
                                        <wp:extent cx="154305" cy="25527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3C79" id="_x0000_t202" coordsize="21600,21600" o:spt="202" path="m,l,21600r21600,l21600,xe">
                      <v:stroke joinstyle="miter"/>
                      <v:path gradientshapeok="t" o:connecttype="rect"/>
                    </v:shapetype>
                    <v:shape id="Text Box 219" o:spid="_x0000_s1026" type="#_x0000_t202" style="position:absolute;left:0;text-align:left;margin-left:39.15pt;margin-top:19.7pt;width:20.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aOdwIAAAgF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" stroked="f" strokecolor="white">
                      <v:textbox inset="0,0,0,0">
                        <w:txbxContent>
                          <w:p w14:paraId="59E9C8AF" w14:textId="77777777" w:rsidR="007E3373" w:rsidRPr="008C572C" w:rsidRDefault="007E3373" w:rsidP="007E3373">
                            <w:pPr>
                              <w:jc w:val="center"/>
                              <w:rPr>
                                <w:rFonts w:ascii="Arial Unicode MS" w:eastAsia="Arial Unicode MS" w:hAnsi="Arial Unicode MS" w:cs="Arial Unicode MS"/>
                                <w:b/>
                                <w:w w:val="80"/>
                                <w:sz w:val="16"/>
                                <w:szCs w:val="16"/>
                                <w:vertAlign w:val="superscript"/>
                              </w:rPr>
                            </w:pPr>
                            <w:r>
                              <w:rPr>
                                <w:b/>
                                <w:bCs/>
                                <w:vertAlign w:val="superscript"/>
                              </w:rPr>
                              <w:t>1</w:t>
                            </w:r>
                          </w:p>
                          <w:p w14:paraId="78C4D6D5" w14:textId="77777777" w:rsidR="007E3373" w:rsidRPr="004508D9" w:rsidRDefault="007E3373" w:rsidP="007E3373">
                            <w:pPr>
                              <w:rPr>
                                <w:rFonts w:eastAsia="Arial Unicode MS"/>
                                <w:sz w:val="16"/>
                                <w:szCs w:val="16"/>
                              </w:rPr>
                            </w:pPr>
                            <w:r>
                              <w:rPr>
                                <w:rFonts w:eastAsia="Arial Unicode MS"/>
                                <w:noProof/>
                                <w:sz w:val="16"/>
                                <w:szCs w:val="16"/>
                                <w:lang w:val="en-US" w:eastAsia="zh-CN"/>
                              </w:rPr>
                              <w:drawing>
                                <wp:inline distT="0" distB="0" distL="0" distR="0" wp14:anchorId="0BE85EE3" wp14:editId="6C8CDF70">
                                  <wp:extent cx="154305" cy="25527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473497">
              <w:rPr>
                <w:noProof/>
                <w:spacing w:val="0"/>
                <w:w w:val="100"/>
                <w:kern w:val="0"/>
                <w:sz w:val="18"/>
                <w:lang w:val="en-GB" w:eastAsia="en-GB"/>
              </w:rPr>
              <w:drawing>
                <wp:inline distT="0" distB="0" distL="0" distR="0" wp14:anchorId="6203C7AB" wp14:editId="460FC81B">
                  <wp:extent cx="901700" cy="901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c>
          <w:tcPr>
            <w:tcW w:w="1582" w:type="dxa"/>
            <w:tcBorders>
              <w:bottom w:val="nil"/>
            </w:tcBorders>
            <w:shd w:val="clear" w:color="auto" w:fill="auto"/>
          </w:tcPr>
          <w:p w14:paraId="489AFB64" w14:textId="77777777" w:rsidR="007E3373" w:rsidRPr="00B5066D" w:rsidRDefault="007E3373" w:rsidP="005B5928">
            <w:pPr>
              <w:pStyle w:val="SingleTxtGR"/>
              <w:suppressAutoHyphens/>
              <w:spacing w:before="40"/>
              <w:ind w:left="0" w:right="-3"/>
              <w:rPr>
                <w:spacing w:val="0"/>
                <w:w w:val="100"/>
                <w:kern w:val="0"/>
              </w:rPr>
            </w:pPr>
            <w:r w:rsidRPr="00B5066D">
              <w:rPr>
                <w:spacing w:val="0"/>
                <w:w w:val="100"/>
                <w:kern w:val="0"/>
              </w:rPr>
              <w:t>направленное:</w:t>
            </w:r>
          </w:p>
        </w:tc>
        <w:tc>
          <w:tcPr>
            <w:tcW w:w="3947" w:type="dxa"/>
            <w:tcBorders>
              <w:bottom w:val="nil"/>
            </w:tcBorders>
            <w:shd w:val="clear" w:color="auto" w:fill="auto"/>
          </w:tcPr>
          <w:p w14:paraId="7CAB04B7" w14:textId="77777777" w:rsidR="007E3373" w:rsidRPr="00B5066D" w:rsidRDefault="007E3373" w:rsidP="005B5928">
            <w:pPr>
              <w:pStyle w:val="SingleTxtGR"/>
              <w:tabs>
                <w:tab w:val="clear" w:pos="1701"/>
                <w:tab w:val="clear" w:pos="2268"/>
                <w:tab w:val="clear" w:pos="2835"/>
                <w:tab w:val="clear" w:pos="3402"/>
                <w:tab w:val="clear" w:pos="3969"/>
                <w:tab w:val="left" w:leader="dot" w:pos="3587"/>
              </w:tabs>
              <w:suppressAutoHyphens/>
              <w:spacing w:before="40"/>
              <w:ind w:left="0" w:right="-72"/>
              <w:jc w:val="left"/>
              <w:rPr>
                <w:spacing w:val="0"/>
                <w:w w:val="100"/>
                <w:kern w:val="0"/>
              </w:rPr>
            </w:pPr>
            <w:r w:rsidRPr="00B5066D">
              <w:rPr>
                <w:spacing w:val="0"/>
                <w:w w:val="100"/>
                <w:kern w:val="0"/>
              </w:rPr>
              <w:t>Название административного органа:</w:t>
            </w:r>
            <w:r w:rsidRPr="00B5066D">
              <w:rPr>
                <w:spacing w:val="0"/>
                <w:w w:val="100"/>
                <w:kern w:val="0"/>
              </w:rPr>
              <w:br/>
            </w:r>
            <w:r w:rsidRPr="00B5066D">
              <w:rPr>
                <w:spacing w:val="0"/>
                <w:w w:val="100"/>
                <w:kern w:val="0"/>
              </w:rPr>
              <w:tab/>
            </w:r>
            <w:r w:rsidRPr="00B5066D">
              <w:rPr>
                <w:spacing w:val="0"/>
                <w:w w:val="100"/>
                <w:kern w:val="0"/>
              </w:rPr>
              <w:br/>
            </w:r>
            <w:r w:rsidRPr="00B5066D">
              <w:rPr>
                <w:spacing w:val="0"/>
                <w:w w:val="100"/>
                <w:kern w:val="0"/>
              </w:rPr>
              <w:tab/>
            </w:r>
            <w:r w:rsidRPr="00B5066D">
              <w:rPr>
                <w:spacing w:val="0"/>
                <w:w w:val="100"/>
                <w:kern w:val="0"/>
              </w:rPr>
              <w:br/>
            </w:r>
            <w:r w:rsidRPr="00B5066D">
              <w:rPr>
                <w:spacing w:val="0"/>
                <w:w w:val="100"/>
                <w:kern w:val="0"/>
              </w:rPr>
              <w:tab/>
            </w:r>
            <w:r w:rsidRPr="00B5066D">
              <w:rPr>
                <w:spacing w:val="0"/>
                <w:w w:val="100"/>
                <w:kern w:val="0"/>
              </w:rPr>
              <w:br/>
            </w:r>
          </w:p>
        </w:tc>
      </w:tr>
    </w:tbl>
    <w:p w14:paraId="175ADF4B" w14:textId="77777777" w:rsidR="007E3373" w:rsidRPr="008104DE" w:rsidRDefault="007E3373" w:rsidP="007E3373">
      <w:pPr>
        <w:pStyle w:val="SingleTxtG"/>
        <w:tabs>
          <w:tab w:val="left" w:pos="5100"/>
        </w:tabs>
        <w:spacing w:after="0" w:line="160" w:lineRule="exact"/>
        <w:rPr>
          <w:rFonts w:eastAsia="MS Mincho"/>
        </w:rPr>
      </w:pPr>
      <w:r w:rsidRPr="000A09CB">
        <w:rPr>
          <w:rStyle w:val="aa"/>
          <w:rFonts w:eastAsia="MS Mincho"/>
          <w:color w:val="FFFFFF" w:themeColor="background1"/>
        </w:rPr>
        <w:footnoteReference w:id="1"/>
      </w:r>
    </w:p>
    <w:p w14:paraId="14350C3A" w14:textId="77777777" w:rsidR="007E3373" w:rsidRPr="00987D8C" w:rsidRDefault="007E3373" w:rsidP="007E3373">
      <w:pPr>
        <w:pStyle w:val="SingleTxtG"/>
        <w:tabs>
          <w:tab w:val="left" w:pos="2268"/>
        </w:tabs>
        <w:spacing w:after="0"/>
        <w:ind w:left="2268" w:hanging="1134"/>
      </w:pPr>
      <w:r>
        <w:t>касающееся</w:t>
      </w:r>
      <w:r w:rsidR="00B3147E" w:rsidRPr="008104DE">
        <w:rPr>
          <w:rStyle w:val="aa"/>
        </w:rPr>
        <w:footnoteReference w:id="2"/>
      </w:r>
      <w:r>
        <w:t xml:space="preserve">: </w:t>
      </w:r>
      <w:r>
        <w:tab/>
        <w:t>предоставления официального утверждения</w:t>
      </w:r>
    </w:p>
    <w:p w14:paraId="5222C797" w14:textId="77777777" w:rsidR="007E3373" w:rsidRPr="00987D8C" w:rsidRDefault="007E3373" w:rsidP="007E3373">
      <w:pPr>
        <w:pStyle w:val="SingleTxtG"/>
        <w:spacing w:after="0"/>
      </w:pPr>
      <w:r>
        <w:tab/>
      </w:r>
      <w:r>
        <w:tab/>
      </w:r>
      <w:r>
        <w:tab/>
      </w:r>
      <w:r>
        <w:tab/>
        <w:t>распространения официального утверждения</w:t>
      </w:r>
    </w:p>
    <w:p w14:paraId="1B4FC061" w14:textId="77777777" w:rsidR="007E3373" w:rsidRPr="00987D8C" w:rsidRDefault="007E3373" w:rsidP="007E3373">
      <w:pPr>
        <w:pStyle w:val="SingleTxtG"/>
        <w:tabs>
          <w:tab w:val="left" w:pos="2268"/>
        </w:tabs>
        <w:spacing w:after="0"/>
        <w:ind w:left="2268" w:hanging="1134"/>
      </w:pPr>
      <w:r>
        <w:tab/>
      </w:r>
      <w:r>
        <w:tab/>
      </w:r>
      <w:r>
        <w:tab/>
        <w:t>отмены официального утверждения начиная с дд/мм/гггг</w:t>
      </w:r>
    </w:p>
    <w:p w14:paraId="5D93F884" w14:textId="77777777" w:rsidR="007E3373" w:rsidRPr="00987D8C" w:rsidRDefault="007E3373" w:rsidP="007E3373">
      <w:pPr>
        <w:pStyle w:val="SingleTxtG"/>
        <w:tabs>
          <w:tab w:val="left" w:pos="2268"/>
        </w:tabs>
        <w:spacing w:after="0"/>
        <w:ind w:left="2268" w:hanging="1134"/>
      </w:pPr>
      <w:r>
        <w:tab/>
      </w:r>
      <w:r>
        <w:tab/>
      </w:r>
      <w:r>
        <w:tab/>
        <w:t>отказа в официальном утверждении</w:t>
      </w:r>
    </w:p>
    <w:p w14:paraId="10B1D166" w14:textId="77777777" w:rsidR="007E3373" w:rsidRPr="007E3373" w:rsidRDefault="007E3373" w:rsidP="007E3373">
      <w:pPr>
        <w:pStyle w:val="SingleTxtG"/>
        <w:tabs>
          <w:tab w:val="left" w:pos="2268"/>
        </w:tabs>
        <w:ind w:left="2268" w:hanging="1134"/>
        <w:rPr>
          <w:b/>
        </w:rPr>
      </w:pPr>
      <w:r>
        <w:tab/>
      </w:r>
      <w:r>
        <w:tab/>
      </w:r>
      <w:r>
        <w:tab/>
      </w:r>
      <w:r w:rsidRPr="007E3373">
        <w:rPr>
          <w:b/>
        </w:rPr>
        <w:t>окончательного прекращения производства</w:t>
      </w:r>
    </w:p>
    <w:p w14:paraId="10BAE9AF" w14:textId="77777777" w:rsidR="007E3373" w:rsidRPr="00987D8C" w:rsidRDefault="007E3373" w:rsidP="007E3373">
      <w:pPr>
        <w:spacing w:after="120"/>
        <w:ind w:left="1134" w:right="1327"/>
      </w:pPr>
      <w:r>
        <w:t>типа транспортного средства на основании Правил № ООН [</w:t>
      </w:r>
      <w:r>
        <w:rPr>
          <w:i/>
          <w:iCs/>
        </w:rPr>
        <w:t>настоящих Правил</w:t>
      </w:r>
      <w:r>
        <w:t>]</w:t>
      </w:r>
    </w:p>
    <w:p w14:paraId="6DA397D1" w14:textId="77777777" w:rsidR="007E3373" w:rsidRPr="00987D8C" w:rsidRDefault="007E3373" w:rsidP="007E3373">
      <w:pPr>
        <w:pStyle w:val="SingleTxtG"/>
        <w:tabs>
          <w:tab w:val="left" w:leader="dot" w:pos="8505"/>
        </w:tabs>
        <w:ind w:left="2257" w:hanging="1123"/>
      </w:pPr>
      <w:r>
        <w:t xml:space="preserve">Официальное утверждение №: </w:t>
      </w:r>
      <w:r>
        <w:tab/>
      </w:r>
    </w:p>
    <w:p w14:paraId="38042470" w14:textId="77777777" w:rsidR="007E3373" w:rsidRPr="00987D8C" w:rsidRDefault="007E3373" w:rsidP="007E3373">
      <w:pPr>
        <w:pStyle w:val="SingleTxtG"/>
        <w:tabs>
          <w:tab w:val="left" w:leader="dot" w:pos="8505"/>
        </w:tabs>
        <w:ind w:left="2257" w:hanging="1123"/>
      </w:pPr>
      <w:r>
        <w:t xml:space="preserve">Распространение №: </w:t>
      </w:r>
      <w:r>
        <w:tab/>
      </w:r>
    </w:p>
    <w:p w14:paraId="11F6ABBD" w14:textId="77777777" w:rsidR="007E3373" w:rsidRPr="00987D8C" w:rsidRDefault="007E3373" w:rsidP="007E3373">
      <w:pPr>
        <w:pStyle w:val="SingleTxtG"/>
        <w:tabs>
          <w:tab w:val="left" w:leader="dot" w:pos="8505"/>
        </w:tabs>
        <w:ind w:left="2257" w:hanging="1123"/>
      </w:pPr>
      <w:r>
        <w:t xml:space="preserve">Основание для распространения: </w:t>
      </w:r>
      <w:r>
        <w:tab/>
      </w:r>
    </w:p>
    <w:p w14:paraId="3F273D57" w14:textId="77777777" w:rsidR="007E3373" w:rsidRPr="00B979AE" w:rsidRDefault="007E3373" w:rsidP="007E3373">
      <w:pPr>
        <w:pStyle w:val="SingleTxtG"/>
      </w:pPr>
      <w:r>
        <w:t>(…)</w:t>
      </w:r>
    </w:p>
    <w:p w14:paraId="5F68F79D" w14:textId="5DA3DDCA" w:rsidR="007E3373" w:rsidRPr="007E3373" w:rsidRDefault="007E3373" w:rsidP="007E3373">
      <w:pPr>
        <w:pStyle w:val="SingleTxtG"/>
        <w:tabs>
          <w:tab w:val="left" w:leader="dot" w:pos="8504"/>
        </w:tabs>
        <w:ind w:left="2268" w:hanging="1134"/>
        <w:rPr>
          <w:bCs/>
          <w:i/>
          <w:iCs/>
        </w:rPr>
      </w:pPr>
      <w:r>
        <w:rPr>
          <w:b/>
          <w:bCs/>
          <w:i/>
          <w:iCs/>
        </w:rPr>
        <w:t>x.y</w:t>
      </w:r>
      <w:r>
        <w:tab/>
      </w:r>
      <w:r>
        <w:rPr>
          <w:b/>
          <w:bCs/>
          <w:i/>
          <w:iCs/>
        </w:rPr>
        <w:t xml:space="preserve">RXSWIN: </w:t>
      </w:r>
      <w:r>
        <w:rPr>
          <w:b/>
          <w:bCs/>
          <w:i/>
          <w:iCs/>
        </w:rPr>
        <w:tab/>
      </w:r>
    </w:p>
    <w:p w14:paraId="58F0270A" w14:textId="77777777" w:rsidR="007E3373" w:rsidRDefault="007E3373" w:rsidP="007E3373">
      <w:pPr>
        <w:pStyle w:val="SingleTxtG"/>
        <w:tabs>
          <w:tab w:val="left" w:leader="dot" w:pos="8504"/>
        </w:tabs>
        <w:ind w:left="2268" w:hanging="1134"/>
        <w:rPr>
          <w:b/>
          <w:bCs/>
        </w:rPr>
      </w:pPr>
      <w:r>
        <w:rPr>
          <w:b/>
          <w:bCs/>
          <w:i/>
          <w:iCs/>
        </w:rPr>
        <w:t>x.y.1</w:t>
      </w:r>
      <w:r>
        <w:rPr>
          <w:b/>
          <w:bCs/>
          <w:i/>
          <w:iCs/>
        </w:rPr>
        <w:tab/>
        <w:t>Информация о том, как считать</w:t>
      </w:r>
      <w:r>
        <w:rPr>
          <w:b/>
          <w:bCs/>
        </w:rPr>
        <w:t xml:space="preserve"> </w:t>
      </w:r>
      <w:r>
        <w:rPr>
          <w:b/>
          <w:bCs/>
          <w:i/>
          <w:iCs/>
        </w:rPr>
        <w:t>RXSWIN</w:t>
      </w:r>
      <w:r>
        <w:rPr>
          <w:b/>
          <w:bCs/>
        </w:rPr>
        <w:t xml:space="preserve"> или версию(и) программного обеспечения в том случае, если в программном обеспечении транспортного средства RXSWIN не хранится: </w:t>
      </w:r>
      <w:r>
        <w:rPr>
          <w:b/>
          <w:bCs/>
        </w:rPr>
        <w:tab/>
      </w:r>
    </w:p>
    <w:p w14:paraId="10167EC8" w14:textId="77777777" w:rsidR="00F84C87" w:rsidRDefault="00F84C87" w:rsidP="007E3373">
      <w:pPr>
        <w:pStyle w:val="SingleTxtG"/>
        <w:tabs>
          <w:tab w:val="left" w:leader="dot" w:pos="8504"/>
        </w:tabs>
        <w:ind w:left="2268" w:hanging="1134"/>
        <w:rPr>
          <w:b/>
          <w:bCs/>
        </w:rPr>
      </w:pPr>
      <w:r>
        <w:rPr>
          <w:b/>
          <w:bCs/>
        </w:rPr>
        <w:tab/>
      </w:r>
      <w:r>
        <w:rPr>
          <w:b/>
          <w:bCs/>
        </w:rPr>
        <w:tab/>
      </w:r>
    </w:p>
    <w:p w14:paraId="4A0A7175" w14:textId="77777777" w:rsidR="007E3373" w:rsidRDefault="007E3373" w:rsidP="007E3373">
      <w:pPr>
        <w:pStyle w:val="SingleTxtG"/>
        <w:tabs>
          <w:tab w:val="left" w:leader="dot" w:pos="8504"/>
        </w:tabs>
        <w:ind w:left="2268" w:hanging="1134"/>
        <w:rPr>
          <w:b/>
          <w:bCs/>
          <w:i/>
          <w:iCs/>
        </w:rPr>
      </w:pPr>
      <w:r>
        <w:rPr>
          <w:b/>
          <w:bCs/>
          <w:i/>
          <w:iCs/>
        </w:rPr>
        <w:t>x.y.2</w:t>
      </w:r>
      <w:r>
        <w:rPr>
          <w:b/>
          <w:bCs/>
          <w:i/>
          <w:iCs/>
        </w:rPr>
        <w:tab/>
      </w:r>
      <w:r w:rsidRPr="007E3373">
        <w:rPr>
          <w:b/>
          <w:bCs/>
          <w:i/>
          <w:iCs/>
        </w:rPr>
        <w:t>Если это применимо, перечислите соответствующие параметры, которые позволят идентифицировать те транспортные средства, программное обеспечение которых может быть обновлено с помощью программного обеспечения на базе версии с номером RXSWIN, присвоенным на основании пункта x.y.1:</w:t>
      </w:r>
      <w:r>
        <w:rPr>
          <w:b/>
          <w:bCs/>
          <w:i/>
          <w:iCs/>
        </w:rPr>
        <w:t xml:space="preserve"> </w:t>
      </w:r>
      <w:r>
        <w:rPr>
          <w:b/>
          <w:bCs/>
          <w:i/>
          <w:iCs/>
        </w:rPr>
        <w:tab/>
      </w:r>
    </w:p>
    <w:p w14:paraId="0DAF7531" w14:textId="77777777" w:rsidR="00F84C87" w:rsidRDefault="00F84C87" w:rsidP="007E3373">
      <w:pPr>
        <w:pStyle w:val="SingleTxtG"/>
        <w:tabs>
          <w:tab w:val="left" w:leader="dot" w:pos="8504"/>
        </w:tabs>
        <w:ind w:left="2268" w:hanging="1134"/>
        <w:rPr>
          <w:b/>
          <w:bCs/>
          <w:i/>
          <w:iCs/>
        </w:rPr>
      </w:pPr>
      <w:r>
        <w:rPr>
          <w:b/>
          <w:bCs/>
          <w:i/>
          <w:iCs/>
        </w:rPr>
        <w:tab/>
      </w:r>
      <w:r>
        <w:rPr>
          <w:b/>
          <w:bCs/>
          <w:i/>
          <w:iCs/>
        </w:rPr>
        <w:tab/>
      </w:r>
    </w:p>
    <w:p w14:paraId="1F2F8A8E" w14:textId="77777777" w:rsidR="007E3373" w:rsidRPr="007E3373" w:rsidRDefault="007E3373" w:rsidP="007E3373">
      <w:pPr>
        <w:pStyle w:val="SingleTxtG"/>
        <w:spacing w:before="240" w:after="0"/>
        <w:jc w:val="center"/>
        <w:rPr>
          <w:u w:val="single"/>
        </w:rPr>
      </w:pPr>
      <w:r>
        <w:rPr>
          <w:u w:val="single"/>
        </w:rPr>
        <w:tab/>
      </w:r>
      <w:r>
        <w:rPr>
          <w:u w:val="single"/>
        </w:rPr>
        <w:tab/>
      </w:r>
      <w:r>
        <w:rPr>
          <w:u w:val="single"/>
        </w:rPr>
        <w:tab/>
      </w:r>
      <w:r>
        <w:rPr>
          <w:u w:val="single"/>
        </w:rPr>
        <w:tab/>
      </w:r>
    </w:p>
    <w:sectPr w:rsidR="007E3373" w:rsidRPr="007E3373" w:rsidSect="00876C2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6D72" w14:textId="77777777" w:rsidR="00E57B58" w:rsidRPr="00A312BC" w:rsidRDefault="00E57B58" w:rsidP="00A312BC"/>
  </w:endnote>
  <w:endnote w:type="continuationSeparator" w:id="0">
    <w:p w14:paraId="5BB8D0E4" w14:textId="77777777" w:rsidR="00E57B58" w:rsidRPr="00A312BC" w:rsidRDefault="00E57B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AAF7" w14:textId="77777777" w:rsidR="00876C2F" w:rsidRPr="00876C2F" w:rsidRDefault="00876C2F">
    <w:pPr>
      <w:pStyle w:val="a8"/>
    </w:pPr>
    <w:r w:rsidRPr="00876C2F">
      <w:rPr>
        <w:b/>
        <w:sz w:val="18"/>
      </w:rPr>
      <w:fldChar w:fldCharType="begin"/>
    </w:r>
    <w:r w:rsidRPr="00876C2F">
      <w:rPr>
        <w:b/>
        <w:sz w:val="18"/>
      </w:rPr>
      <w:instrText xml:space="preserve"> PAGE  \* MERGEFORMAT </w:instrText>
    </w:r>
    <w:r w:rsidRPr="00876C2F">
      <w:rPr>
        <w:b/>
        <w:sz w:val="18"/>
      </w:rPr>
      <w:fldChar w:fldCharType="separate"/>
    </w:r>
    <w:r w:rsidRPr="00876C2F">
      <w:rPr>
        <w:b/>
        <w:noProof/>
        <w:sz w:val="18"/>
      </w:rPr>
      <w:t>2</w:t>
    </w:r>
    <w:r w:rsidRPr="00876C2F">
      <w:rPr>
        <w:b/>
        <w:sz w:val="18"/>
      </w:rPr>
      <w:fldChar w:fldCharType="end"/>
    </w:r>
    <w:r>
      <w:rPr>
        <w:b/>
        <w:sz w:val="18"/>
      </w:rPr>
      <w:tab/>
    </w:r>
    <w:r>
      <w:t>GE.19-20568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4E48" w14:textId="77777777" w:rsidR="00876C2F" w:rsidRPr="00876C2F" w:rsidRDefault="00876C2F" w:rsidP="00876C2F">
    <w:pPr>
      <w:pStyle w:val="a8"/>
      <w:tabs>
        <w:tab w:val="clear" w:pos="9639"/>
        <w:tab w:val="right" w:pos="9638"/>
      </w:tabs>
      <w:rPr>
        <w:b/>
        <w:sz w:val="18"/>
      </w:rPr>
    </w:pPr>
    <w:r>
      <w:t>GE.19-20568</w:t>
    </w:r>
    <w:r>
      <w:tab/>
    </w:r>
    <w:r w:rsidRPr="00876C2F">
      <w:rPr>
        <w:b/>
        <w:sz w:val="18"/>
      </w:rPr>
      <w:fldChar w:fldCharType="begin"/>
    </w:r>
    <w:r w:rsidRPr="00876C2F">
      <w:rPr>
        <w:b/>
        <w:sz w:val="18"/>
      </w:rPr>
      <w:instrText xml:space="preserve"> PAGE  \* MERGEFORMAT </w:instrText>
    </w:r>
    <w:r w:rsidRPr="00876C2F">
      <w:rPr>
        <w:b/>
        <w:sz w:val="18"/>
      </w:rPr>
      <w:fldChar w:fldCharType="separate"/>
    </w:r>
    <w:r w:rsidRPr="00876C2F">
      <w:rPr>
        <w:b/>
        <w:noProof/>
        <w:sz w:val="18"/>
      </w:rPr>
      <w:t>3</w:t>
    </w:r>
    <w:r w:rsidRPr="00876C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E301" w14:textId="77777777" w:rsidR="00042B72" w:rsidRPr="00876C2F" w:rsidRDefault="00876C2F" w:rsidP="00876C2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AC6DA6B" wp14:editId="39B632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19-20568  (R)  181219  191219</w:t>
    </w:r>
    <w:r>
      <w:br/>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sidRPr="00876C2F">
      <w:rPr>
        <w:rFonts w:ascii="C39T30Lfz" w:hAnsi="C39T30Lfz"/>
        <w:kern w:val="14"/>
        <w:sz w:val="56"/>
      </w:rPr>
      <w:t></w:t>
    </w:r>
    <w:r>
      <w:rPr>
        <w:noProof/>
      </w:rPr>
      <w:drawing>
        <wp:anchor distT="0" distB="0" distL="114300" distR="114300" simplePos="0" relativeHeight="251659264" behindDoc="0" locked="0" layoutInCell="1" allowOverlap="1" wp14:anchorId="1DBA8873" wp14:editId="1811645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BBFF" w14:textId="77777777" w:rsidR="00E57B58" w:rsidRPr="001075E9" w:rsidRDefault="00E57B58" w:rsidP="001075E9">
      <w:pPr>
        <w:tabs>
          <w:tab w:val="right" w:pos="2155"/>
        </w:tabs>
        <w:spacing w:after="80" w:line="240" w:lineRule="auto"/>
        <w:ind w:left="680"/>
        <w:rPr>
          <w:u w:val="single"/>
        </w:rPr>
      </w:pPr>
      <w:r>
        <w:rPr>
          <w:u w:val="single"/>
        </w:rPr>
        <w:tab/>
      </w:r>
    </w:p>
  </w:footnote>
  <w:footnote w:type="continuationSeparator" w:id="0">
    <w:p w14:paraId="3E21FA26" w14:textId="77777777" w:rsidR="00E57B58" w:rsidRDefault="00E57B58" w:rsidP="00407B78">
      <w:pPr>
        <w:tabs>
          <w:tab w:val="right" w:pos="2155"/>
        </w:tabs>
        <w:spacing w:after="80"/>
        <w:ind w:left="680"/>
        <w:rPr>
          <w:u w:val="single"/>
        </w:rPr>
      </w:pPr>
      <w:r>
        <w:rPr>
          <w:u w:val="single"/>
        </w:rPr>
        <w:tab/>
      </w:r>
    </w:p>
  </w:footnote>
  <w:footnote w:id="1">
    <w:p w14:paraId="1ADDB14B" w14:textId="77777777" w:rsidR="007E3373" w:rsidRPr="00103296" w:rsidRDefault="007E3373" w:rsidP="007E3373">
      <w:pPr>
        <w:pStyle w:val="ad"/>
        <w:widowControl w:val="0"/>
        <w:tabs>
          <w:tab w:val="clear" w:pos="1021"/>
          <w:tab w:val="right" w:pos="1020"/>
        </w:tabs>
      </w:pPr>
      <w:r w:rsidRPr="002A521D">
        <w:tab/>
      </w:r>
      <w:r>
        <w:rPr>
          <w:rStyle w:val="aa"/>
        </w:rPr>
        <w:footnoteRef/>
      </w:r>
      <w:r w:rsidRPr="00103296">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2">
    <w:p w14:paraId="45E7589F" w14:textId="77777777" w:rsidR="00B3147E" w:rsidRPr="004F0EA8" w:rsidRDefault="00B3147E" w:rsidP="00B3147E">
      <w:pPr>
        <w:pStyle w:val="ad"/>
        <w:widowControl w:val="0"/>
        <w:tabs>
          <w:tab w:val="clear" w:pos="1021"/>
          <w:tab w:val="right" w:pos="1020"/>
        </w:tabs>
      </w:pPr>
      <w:r w:rsidRPr="00103296">
        <w:tab/>
      </w:r>
      <w:r>
        <w:rPr>
          <w:rStyle w:val="aa"/>
        </w:rPr>
        <w:footnoteRef/>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A4B9" w14:textId="41DC99EB" w:rsidR="00876C2F" w:rsidRPr="00876C2F" w:rsidRDefault="00AF6BAD">
    <w:pPr>
      <w:pStyle w:val="a5"/>
    </w:pPr>
    <w:r>
      <w:fldChar w:fldCharType="begin"/>
    </w:r>
    <w:r>
      <w:instrText xml:space="preserve"> TITLE  \* MERGEFORMAT </w:instrText>
    </w:r>
    <w:r>
      <w:fldChar w:fldCharType="separate"/>
    </w:r>
    <w:r w:rsidR="007B0700">
      <w:t>ECE/TRANS/WP.29/GRVA/2020/5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15B4" w14:textId="570984FF" w:rsidR="00876C2F" w:rsidRPr="00876C2F" w:rsidRDefault="00AF6BAD" w:rsidP="00876C2F">
    <w:pPr>
      <w:pStyle w:val="a5"/>
      <w:jc w:val="right"/>
    </w:pPr>
    <w:r>
      <w:fldChar w:fldCharType="begin"/>
    </w:r>
    <w:r>
      <w:instrText xml:space="preserve"> TITLE  \* MERGEFORMAT </w:instrText>
    </w:r>
    <w:r>
      <w:fldChar w:fldCharType="separate"/>
    </w:r>
    <w:r w:rsidR="007B0700">
      <w:t>ECE/TRANS/WP.29/GRVA/2020/5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5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84718"/>
    <w:rsid w:val="005961C8"/>
    <w:rsid w:val="005966F1"/>
    <w:rsid w:val="005D7914"/>
    <w:rsid w:val="005E2B41"/>
    <w:rsid w:val="005F0B42"/>
    <w:rsid w:val="0060430C"/>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B0700"/>
    <w:rsid w:val="007E3373"/>
    <w:rsid w:val="00806737"/>
    <w:rsid w:val="00825F8D"/>
    <w:rsid w:val="00834B71"/>
    <w:rsid w:val="0086445C"/>
    <w:rsid w:val="00876C2F"/>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2500"/>
    <w:rsid w:val="00A14DA8"/>
    <w:rsid w:val="00A312BC"/>
    <w:rsid w:val="00A84021"/>
    <w:rsid w:val="00A84D35"/>
    <w:rsid w:val="00A917B3"/>
    <w:rsid w:val="00AB4B51"/>
    <w:rsid w:val="00AF6BAD"/>
    <w:rsid w:val="00B10CC7"/>
    <w:rsid w:val="00B3147E"/>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2032"/>
    <w:rsid w:val="00D33D63"/>
    <w:rsid w:val="00D5253A"/>
    <w:rsid w:val="00D873A8"/>
    <w:rsid w:val="00D90028"/>
    <w:rsid w:val="00D90138"/>
    <w:rsid w:val="00D9145B"/>
    <w:rsid w:val="00DD78D1"/>
    <w:rsid w:val="00DE32CD"/>
    <w:rsid w:val="00DF5767"/>
    <w:rsid w:val="00DF71B9"/>
    <w:rsid w:val="00E12C5F"/>
    <w:rsid w:val="00E57B58"/>
    <w:rsid w:val="00E73F76"/>
    <w:rsid w:val="00EA2C9F"/>
    <w:rsid w:val="00EA420E"/>
    <w:rsid w:val="00ED0BDA"/>
    <w:rsid w:val="00EE142A"/>
    <w:rsid w:val="00EF1360"/>
    <w:rsid w:val="00EF3220"/>
    <w:rsid w:val="00F2523A"/>
    <w:rsid w:val="00F43144"/>
    <w:rsid w:val="00F43903"/>
    <w:rsid w:val="00F84C8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6A5F2"/>
  <w15:docId w15:val="{EC645783-AF37-48CC-878D-A048A0F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List Paragraph"/>
    <w:basedOn w:val="a"/>
    <w:uiPriority w:val="34"/>
    <w:qFormat/>
    <w:rsid w:val="00876C2F"/>
    <w:pPr>
      <w:suppressAutoHyphens w:val="0"/>
      <w:spacing w:after="200" w:line="276" w:lineRule="auto"/>
      <w:ind w:left="720"/>
      <w:contextualSpacing/>
    </w:pPr>
    <w:rPr>
      <w:rFonts w:asciiTheme="minorHAnsi" w:eastAsiaTheme="minorEastAsia" w:hAnsiTheme="minorHAnsi"/>
      <w:sz w:val="22"/>
      <w:lang w:val="en-GB" w:eastAsia="ko-KR"/>
    </w:rPr>
  </w:style>
  <w:style w:type="character" w:customStyle="1" w:styleId="H1GChar">
    <w:name w:val="_ H_1_G Char"/>
    <w:link w:val="H1G"/>
    <w:rsid w:val="00876C2F"/>
    <w:rPr>
      <w:b/>
      <w:sz w:val="24"/>
      <w:lang w:val="ru-RU" w:eastAsia="ru-RU"/>
    </w:rPr>
  </w:style>
  <w:style w:type="character" w:customStyle="1" w:styleId="SingleTxtGChar">
    <w:name w:val="_ Single Txt_G Char"/>
    <w:basedOn w:val="a0"/>
    <w:link w:val="SingleTxtG"/>
    <w:rsid w:val="00876C2F"/>
    <w:rPr>
      <w:lang w:val="ru-RU" w:eastAsia="en-US"/>
    </w:rPr>
  </w:style>
  <w:style w:type="character" w:customStyle="1" w:styleId="HChGChar">
    <w:name w:val="_ H _Ch_G Char"/>
    <w:link w:val="HChG"/>
    <w:rsid w:val="00876C2F"/>
    <w:rPr>
      <w:b/>
      <w:sz w:val="28"/>
      <w:lang w:val="ru-RU" w:eastAsia="ru-RU"/>
    </w:rPr>
  </w:style>
  <w:style w:type="paragraph" w:customStyle="1" w:styleId="SingleTxtGR">
    <w:name w:val="_ Single Txt_GR"/>
    <w:basedOn w:val="a"/>
    <w:link w:val="SingleTxtGR0"/>
    <w:qFormat/>
    <w:rsid w:val="00A0250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A02500"/>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822</Words>
  <Characters>6534</Characters>
  <Application>Microsoft Office Word</Application>
  <DocSecurity>0</DocSecurity>
  <Lines>163</Lines>
  <Paragraphs>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ECE/TRANS/WP.29/GRVA/2020/5</vt:lpstr>
      <vt:lpstr>A/</vt:lpstr>
      <vt:lpstr>A/</vt:lpstr>
    </vt:vector>
  </TitlesOfParts>
  <Company>DCM</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ECE/TRANS/WP.29/GRVA/2020/5</dc:title>
  <dc:subject/>
  <dc:creator>Uliana ANTIPOVA</dc:creator>
  <cp:keywords/>
  <cp:lastModifiedBy>Uliana ANTIPOVA</cp:lastModifiedBy>
  <cp:revision>4</cp:revision>
  <cp:lastPrinted>2019-12-19T07:50:00Z</cp:lastPrinted>
  <dcterms:created xsi:type="dcterms:W3CDTF">2019-12-19T07:50:00Z</dcterms:created>
  <dcterms:modified xsi:type="dcterms:W3CDTF">2019-12-19T07:51:00Z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