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C666" w14:textId="77777777" w:rsidR="005A12EF" w:rsidRDefault="00522E66" w:rsidP="005A12EF">
      <w:pPr>
        <w:jc w:val="center"/>
      </w:pPr>
      <w:r>
        <w:t>GRSG TF on FVA</w:t>
      </w:r>
      <w:r w:rsidR="005A12EF">
        <w:t xml:space="preserve"> – Kick off Meeting</w:t>
      </w:r>
    </w:p>
    <w:p w14:paraId="5CF91B4F" w14:textId="77777777" w:rsidR="007F1CE1" w:rsidRDefault="00522E66" w:rsidP="005A12EF">
      <w:pPr>
        <w:jc w:val="center"/>
      </w:pPr>
      <w:r>
        <w:t>Notes</w:t>
      </w:r>
    </w:p>
    <w:p w14:paraId="5B998109" w14:textId="77777777" w:rsidR="00522E66" w:rsidRDefault="00522E66">
      <w:r>
        <w:t>Date: 08.09.2020 2:00PM</w:t>
      </w:r>
    </w:p>
    <w:p w14:paraId="2AF82038" w14:textId="77777777" w:rsidR="00522E66" w:rsidRDefault="00522E66">
      <w:r>
        <w:t>Participants:</w:t>
      </w:r>
    </w:p>
    <w:tbl>
      <w:tblPr>
        <w:tblW w:w="9406" w:type="dxa"/>
        <w:tblInd w:w="-5" w:type="dxa"/>
        <w:tblLook w:val="04A0" w:firstRow="1" w:lastRow="0" w:firstColumn="1" w:lastColumn="0" w:noHBand="0" w:noVBand="1"/>
      </w:tblPr>
      <w:tblGrid>
        <w:gridCol w:w="7036"/>
        <w:gridCol w:w="2370"/>
      </w:tblGrid>
      <w:tr w:rsidR="00522E66" w:rsidRPr="00522E66" w14:paraId="55C6C7BE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D80B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Olivier Fontaine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CD59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</w:t>
            </w:r>
          </w:p>
        </w:tc>
      </w:tr>
      <w:tr w:rsidR="00522E66" w:rsidRPr="00522E66" w14:paraId="781CBC2F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99E4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David Francis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9FD0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OICA-SMMT</w:t>
            </w:r>
          </w:p>
        </w:tc>
      </w:tr>
      <w:tr w:rsidR="00522E66" w:rsidRPr="00522E66" w14:paraId="129E6C70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5E2D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 xml:space="preserve">BENOIT MOREAU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84A5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OICA-PSA</w:t>
            </w:r>
          </w:p>
        </w:tc>
      </w:tr>
      <w:tr w:rsidR="00522E66" w:rsidRPr="00522E66" w14:paraId="0B7911C6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AFFF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proofErr w:type="spellStart"/>
            <w:r w:rsidRPr="00522E66">
              <w:rPr>
                <w:rFonts w:ascii="Calibri" w:eastAsia="Times New Roman" w:hAnsi="Calibri" w:cs="Calibri" w:hint="eastAsia"/>
                <w:color w:val="000000"/>
                <w:sz w:val="14"/>
              </w:rPr>
              <w:t>A</w:t>
            </w: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kinari</w:t>
            </w:r>
            <w:proofErr w:type="spellEnd"/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 xml:space="preserve"> </w:t>
            </w:r>
            <w:proofErr w:type="spellStart"/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Hirao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A306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OICA-JAMA</w:t>
            </w:r>
          </w:p>
        </w:tc>
      </w:tr>
      <w:tr w:rsidR="00522E66" w:rsidRPr="00522E66" w14:paraId="7F10CF15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7E52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 xml:space="preserve">ALEXANDRA-BRIGITTE SCHOLZ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BC4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OICA-PSA</w:t>
            </w:r>
          </w:p>
        </w:tc>
      </w:tr>
      <w:tr w:rsidR="00522E66" w:rsidRPr="00522E66" w14:paraId="08E02EE1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5383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 xml:space="preserve">Rania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</w:rPr>
              <w:t>Kiesow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E3B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Germany-KBA</w:t>
            </w:r>
          </w:p>
        </w:tc>
      </w:tr>
      <w:tr w:rsidR="00522E66" w:rsidRPr="00522E66" w14:paraId="76E1E39E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2184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Bruce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C23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Korea-KATRI</w:t>
            </w:r>
          </w:p>
        </w:tc>
      </w:tr>
      <w:tr w:rsidR="00522E66" w:rsidRPr="00522E66" w14:paraId="7F51248B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1A7C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val="de-DE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  <w:lang w:val="de-DE"/>
              </w:rPr>
              <w:t xml:space="preserve">Hyoung Gu, Kim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EB13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Korea-KATRI</w:t>
            </w:r>
          </w:p>
        </w:tc>
      </w:tr>
      <w:tr w:rsidR="00522E66" w:rsidRPr="00522E66" w14:paraId="6C0E8713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F73C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val="de-DE"/>
              </w:rPr>
              <w:t>Tatsuya Ota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3B0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OICA-JAMA</w:t>
            </w:r>
          </w:p>
        </w:tc>
      </w:tr>
      <w:tr w:rsidR="00522E66" w:rsidRPr="00522E66" w14:paraId="4CDA41CF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D054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val="de-DE"/>
              </w:rPr>
            </w:pPr>
            <w:r w:rsidRPr="005A12EF">
              <w:rPr>
                <w:rFonts w:ascii="Calibri" w:eastAsia="Times New Roman" w:hAnsi="Calibri" w:cs="Calibri"/>
                <w:color w:val="000000"/>
                <w:sz w:val="14"/>
                <w:lang w:val="de-DE"/>
              </w:rPr>
              <w:t>Ansgar Pott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D3B3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OICA-Hyundai</w:t>
            </w:r>
          </w:p>
        </w:tc>
      </w:tr>
      <w:tr w:rsidR="00522E66" w:rsidRPr="00522E66" w14:paraId="5518CE12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B7C7C" w14:textId="77777777" w:rsidR="00522E66" w:rsidRPr="00522E66" w:rsidRDefault="005A12EF" w:rsidP="005A1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val="de-DE"/>
              </w:rPr>
              <w:t>Moosong Pyun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9C87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Korea-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</w:rPr>
              <w:t>Kikas</w:t>
            </w:r>
            <w:proofErr w:type="spellEnd"/>
          </w:p>
        </w:tc>
      </w:tr>
      <w:tr w:rsidR="00522E66" w:rsidRPr="00522E66" w14:paraId="1B5D1D98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5917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lang w:val="de-DE"/>
              </w:rPr>
              <w:t>Kilho Maeng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84F3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Korea-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</w:rPr>
              <w:t>Katri</w:t>
            </w:r>
            <w:proofErr w:type="spellEnd"/>
          </w:p>
        </w:tc>
      </w:tr>
      <w:tr w:rsidR="00522E66" w:rsidRPr="00522E66" w14:paraId="4C09DC68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165A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 xml:space="preserve">Marc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</w:rPr>
              <w:t>Larouche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5523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BRP</w:t>
            </w:r>
          </w:p>
        </w:tc>
      </w:tr>
      <w:tr w:rsidR="00522E66" w:rsidRPr="00522E66" w14:paraId="726A2C7F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6091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PHAN Vuthy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6BE6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OICA-Renault</w:t>
            </w:r>
          </w:p>
        </w:tc>
      </w:tr>
      <w:tr w:rsidR="00522E66" w:rsidRPr="00522E66" w14:paraId="7BD38AD8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EB16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Perl, Andreas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9B03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OICA-VDA</w:t>
            </w:r>
          </w:p>
        </w:tc>
      </w:tr>
      <w:tr w:rsidR="00522E66" w:rsidRPr="00522E66" w14:paraId="505988D5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689E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 xml:space="preserve">Francesco </w:t>
            </w:r>
            <w:proofErr w:type="spellStart"/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Siano</w:t>
            </w:r>
            <w:proofErr w:type="spellEnd"/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 xml:space="preserve"> (Guest)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61D3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OICA-GM</w:t>
            </w:r>
          </w:p>
        </w:tc>
      </w:tr>
      <w:tr w:rsidR="00522E66" w:rsidRPr="00522E66" w14:paraId="4EE77E36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187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LADRET PICIORUS Romain (GROW)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8BF8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European Commission</w:t>
            </w:r>
          </w:p>
        </w:tc>
      </w:tr>
      <w:tr w:rsidR="00522E66" w:rsidRPr="00522E66" w14:paraId="0E32C57F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C4A5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Marcus (Gast)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BE69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OICA-Audi</w:t>
            </w:r>
          </w:p>
        </w:tc>
      </w:tr>
      <w:tr w:rsidR="00522E66" w:rsidRPr="00522E66" w14:paraId="192721BF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CA6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Rudolf Gerlach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1908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 xml:space="preserve">Germany-TÜV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</w:rPr>
              <w:t>Rheinland</w:t>
            </w:r>
            <w:proofErr w:type="spellEnd"/>
          </w:p>
        </w:tc>
      </w:tr>
      <w:tr w:rsidR="00522E66" w:rsidRPr="00522E66" w14:paraId="2ABB1C55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6E10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Lehner, Barbara (EVFT)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0ED6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OICA-MAN</w:t>
            </w:r>
          </w:p>
        </w:tc>
      </w:tr>
      <w:tr w:rsidR="00522E66" w:rsidRPr="00522E66" w14:paraId="284B83E6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B4A1" w14:textId="77777777" w:rsidR="00522E66" w:rsidRPr="003952C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val="de-DE"/>
              </w:rPr>
            </w:pPr>
            <w:r w:rsidRPr="003952C6">
              <w:rPr>
                <w:rFonts w:ascii="Calibri" w:eastAsia="Times New Roman" w:hAnsi="Calibri" w:cs="Calibri"/>
                <w:color w:val="000000"/>
                <w:sz w:val="14"/>
                <w:lang w:val="de-DE"/>
              </w:rPr>
              <w:t>Mahieddine Bellebna (Mercedes-Benz AG) (Gast)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76D4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OICA-Daimler Benz</w:t>
            </w:r>
          </w:p>
        </w:tc>
      </w:tr>
      <w:tr w:rsidR="00522E66" w:rsidRPr="00522E66" w14:paraId="7BB83702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E312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proofErr w:type="spellStart"/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Schaber</w:t>
            </w:r>
            <w:proofErr w:type="spellEnd"/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, Lisa (ETB/1)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258C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OICA-Volkswagen</w:t>
            </w:r>
          </w:p>
        </w:tc>
      </w:tr>
      <w:tr w:rsidR="00522E66" w:rsidRPr="00522E66" w14:paraId="075BC819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4F0C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 xml:space="preserve">Julian </w:t>
            </w:r>
            <w:proofErr w:type="spellStart"/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Brouté</w:t>
            </w:r>
            <w:proofErr w:type="spellEnd"/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 xml:space="preserve"> de </w:t>
            </w:r>
            <w:proofErr w:type="spellStart"/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Hita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B00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ANFAG</w:t>
            </w:r>
          </w:p>
        </w:tc>
      </w:tr>
      <w:tr w:rsidR="00522E66" w:rsidRPr="00522E66" w14:paraId="24D0D731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2A4A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Masahiro Oda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5677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CLEPA-Denso</w:t>
            </w:r>
          </w:p>
        </w:tc>
      </w:tr>
      <w:tr w:rsidR="00522E66" w:rsidRPr="00522E66" w14:paraId="424271D2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42F9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Lammers, Hans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31EE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The Netherlands - RDW</w:t>
            </w:r>
          </w:p>
        </w:tc>
      </w:tr>
      <w:tr w:rsidR="00522E66" w:rsidRPr="00522E66" w14:paraId="151A5C00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5098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Justo Sancho (</w:t>
            </w:r>
            <w:proofErr w:type="spellStart"/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Invitado</w:t>
            </w:r>
            <w:proofErr w:type="spellEnd"/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9FBF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jsalpanes@dgt.es</w:t>
            </w:r>
          </w:p>
        </w:tc>
      </w:tr>
      <w:tr w:rsidR="005A12EF" w:rsidRPr="00522E66" w14:paraId="7F36F898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17FC" w14:textId="77777777" w:rsidR="005A12EF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A12EF">
              <w:rPr>
                <w:rFonts w:ascii="Calibri" w:eastAsia="Times New Roman" w:hAnsi="Calibri" w:cs="Calibri"/>
                <w:color w:val="000000"/>
                <w:sz w:val="14"/>
              </w:rPr>
              <w:t xml:space="preserve">Ramon </w:t>
            </w:r>
            <w:proofErr w:type="spellStart"/>
            <w:r w:rsidRPr="005A12EF">
              <w:rPr>
                <w:rFonts w:ascii="Calibri" w:eastAsia="Times New Roman" w:hAnsi="Calibri" w:cs="Calibri"/>
                <w:color w:val="000000"/>
                <w:sz w:val="14"/>
              </w:rPr>
              <w:t>Gouweleeuw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E9EC" w14:textId="77777777" w:rsidR="005A12EF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The Netherlands - RDW</w:t>
            </w:r>
          </w:p>
        </w:tc>
      </w:tr>
      <w:tr w:rsidR="00522E66" w:rsidRPr="00522E66" w14:paraId="1F81D825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D4C7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Mohit Tyagi (ACEA) (Guest)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658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OICA-ACEA</w:t>
            </w:r>
          </w:p>
        </w:tc>
      </w:tr>
      <w:tr w:rsidR="005A12EF" w:rsidRPr="00522E66" w14:paraId="0A6926DA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DC5AD" w14:textId="77777777" w:rsidR="005A12EF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A12EF">
              <w:rPr>
                <w:rFonts w:ascii="Calibri" w:eastAsia="Times New Roman" w:hAnsi="Calibri" w:cs="Calibri"/>
                <w:color w:val="000000"/>
                <w:sz w:val="14"/>
              </w:rPr>
              <w:t>Justo Sancho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6D90" w14:textId="77777777" w:rsidR="005A12EF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Spain - DGT</w:t>
            </w:r>
          </w:p>
        </w:tc>
      </w:tr>
      <w:tr w:rsidR="00522E66" w:rsidRPr="00522E66" w14:paraId="440E5D22" w14:textId="77777777" w:rsidTr="005A12EF">
        <w:trPr>
          <w:trHeight w:val="14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1E22" w14:textId="77777777" w:rsidR="00522E66" w:rsidRPr="00522E66" w:rsidRDefault="00522E66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 xml:space="preserve">Mueller von </w:t>
            </w:r>
            <w:proofErr w:type="spellStart"/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Kralik</w:t>
            </w:r>
            <w:proofErr w:type="spellEnd"/>
            <w:r w:rsidRPr="00522E66">
              <w:rPr>
                <w:rFonts w:ascii="Calibri" w:eastAsia="Times New Roman" w:hAnsi="Calibri" w:cs="Calibri"/>
                <w:color w:val="000000"/>
                <w:sz w:val="14"/>
              </w:rPr>
              <w:t>, Stephan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ED3E" w14:textId="77777777" w:rsidR="00522E66" w:rsidRPr="00522E66" w:rsidRDefault="005A12EF" w:rsidP="00522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</w:rPr>
              <w:t>CLEPA-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</w:rPr>
              <w:t>Webasto</w:t>
            </w:r>
            <w:proofErr w:type="spellEnd"/>
          </w:p>
        </w:tc>
      </w:tr>
    </w:tbl>
    <w:p w14:paraId="7617B39F" w14:textId="77777777" w:rsidR="00522E66" w:rsidRDefault="00522E66"/>
    <w:p w14:paraId="0652C58A" w14:textId="77777777" w:rsidR="00522E66" w:rsidRDefault="00522E66"/>
    <w:p w14:paraId="3070EC77" w14:textId="77777777" w:rsidR="00522E66" w:rsidRPr="004A53BC" w:rsidRDefault="004A53BC" w:rsidP="003952C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Background</w:t>
      </w:r>
    </w:p>
    <w:p w14:paraId="772C66F2" w14:textId="77777777" w:rsidR="003952C6" w:rsidRDefault="003952C6" w:rsidP="00AD02D8">
      <w:pPr>
        <w:pStyle w:val="ListParagraph"/>
        <w:numPr>
          <w:ilvl w:val="0"/>
          <w:numId w:val="5"/>
        </w:numPr>
      </w:pPr>
      <w:r>
        <w:t>Based on discussions with Type Approval Authorities, OICA asked GRSG</w:t>
      </w:r>
      <w:r w:rsidR="00AD02D8">
        <w:t xml:space="preserve"> during its 118</w:t>
      </w:r>
      <w:r w:rsidR="00AD02D8" w:rsidRPr="00AD02D8">
        <w:rPr>
          <w:vertAlign w:val="superscript"/>
        </w:rPr>
        <w:t>th</w:t>
      </w:r>
      <w:r w:rsidR="00AD02D8">
        <w:t xml:space="preserve"> session </w:t>
      </w:r>
      <w:r>
        <w:t xml:space="preserve">to clarify the legal situation in case of extended Head Up Displays with document </w:t>
      </w:r>
      <w:hyperlink r:id="rId10" w:history="1">
        <w:r w:rsidRPr="00AD02D8">
          <w:rPr>
            <w:rStyle w:val="Hyperlink"/>
          </w:rPr>
          <w:t>GRSG/2020/12</w:t>
        </w:r>
      </w:hyperlink>
      <w:r w:rsidR="00AD02D8">
        <w:t xml:space="preserve"> (the discussion was started by OICA during GRSG-116 with </w:t>
      </w:r>
      <w:hyperlink r:id="rId11" w:history="1">
        <w:r w:rsidR="00AD02D8" w:rsidRPr="00AD02D8">
          <w:rPr>
            <w:rStyle w:val="Hyperlink"/>
          </w:rPr>
          <w:t>GRSG-117-27</w:t>
        </w:r>
      </w:hyperlink>
      <w:r w:rsidR="00AD02D8">
        <w:t>).</w:t>
      </w:r>
    </w:p>
    <w:p w14:paraId="7D764A52" w14:textId="77777777" w:rsidR="00AD02D8" w:rsidRDefault="00AD02D8" w:rsidP="00AD02D8">
      <w:pPr>
        <w:pStyle w:val="ListParagraph"/>
        <w:numPr>
          <w:ilvl w:val="0"/>
          <w:numId w:val="5"/>
        </w:numPr>
      </w:pPr>
      <w:r>
        <w:t xml:space="preserve">During GRSG-118, NL informed to be in favor of </w:t>
      </w:r>
      <w:r w:rsidR="004A53BC">
        <w:t xml:space="preserve">provisions for such systems. This was supported by several CPs like Germany, France and UK. NL also informed that they are currently refusing approvals if an extended HUD is </w:t>
      </w:r>
      <w:r w:rsidR="00062B5C">
        <w:t>installed</w:t>
      </w:r>
      <w:r w:rsidR="004A53BC">
        <w:t xml:space="preserve"> while other Type Approval Authorities have granted approvals to UN R 125 for vehicles having such a system.</w:t>
      </w:r>
    </w:p>
    <w:p w14:paraId="3E0E2818" w14:textId="77777777" w:rsidR="004A53BC" w:rsidRDefault="004A53BC" w:rsidP="00AD02D8">
      <w:pPr>
        <w:pStyle w:val="ListParagraph"/>
        <w:numPr>
          <w:ilvl w:val="0"/>
          <w:numId w:val="5"/>
        </w:numPr>
      </w:pPr>
      <w:r>
        <w:t>GRSG agreed to further review and discuss this question in a dedicated TF and asked OICA to organize the Kick-Off meeting.</w:t>
      </w:r>
    </w:p>
    <w:p w14:paraId="402507BF" w14:textId="77777777" w:rsidR="00AD02D8" w:rsidRDefault="00AD02D8" w:rsidP="003952C6">
      <w:pPr>
        <w:pStyle w:val="ListParagraph"/>
      </w:pPr>
    </w:p>
    <w:p w14:paraId="67A6FADC" w14:textId="77777777" w:rsidR="003952C6" w:rsidRPr="004A53BC" w:rsidRDefault="004A53BC" w:rsidP="003952C6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rPr>
          <w:b/>
          <w:u w:val="single"/>
        </w:rPr>
        <w:t>Organis</w:t>
      </w:r>
      <w:r w:rsidRPr="004A53BC">
        <w:rPr>
          <w:b/>
          <w:u w:val="single"/>
        </w:rPr>
        <w:t>ation</w:t>
      </w:r>
      <w:proofErr w:type="spellEnd"/>
    </w:p>
    <w:p w14:paraId="0BF2A6E9" w14:textId="77777777" w:rsidR="004A53BC" w:rsidRDefault="004A53BC" w:rsidP="007B7C25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lastRenderedPageBreak/>
        <w:t xml:space="preserve">Mr. Ramon </w:t>
      </w:r>
      <w:proofErr w:type="spellStart"/>
      <w:r>
        <w:t>Gouweleeuw</w:t>
      </w:r>
      <w:proofErr w:type="spellEnd"/>
      <w:r>
        <w:t xml:space="preserve"> (RDW) volunteered to act as the chair of this TF and Mr. Ansgar Pott (OICA-Hyundai) </w:t>
      </w:r>
      <w:r w:rsidR="00062B5C">
        <w:t>volunteered</w:t>
      </w:r>
      <w:r>
        <w:t xml:space="preserve"> as secretary. The TF members agreed.</w:t>
      </w:r>
    </w:p>
    <w:p w14:paraId="76F9FC14" w14:textId="77777777" w:rsidR="004A53BC" w:rsidRDefault="004A53BC" w:rsidP="004A53BC">
      <w:pPr>
        <w:pStyle w:val="ListParagraph"/>
        <w:numPr>
          <w:ilvl w:val="0"/>
          <w:numId w:val="5"/>
        </w:numPr>
      </w:pPr>
      <w:r>
        <w:t>Interested experts are invited to join the discussions and are asked to submit their contact data to A. Pott (</w:t>
      </w:r>
      <w:hyperlink r:id="rId12" w:history="1">
        <w:r w:rsidRPr="00A05220">
          <w:rPr>
            <w:rStyle w:val="Hyperlink"/>
          </w:rPr>
          <w:t>apott@hyundai-europe.com</w:t>
        </w:r>
      </w:hyperlink>
      <w:r>
        <w:t>). He will set up a mailing list for further communication.</w:t>
      </w:r>
    </w:p>
    <w:p w14:paraId="6F487762" w14:textId="77777777" w:rsidR="004A53BC" w:rsidRDefault="004A53BC" w:rsidP="004A53BC">
      <w:pPr>
        <w:pStyle w:val="ListParagraph"/>
        <w:ind w:left="1440"/>
      </w:pPr>
    </w:p>
    <w:p w14:paraId="4A18EF00" w14:textId="77777777" w:rsidR="003952C6" w:rsidRPr="004A53BC" w:rsidRDefault="003952C6" w:rsidP="003952C6">
      <w:pPr>
        <w:pStyle w:val="ListParagraph"/>
        <w:numPr>
          <w:ilvl w:val="0"/>
          <w:numId w:val="1"/>
        </w:numPr>
        <w:rPr>
          <w:b/>
          <w:u w:val="single"/>
        </w:rPr>
      </w:pPr>
      <w:r w:rsidRPr="004A53BC">
        <w:rPr>
          <w:b/>
          <w:u w:val="single"/>
        </w:rPr>
        <w:t>Legal Situation Today</w:t>
      </w:r>
    </w:p>
    <w:p w14:paraId="3995AB57" w14:textId="77777777" w:rsidR="006E77AD" w:rsidRDefault="006E77AD" w:rsidP="004A53BC">
      <w:pPr>
        <w:pStyle w:val="ListParagraph"/>
        <w:ind w:left="1440" w:firstLine="360"/>
      </w:pPr>
      <w:r>
        <w:t xml:space="preserve">Document:   </w:t>
      </w:r>
      <w:r>
        <w:object w:dxaOrig="1508" w:dyaOrig="985" w14:anchorId="5CA11B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13" o:title=""/>
          </v:shape>
          <o:OLEObject Type="Embed" ProgID="Acrobat.Document.DC" ShapeID="_x0000_i1025" DrawAspect="Icon" ObjectID="_1663603851" r:id="rId14"/>
        </w:object>
      </w:r>
    </w:p>
    <w:p w14:paraId="3DDB085D" w14:textId="77777777" w:rsidR="006E77AD" w:rsidRDefault="006E77AD" w:rsidP="006E77AD">
      <w:pPr>
        <w:pStyle w:val="ListParagraph"/>
        <w:numPr>
          <w:ilvl w:val="0"/>
          <w:numId w:val="3"/>
        </w:numPr>
      </w:pPr>
      <w:r>
        <w:t>RDW informed about their questions to EU-TAAM (document attached) on the consideration of Augmented Reality for UN R125 approvals:</w:t>
      </w:r>
    </w:p>
    <w:p w14:paraId="16DCB6DF" w14:textId="77777777" w:rsidR="006E77AD" w:rsidRPr="006E77AD" w:rsidRDefault="006E77AD" w:rsidP="006E77AD">
      <w:pPr>
        <w:pStyle w:val="ListParagraph"/>
        <w:numPr>
          <w:ilvl w:val="0"/>
          <w:numId w:val="4"/>
        </w:numPr>
        <w:rPr>
          <w:i/>
          <w:sz w:val="18"/>
        </w:rPr>
      </w:pPr>
      <w:r w:rsidRPr="006E77AD">
        <w:rPr>
          <w:i/>
          <w:sz w:val="18"/>
        </w:rPr>
        <w:t xml:space="preserve">Do you consider these projections “obstructions” as described in article 5.1.3.? </w:t>
      </w:r>
    </w:p>
    <w:p w14:paraId="2C604FBF" w14:textId="77777777" w:rsidR="006E77AD" w:rsidRPr="006E77AD" w:rsidRDefault="006E77AD" w:rsidP="006E77AD">
      <w:pPr>
        <w:pStyle w:val="ListParagraph"/>
        <w:numPr>
          <w:ilvl w:val="0"/>
          <w:numId w:val="4"/>
        </w:numPr>
        <w:rPr>
          <w:i/>
          <w:sz w:val="18"/>
        </w:rPr>
      </w:pPr>
      <w:r w:rsidRPr="006E77AD">
        <w:rPr>
          <w:i/>
          <w:sz w:val="18"/>
        </w:rPr>
        <w:t>Did you issue any WVTA according to 2007/46 w</w:t>
      </w:r>
      <w:r>
        <w:rPr>
          <w:i/>
          <w:sz w:val="18"/>
        </w:rPr>
        <w:t>ith a form of Augmented Reality</w:t>
      </w:r>
      <w:r w:rsidRPr="006E77AD">
        <w:rPr>
          <w:i/>
          <w:sz w:val="18"/>
        </w:rPr>
        <w:t xml:space="preserve">?  </w:t>
      </w:r>
    </w:p>
    <w:p w14:paraId="05E017D9" w14:textId="77777777" w:rsidR="006E77AD" w:rsidRPr="006E77AD" w:rsidRDefault="006E77AD" w:rsidP="006E77AD">
      <w:pPr>
        <w:pStyle w:val="ListParagraph"/>
        <w:numPr>
          <w:ilvl w:val="0"/>
          <w:numId w:val="4"/>
        </w:numPr>
        <w:rPr>
          <w:i/>
          <w:sz w:val="18"/>
        </w:rPr>
      </w:pPr>
      <w:r w:rsidRPr="006E77AD">
        <w:rPr>
          <w:i/>
          <w:sz w:val="18"/>
        </w:rPr>
        <w:t>If the answer to Q2 is yes, what were the condition</w:t>
      </w:r>
      <w:r>
        <w:rPr>
          <w:i/>
          <w:sz w:val="18"/>
        </w:rPr>
        <w:t>s of approval</w:t>
      </w:r>
      <w:r w:rsidRPr="006E77AD">
        <w:rPr>
          <w:i/>
          <w:sz w:val="18"/>
        </w:rPr>
        <w:t xml:space="preserve">? </w:t>
      </w:r>
    </w:p>
    <w:p w14:paraId="00FFA1EC" w14:textId="77777777" w:rsidR="006E77AD" w:rsidRPr="006E77AD" w:rsidRDefault="006E77AD" w:rsidP="006E77AD">
      <w:pPr>
        <w:pStyle w:val="ListParagraph"/>
        <w:numPr>
          <w:ilvl w:val="0"/>
          <w:numId w:val="4"/>
        </w:numPr>
        <w:rPr>
          <w:i/>
          <w:sz w:val="18"/>
        </w:rPr>
      </w:pPr>
      <w:r w:rsidRPr="006E77AD">
        <w:rPr>
          <w:i/>
          <w:sz w:val="18"/>
        </w:rPr>
        <w:t xml:space="preserve">If </w:t>
      </w:r>
      <w:r>
        <w:rPr>
          <w:i/>
          <w:sz w:val="18"/>
        </w:rPr>
        <w:t>the answer to Q2 is no, why not</w:t>
      </w:r>
      <w:r w:rsidRPr="006E77AD">
        <w:rPr>
          <w:i/>
          <w:sz w:val="18"/>
        </w:rPr>
        <w:t>?</w:t>
      </w:r>
    </w:p>
    <w:p w14:paraId="69F39626" w14:textId="77777777" w:rsidR="006E77AD" w:rsidRDefault="006E77AD" w:rsidP="006E77AD">
      <w:pPr>
        <w:pStyle w:val="ListParagraph"/>
        <w:numPr>
          <w:ilvl w:val="0"/>
          <w:numId w:val="3"/>
        </w:numPr>
      </w:pPr>
      <w:r>
        <w:t>NL received only few answers from other Type Approval Authorities but these answers showed that an extended HUD is seen as obstruction</w:t>
      </w:r>
      <w:r w:rsidR="002666B5">
        <w:t>.</w:t>
      </w:r>
    </w:p>
    <w:p w14:paraId="40D43195" w14:textId="77777777" w:rsidR="002666B5" w:rsidRDefault="002666B5" w:rsidP="006E77AD">
      <w:pPr>
        <w:pStyle w:val="ListParagraph"/>
        <w:numPr>
          <w:ilvl w:val="0"/>
          <w:numId w:val="3"/>
        </w:numPr>
      </w:pPr>
      <w:r>
        <w:t xml:space="preserve">NL </w:t>
      </w:r>
      <w:r w:rsidR="00DB15EA">
        <w:t>sees the</w:t>
      </w:r>
      <w:r>
        <w:t xml:space="preserve"> m</w:t>
      </w:r>
      <w:r w:rsidR="00DB15EA">
        <w:t>ain key in current discussion in</w:t>
      </w:r>
      <w:r>
        <w:t xml:space="preserve"> the question if such information </w:t>
      </w:r>
      <w:r w:rsidR="00062B5C">
        <w:t>-</w:t>
      </w:r>
      <w:r>
        <w:t>given to the driver via an extended HUD</w:t>
      </w:r>
      <w:r w:rsidR="00062B5C">
        <w:t>-</w:t>
      </w:r>
      <w:r>
        <w:t xml:space="preserve"> can be seen as obstruction or not</w:t>
      </w:r>
      <w:r w:rsidR="00AD02D8">
        <w:t xml:space="preserve">. If it is not seen as an obstruction it will </w:t>
      </w:r>
      <w:r w:rsidR="00DB15EA">
        <w:t xml:space="preserve">consequently </w:t>
      </w:r>
      <w:r w:rsidR="00AD02D8">
        <w:t>not be further reviewed during the R125 approval process</w:t>
      </w:r>
      <w:r w:rsidR="00DB15EA">
        <w:t>. T</w:t>
      </w:r>
      <w:r w:rsidR="00AD02D8">
        <w:t>his will most likely result in the situation that some Authorities are granting an approval to 125 while others are refusing. RDW</w:t>
      </w:r>
      <w:r>
        <w:t xml:space="preserve"> proposed to </w:t>
      </w:r>
      <w:r w:rsidR="00AD02D8">
        <w:t xml:space="preserve">define in </w:t>
      </w:r>
      <w:r w:rsidR="00062B5C">
        <w:t xml:space="preserve">a </w:t>
      </w:r>
      <w:r w:rsidR="00AD02D8">
        <w:t>first step “obstructions”.</w:t>
      </w:r>
    </w:p>
    <w:p w14:paraId="277EF726" w14:textId="77777777" w:rsidR="00AD02D8" w:rsidRDefault="00AD02D8" w:rsidP="006E77AD">
      <w:pPr>
        <w:pStyle w:val="ListParagraph"/>
        <w:numPr>
          <w:ilvl w:val="0"/>
          <w:numId w:val="3"/>
        </w:numPr>
      </w:pPr>
      <w:r>
        <w:t>OICA volunteered to further review and to work out with RDW a proposal for the definition of obstructions until next TF meeting.</w:t>
      </w:r>
    </w:p>
    <w:p w14:paraId="4CDC345C" w14:textId="77777777" w:rsidR="006E77AD" w:rsidRDefault="006E77AD" w:rsidP="006E77AD">
      <w:pPr>
        <w:pStyle w:val="ListParagraph"/>
        <w:numPr>
          <w:ilvl w:val="0"/>
          <w:numId w:val="3"/>
        </w:numPr>
      </w:pPr>
      <w:r>
        <w:t xml:space="preserve">KATRI informed that discussions on </w:t>
      </w:r>
      <w:r w:rsidR="00AD02D8">
        <w:t xml:space="preserve">an extended </w:t>
      </w:r>
      <w:r>
        <w:t>AR-HUD started also for the Korean market.</w:t>
      </w:r>
      <w:r w:rsidR="00DB15EA">
        <w:t xml:space="preserve"> KATRI will give more information during next TF meeting</w:t>
      </w:r>
    </w:p>
    <w:p w14:paraId="36D1992B" w14:textId="77777777" w:rsidR="00DB15EA" w:rsidRDefault="00DB15EA" w:rsidP="00DB15EA">
      <w:pPr>
        <w:pStyle w:val="ListParagraph"/>
        <w:ind w:left="1800"/>
      </w:pPr>
    </w:p>
    <w:p w14:paraId="21EDE81B" w14:textId="77777777" w:rsidR="003952C6" w:rsidRPr="00DB15EA" w:rsidRDefault="00DB15EA" w:rsidP="00DB15EA">
      <w:pPr>
        <w:pStyle w:val="ListParagraph"/>
        <w:numPr>
          <w:ilvl w:val="0"/>
          <w:numId w:val="1"/>
        </w:numPr>
        <w:rPr>
          <w:b/>
          <w:u w:val="single"/>
        </w:rPr>
      </w:pPr>
      <w:r w:rsidRPr="00DB15EA">
        <w:rPr>
          <w:b/>
          <w:u w:val="single"/>
        </w:rPr>
        <w:t>Discussion on document GRSG/2020/12</w:t>
      </w:r>
    </w:p>
    <w:p w14:paraId="3EEE1359" w14:textId="77777777" w:rsidR="003952C6" w:rsidRPr="004534CD" w:rsidRDefault="004534CD" w:rsidP="004534CD">
      <w:pPr>
        <w:pStyle w:val="ListParagraph"/>
        <w:numPr>
          <w:ilvl w:val="1"/>
          <w:numId w:val="7"/>
        </w:numPr>
        <w:rPr>
          <w:u w:val="single"/>
        </w:rPr>
      </w:pPr>
      <w:r w:rsidRPr="004534CD">
        <w:rPr>
          <w:u w:val="single"/>
        </w:rPr>
        <w:t>Definitions</w:t>
      </w:r>
    </w:p>
    <w:p w14:paraId="4E69185F" w14:textId="77777777" w:rsidR="004534CD" w:rsidRDefault="004534CD" w:rsidP="004534CD">
      <w:pPr>
        <w:pStyle w:val="ListParagraph"/>
        <w:ind w:left="2970" w:hanging="630"/>
        <w:rPr>
          <w:i/>
          <w:sz w:val="18"/>
        </w:rPr>
      </w:pPr>
      <w:r>
        <w:rPr>
          <w:i/>
          <w:sz w:val="18"/>
        </w:rPr>
        <w:t>Text in current proposal:</w:t>
      </w:r>
    </w:p>
    <w:p w14:paraId="30D8C297" w14:textId="77777777" w:rsidR="004534CD" w:rsidRPr="004534CD" w:rsidRDefault="004534CD" w:rsidP="004534CD">
      <w:pPr>
        <w:pStyle w:val="ListParagraph"/>
        <w:ind w:left="2970" w:hanging="630"/>
        <w:rPr>
          <w:i/>
          <w:sz w:val="18"/>
        </w:rPr>
      </w:pPr>
      <w:r w:rsidRPr="004534CD">
        <w:rPr>
          <w:i/>
          <w:sz w:val="18"/>
        </w:rPr>
        <w:t xml:space="preserve">"2.19. </w:t>
      </w:r>
      <w:r>
        <w:rPr>
          <w:i/>
          <w:sz w:val="18"/>
        </w:rPr>
        <w:tab/>
      </w:r>
      <w:r w:rsidRPr="004534CD">
        <w:rPr>
          <w:i/>
          <w:sz w:val="18"/>
        </w:rPr>
        <w:t xml:space="preserve">Head Up Display (HUD): Visual information displayed in area “S” as defined in paragraph 5.1.3.4. </w:t>
      </w:r>
    </w:p>
    <w:p w14:paraId="06ADD8AD" w14:textId="77777777" w:rsidR="004534CD" w:rsidRPr="004534CD" w:rsidRDefault="004534CD" w:rsidP="004534CD">
      <w:pPr>
        <w:pStyle w:val="ListParagraph"/>
        <w:ind w:left="2970" w:hanging="630"/>
        <w:rPr>
          <w:i/>
          <w:sz w:val="18"/>
        </w:rPr>
      </w:pPr>
      <w:r w:rsidRPr="004534CD">
        <w:rPr>
          <w:i/>
          <w:sz w:val="18"/>
        </w:rPr>
        <w:t xml:space="preserve">2.20. </w:t>
      </w:r>
      <w:r>
        <w:rPr>
          <w:i/>
          <w:sz w:val="18"/>
        </w:rPr>
        <w:tab/>
      </w:r>
      <w:r w:rsidRPr="004534CD">
        <w:rPr>
          <w:i/>
          <w:sz w:val="18"/>
        </w:rPr>
        <w:t>Field of Vision Assistant (FVA): Visual information displayed in the transparent field of vision other than by the HUD to support the awareness of the driver in specific driving situations."</w:t>
      </w:r>
    </w:p>
    <w:p w14:paraId="565E12B4" w14:textId="77777777" w:rsidR="003952C6" w:rsidRDefault="004534CD" w:rsidP="004534CD">
      <w:pPr>
        <w:pStyle w:val="ListParagraph"/>
        <w:numPr>
          <w:ilvl w:val="0"/>
          <w:numId w:val="3"/>
        </w:numPr>
      </w:pPr>
      <w:r>
        <w:t>It was agreed to further review the definitions and to add a definition for obstructions</w:t>
      </w:r>
    </w:p>
    <w:p w14:paraId="72006385" w14:textId="77777777" w:rsidR="004534CD" w:rsidRPr="004534CD" w:rsidRDefault="004534CD" w:rsidP="004534CD">
      <w:pPr>
        <w:pStyle w:val="ListParagraph"/>
        <w:numPr>
          <w:ilvl w:val="1"/>
          <w:numId w:val="7"/>
        </w:numPr>
        <w:rPr>
          <w:u w:val="single"/>
        </w:rPr>
      </w:pPr>
      <w:r>
        <w:rPr>
          <w:u w:val="single"/>
        </w:rPr>
        <w:t>Provisions</w:t>
      </w:r>
    </w:p>
    <w:p w14:paraId="13F6E73F" w14:textId="77777777" w:rsidR="004534CD" w:rsidRDefault="004534CD" w:rsidP="004534CD">
      <w:pPr>
        <w:pStyle w:val="ListParagraph"/>
        <w:ind w:left="2970" w:hanging="630"/>
        <w:rPr>
          <w:i/>
          <w:sz w:val="18"/>
        </w:rPr>
      </w:pPr>
      <w:r>
        <w:rPr>
          <w:i/>
          <w:sz w:val="18"/>
        </w:rPr>
        <w:t>Text in current proposal:</w:t>
      </w:r>
    </w:p>
    <w:p w14:paraId="02120E2B" w14:textId="77777777" w:rsidR="004534CD" w:rsidRDefault="004534CD" w:rsidP="004534CD">
      <w:pPr>
        <w:pStyle w:val="ListParagraph"/>
        <w:ind w:left="2970" w:hanging="630"/>
        <w:rPr>
          <w:i/>
          <w:sz w:val="18"/>
        </w:rPr>
      </w:pPr>
    </w:p>
    <w:p w14:paraId="09B63688" w14:textId="77777777" w:rsidR="004534CD" w:rsidRDefault="004534CD" w:rsidP="004534CD">
      <w:pPr>
        <w:pStyle w:val="ListParagraph"/>
        <w:ind w:left="2970" w:hanging="630"/>
        <w:rPr>
          <w:i/>
          <w:sz w:val="18"/>
        </w:rPr>
      </w:pPr>
      <w:r w:rsidRPr="004534CD">
        <w:rPr>
          <w:i/>
          <w:sz w:val="18"/>
        </w:rPr>
        <w:t xml:space="preserve">"5.1.3.5. The transparent field of vision as defined in paragraph 5.1.1. may be overlaid by information of a Field of Vision Assist. Such information shall be driving related only and limited to: </w:t>
      </w:r>
    </w:p>
    <w:p w14:paraId="2E56A7A6" w14:textId="77777777" w:rsidR="004534CD" w:rsidRDefault="004534CD" w:rsidP="004534CD">
      <w:pPr>
        <w:pStyle w:val="ListParagraph"/>
        <w:ind w:left="3420" w:hanging="270"/>
        <w:rPr>
          <w:i/>
          <w:sz w:val="18"/>
        </w:rPr>
      </w:pPr>
      <w:r w:rsidRPr="004534CD">
        <w:rPr>
          <w:i/>
          <w:sz w:val="18"/>
        </w:rPr>
        <w:t xml:space="preserve">(a) Warning/Highlight hazardous traffic situation </w:t>
      </w:r>
    </w:p>
    <w:p w14:paraId="4D6A442A" w14:textId="77777777" w:rsidR="004534CD" w:rsidRDefault="004534CD" w:rsidP="004534CD">
      <w:pPr>
        <w:pStyle w:val="ListParagraph"/>
        <w:ind w:left="3420" w:hanging="270"/>
        <w:rPr>
          <w:i/>
          <w:sz w:val="18"/>
        </w:rPr>
      </w:pPr>
      <w:r w:rsidRPr="004534CD">
        <w:rPr>
          <w:i/>
          <w:sz w:val="18"/>
        </w:rPr>
        <w:lastRenderedPageBreak/>
        <w:t xml:space="preserve">(b) Warning/Highlight vulnerable road users or other road users which may be overseen </w:t>
      </w:r>
    </w:p>
    <w:p w14:paraId="00C5EB0C" w14:textId="77777777" w:rsidR="004534CD" w:rsidRDefault="004534CD" w:rsidP="004534CD">
      <w:pPr>
        <w:pStyle w:val="ListParagraph"/>
        <w:ind w:left="3420" w:hanging="270"/>
        <w:rPr>
          <w:i/>
          <w:sz w:val="18"/>
        </w:rPr>
      </w:pPr>
      <w:r w:rsidRPr="004534CD">
        <w:rPr>
          <w:i/>
          <w:sz w:val="18"/>
        </w:rPr>
        <w:t xml:space="preserve">(c) Information to maintain the distances to surrounding road users </w:t>
      </w:r>
    </w:p>
    <w:p w14:paraId="43D6D6D1" w14:textId="77777777" w:rsidR="004534CD" w:rsidRDefault="004534CD" w:rsidP="004534CD">
      <w:pPr>
        <w:pStyle w:val="ListParagraph"/>
        <w:ind w:left="3420" w:hanging="270"/>
        <w:rPr>
          <w:i/>
          <w:sz w:val="18"/>
        </w:rPr>
      </w:pPr>
      <w:r w:rsidRPr="004534CD">
        <w:rPr>
          <w:i/>
          <w:sz w:val="18"/>
        </w:rPr>
        <w:t xml:space="preserve">(d) Information to find and maintain the correct driveway </w:t>
      </w:r>
    </w:p>
    <w:p w14:paraId="23FBF741" w14:textId="77777777" w:rsidR="004534CD" w:rsidRDefault="004534CD" w:rsidP="004534CD">
      <w:pPr>
        <w:pStyle w:val="ListParagraph"/>
        <w:ind w:left="2970"/>
        <w:rPr>
          <w:i/>
          <w:sz w:val="18"/>
        </w:rPr>
      </w:pPr>
      <w:r w:rsidRPr="004534CD">
        <w:rPr>
          <w:i/>
          <w:sz w:val="18"/>
        </w:rPr>
        <w:t>Other information may be given after agreement between manufacturer and technical service/approval authority. Examples of the above Warning/Highlights/</w:t>
      </w:r>
      <w:proofErr w:type="spellStart"/>
      <w:r w:rsidRPr="004534CD">
        <w:rPr>
          <w:i/>
          <w:sz w:val="18"/>
        </w:rPr>
        <w:t>Informations</w:t>
      </w:r>
      <w:proofErr w:type="spellEnd"/>
      <w:r w:rsidRPr="004534CD">
        <w:rPr>
          <w:i/>
          <w:sz w:val="18"/>
        </w:rPr>
        <w:t xml:space="preserve"> are given in Annex 5. </w:t>
      </w:r>
    </w:p>
    <w:p w14:paraId="14494A10" w14:textId="77777777" w:rsidR="004534CD" w:rsidRDefault="004534CD" w:rsidP="004534CD">
      <w:pPr>
        <w:pStyle w:val="ListParagraph"/>
        <w:ind w:left="3060" w:hanging="720"/>
        <w:rPr>
          <w:i/>
          <w:sz w:val="18"/>
        </w:rPr>
      </w:pPr>
      <w:r w:rsidRPr="004534CD">
        <w:rPr>
          <w:i/>
          <w:sz w:val="18"/>
        </w:rPr>
        <w:t xml:space="preserve">5.1.3.5.1. The symbols and graphics shown by the FVA shall disappear when the driving related situation defined above does not exist anymore. </w:t>
      </w:r>
    </w:p>
    <w:p w14:paraId="5AAB0C4C" w14:textId="77777777" w:rsidR="004534CD" w:rsidRDefault="004534CD" w:rsidP="004534CD">
      <w:pPr>
        <w:pStyle w:val="ListParagraph"/>
        <w:ind w:left="3060" w:hanging="720"/>
        <w:rPr>
          <w:i/>
          <w:sz w:val="18"/>
        </w:rPr>
      </w:pPr>
      <w:r w:rsidRPr="004534CD">
        <w:rPr>
          <w:i/>
          <w:sz w:val="18"/>
        </w:rPr>
        <w:t xml:space="preserve">5.1.3.5.2. The FVA shall highlight the real view and shall not fully mask objects. </w:t>
      </w:r>
    </w:p>
    <w:p w14:paraId="6F039A32" w14:textId="77777777" w:rsidR="004534CD" w:rsidRPr="004534CD" w:rsidRDefault="004534CD" w:rsidP="004534CD">
      <w:pPr>
        <w:pStyle w:val="ListParagraph"/>
        <w:ind w:left="3060" w:hanging="720"/>
        <w:rPr>
          <w:i/>
          <w:sz w:val="18"/>
        </w:rPr>
      </w:pPr>
      <w:r w:rsidRPr="004534CD">
        <w:rPr>
          <w:i/>
          <w:sz w:val="18"/>
        </w:rPr>
        <w:t>5.1.3.5.3. The driver shall be capable to adjust the light intensity of the FVA and he shall be capable to switch off the FVA system."</w:t>
      </w:r>
    </w:p>
    <w:p w14:paraId="783F6127" w14:textId="77777777" w:rsidR="004534CD" w:rsidRDefault="004534CD" w:rsidP="004534CD">
      <w:pPr>
        <w:pStyle w:val="ListParagraph"/>
        <w:numPr>
          <w:ilvl w:val="0"/>
          <w:numId w:val="3"/>
        </w:numPr>
      </w:pPr>
      <w:r>
        <w:t xml:space="preserve">EC reminded that the technical performance of such systems can </w:t>
      </w:r>
      <w:r w:rsidR="007E10E0">
        <w:t>differ from simple systems to high tech systems and that the appearance of the scene in front of the vehicle can differ</w:t>
      </w:r>
      <w:r w:rsidR="00062B5C">
        <w:t xml:space="preserve"> as such</w:t>
      </w:r>
      <w:r w:rsidR="007E10E0">
        <w:t xml:space="preserve">. In some conditions, an overlay of information could be without problems in others situations </w:t>
      </w:r>
      <w:r w:rsidR="00062B5C">
        <w:t>it could create a problem</w:t>
      </w:r>
      <w:r w:rsidR="007E10E0">
        <w:t>.</w:t>
      </w:r>
      <w:r>
        <w:t xml:space="preserve"> </w:t>
      </w:r>
    </w:p>
    <w:p w14:paraId="327F1213" w14:textId="77777777" w:rsidR="007E4664" w:rsidRDefault="007E4664" w:rsidP="007E4664">
      <w:pPr>
        <w:pStyle w:val="ListParagraph"/>
        <w:numPr>
          <w:ilvl w:val="0"/>
          <w:numId w:val="3"/>
        </w:numPr>
      </w:pPr>
      <w:r>
        <w:t xml:space="preserve">Germany (TÜV </w:t>
      </w:r>
      <w:proofErr w:type="spellStart"/>
      <w:r>
        <w:t>Rheinland</w:t>
      </w:r>
      <w:proofErr w:type="spellEnd"/>
      <w:r>
        <w:t xml:space="preserve">) confirmed, what was stated by the NL and asked for studies to ensure that an obstruction of the direct view and a distraction of the driver is not occurring.(After the meeting Germany offered to give a presentation about the results of the </w:t>
      </w:r>
      <w:r w:rsidR="00DF1E78">
        <w:t xml:space="preserve"> </w:t>
      </w:r>
      <w:hyperlink r:id="rId15" w:history="1">
        <w:proofErr w:type="spellStart"/>
        <w:r w:rsidR="00DF1E78" w:rsidRPr="00C15FFE">
          <w:rPr>
            <w:rStyle w:val="Hyperlink"/>
          </w:rPr>
          <w:t>BASt</w:t>
        </w:r>
        <w:proofErr w:type="spellEnd"/>
        <w:r w:rsidR="00DF1E78" w:rsidRPr="00C15FFE">
          <w:rPr>
            <w:rStyle w:val="Hyperlink"/>
          </w:rPr>
          <w:t xml:space="preserve"> Study</w:t>
        </w:r>
      </w:hyperlink>
      <w:r w:rsidR="00DF1E78">
        <w:t xml:space="preserve"> </w:t>
      </w:r>
      <w:r>
        <w:t xml:space="preserve">during the next meeting) </w:t>
      </w:r>
    </w:p>
    <w:p w14:paraId="4FE534F3" w14:textId="77777777" w:rsidR="007E10E0" w:rsidRDefault="007E10E0" w:rsidP="004534CD">
      <w:pPr>
        <w:pStyle w:val="ListParagraph"/>
        <w:numPr>
          <w:ilvl w:val="0"/>
          <w:numId w:val="3"/>
        </w:numPr>
      </w:pPr>
      <w:r>
        <w:t xml:space="preserve">RDW stated that the </w:t>
      </w:r>
      <w:proofErr w:type="spellStart"/>
      <w:r w:rsidR="00DF1E78">
        <w:t>BASt</w:t>
      </w:r>
      <w:proofErr w:type="spellEnd"/>
      <w:r w:rsidR="00DF1E78">
        <w:t xml:space="preserve"> Study </w:t>
      </w:r>
      <w:r>
        <w:t>is focused on warning</w:t>
      </w:r>
      <w:r w:rsidR="00C15FFE">
        <w:t xml:space="preserve"> information</w:t>
      </w:r>
      <w:r>
        <w:t xml:space="preserve">, not on information for navigation. </w:t>
      </w:r>
    </w:p>
    <w:p w14:paraId="272D2426" w14:textId="77777777" w:rsidR="007E10E0" w:rsidRDefault="007E10E0" w:rsidP="004534CD">
      <w:pPr>
        <w:pStyle w:val="ListParagraph"/>
        <w:numPr>
          <w:ilvl w:val="0"/>
          <w:numId w:val="3"/>
        </w:numPr>
      </w:pPr>
      <w:r>
        <w:t>EC supported and asked for more information from studies already done or to be conducted.</w:t>
      </w:r>
    </w:p>
    <w:p w14:paraId="09D07F6E" w14:textId="77777777" w:rsidR="007E10E0" w:rsidRDefault="007E10E0" w:rsidP="004534CD">
      <w:pPr>
        <w:pStyle w:val="ListParagraph"/>
        <w:numPr>
          <w:ilvl w:val="0"/>
          <w:numId w:val="3"/>
        </w:numPr>
      </w:pPr>
      <w:r>
        <w:t>JAMA informed on ongoing studies to update their guideline</w:t>
      </w:r>
      <w:r w:rsidR="00062B5C">
        <w:t xml:space="preserve"> for extended HUDs</w:t>
      </w:r>
      <w:r>
        <w:t xml:space="preserve">. Aim is to </w:t>
      </w:r>
      <w:proofErr w:type="spellStart"/>
      <w:r>
        <w:t>finalise</w:t>
      </w:r>
      <w:proofErr w:type="spellEnd"/>
      <w:r>
        <w:t xml:space="preserve"> the Study until End of 2020.</w:t>
      </w:r>
    </w:p>
    <w:p w14:paraId="1EB5463A" w14:textId="77777777" w:rsidR="005E00F9" w:rsidRDefault="007E10E0" w:rsidP="004534CD">
      <w:pPr>
        <w:pStyle w:val="ListParagraph"/>
        <w:numPr>
          <w:ilvl w:val="0"/>
          <w:numId w:val="3"/>
        </w:numPr>
      </w:pPr>
      <w:r>
        <w:t>OICA is open to a</w:t>
      </w:r>
      <w:r w:rsidR="00062B5C">
        <w:t xml:space="preserve"> </w:t>
      </w:r>
      <w:r>
        <w:t xml:space="preserve">regulatory approach but reminded on the urgency as </w:t>
      </w:r>
      <w:r w:rsidR="005E00F9">
        <w:t xml:space="preserve">many manufacturers are ready to introduce such </w:t>
      </w:r>
      <w:r>
        <w:t xml:space="preserve">systems </w:t>
      </w:r>
      <w:r w:rsidR="005E00F9">
        <w:t xml:space="preserve">in near future. He reminded on the situation with restraint systems/airbags. Airbags were introduced without any regulatory provisions as benefit for the passengers and a regulatory </w:t>
      </w:r>
      <w:r w:rsidR="00062B5C">
        <w:t>activity</w:t>
      </w:r>
      <w:r w:rsidR="005E00F9">
        <w:t xml:space="preserve"> started later to limit negative side effects. In the case of an extended HUD, negative side effects are for example the distraction</w:t>
      </w:r>
      <w:r w:rsidR="00062B5C">
        <w:t xml:space="preserve"> of the driver</w:t>
      </w:r>
      <w:r w:rsidR="005E00F9">
        <w:t>.</w:t>
      </w:r>
    </w:p>
    <w:p w14:paraId="2B53D971" w14:textId="77777777" w:rsidR="005E00F9" w:rsidRDefault="005E00F9" w:rsidP="005E00F9">
      <w:pPr>
        <w:pStyle w:val="ListParagraph"/>
        <w:numPr>
          <w:ilvl w:val="0"/>
          <w:numId w:val="3"/>
        </w:numPr>
      </w:pPr>
      <w:r>
        <w:t xml:space="preserve">RDW informed to be fine with the 5.1.3.5. and </w:t>
      </w:r>
      <w:r w:rsidR="00062B5C">
        <w:t xml:space="preserve">especially the listed </w:t>
      </w:r>
      <w:r>
        <w:t>cases a) to d) but opposes to the sentence “</w:t>
      </w:r>
      <w:r w:rsidR="007E10E0">
        <w:t xml:space="preserve"> </w:t>
      </w:r>
      <w:r w:rsidRPr="005E00F9">
        <w:rPr>
          <w:i/>
        </w:rPr>
        <w:t>Other information may be given</w:t>
      </w:r>
      <w:r>
        <w:rPr>
          <w:i/>
        </w:rPr>
        <w:t xml:space="preserve">…”. </w:t>
      </w:r>
      <w:r w:rsidRPr="005E00F9">
        <w:t>In case that additional information have to be included</w:t>
      </w:r>
      <w:r>
        <w:t>, the legislative text could be modified in future after discussion at GRSG.</w:t>
      </w:r>
    </w:p>
    <w:p w14:paraId="4AC98AA2" w14:textId="77777777" w:rsidR="005E00F9" w:rsidRDefault="005E00F9" w:rsidP="005E00F9">
      <w:pPr>
        <w:pStyle w:val="ListParagraph"/>
        <w:numPr>
          <w:ilvl w:val="0"/>
          <w:numId w:val="3"/>
        </w:numPr>
        <w:rPr>
          <w:i/>
        </w:rPr>
      </w:pPr>
      <w:proofErr w:type="gramStart"/>
      <w:r>
        <w:t xml:space="preserve">§ </w:t>
      </w:r>
      <w:r w:rsidRPr="005E00F9">
        <w:t xml:space="preserve"> </w:t>
      </w:r>
      <w:r w:rsidRPr="005E00F9">
        <w:rPr>
          <w:i/>
        </w:rPr>
        <w:t>5.1.3.5.2.</w:t>
      </w:r>
      <w:proofErr w:type="gramEnd"/>
      <w:r>
        <w:rPr>
          <w:i/>
        </w:rPr>
        <w:t xml:space="preserve"> is too vague and unspecific for RDW.</w:t>
      </w:r>
    </w:p>
    <w:p w14:paraId="30D846BD" w14:textId="77777777" w:rsidR="005E00F9" w:rsidRPr="00615A54" w:rsidRDefault="005E00F9" w:rsidP="005E00F9">
      <w:pPr>
        <w:pStyle w:val="ListParagraph"/>
        <w:numPr>
          <w:ilvl w:val="0"/>
          <w:numId w:val="3"/>
        </w:numPr>
      </w:pPr>
      <w:r w:rsidRPr="00615A54">
        <w:t xml:space="preserve">OICA understands in principle but has difficulties to </w:t>
      </w:r>
      <w:r w:rsidR="00615A54" w:rsidRPr="00615A54">
        <w:t>add further details as measurements for “masking” are very complicated</w:t>
      </w:r>
      <w:r w:rsidR="00615A54">
        <w:t xml:space="preserve"> (e.g.: objects and also the vehicle are not static in real world)</w:t>
      </w:r>
      <w:r w:rsidRPr="00615A54">
        <w:t xml:space="preserve">. </w:t>
      </w:r>
    </w:p>
    <w:p w14:paraId="741E8AFC" w14:textId="77777777" w:rsidR="007E10E0" w:rsidRDefault="00615A54" w:rsidP="005E00F9">
      <w:pPr>
        <w:pStyle w:val="ListParagraph"/>
        <w:numPr>
          <w:ilvl w:val="0"/>
          <w:numId w:val="3"/>
        </w:numPr>
      </w:pPr>
      <w:r>
        <w:t>Secretary proposed to go ahead with a two-step approach:</w:t>
      </w:r>
    </w:p>
    <w:p w14:paraId="52C6ECF1" w14:textId="77777777" w:rsidR="00615A54" w:rsidRDefault="00615A54" w:rsidP="00615A54">
      <w:pPr>
        <w:pStyle w:val="ListParagraph"/>
        <w:ind w:left="3240" w:hanging="720"/>
      </w:pPr>
      <w:r>
        <w:t>1</w:t>
      </w:r>
      <w:r w:rsidRPr="00615A54">
        <w:rPr>
          <w:vertAlign w:val="superscript"/>
        </w:rPr>
        <w:t>st</w:t>
      </w:r>
      <w:r>
        <w:t xml:space="preserve"> step: to define basic provisions to enable the approval of extended HUD in short time. Basis could be the proposal for § 5.1.3.5. which would limit the negative side effect up to a certain level.</w:t>
      </w:r>
    </w:p>
    <w:p w14:paraId="347CBC15" w14:textId="77777777" w:rsidR="00615A54" w:rsidRDefault="00615A54" w:rsidP="00615A54">
      <w:pPr>
        <w:pStyle w:val="ListParagraph"/>
        <w:ind w:left="3240" w:hanging="720"/>
      </w:pPr>
      <w:r>
        <w:lastRenderedPageBreak/>
        <w:t>2</w:t>
      </w:r>
      <w:r w:rsidRPr="00615A54">
        <w:rPr>
          <w:vertAlign w:val="superscript"/>
        </w:rPr>
        <w:t>nd</w:t>
      </w:r>
      <w:r>
        <w:t xml:space="preserve"> step: to define more detailed provisions, based on studies and further investigations to define and minimize remaining negative side effects.</w:t>
      </w:r>
    </w:p>
    <w:p w14:paraId="30484600" w14:textId="77777777" w:rsidR="00615A54" w:rsidRDefault="00615A54" w:rsidP="00F7119C">
      <w:pPr>
        <w:pStyle w:val="ListParagraph"/>
        <w:numPr>
          <w:ilvl w:val="0"/>
          <w:numId w:val="9"/>
        </w:numPr>
      </w:pPr>
      <w:r>
        <w:t>All to review if and under which conditions such an approach would be possible</w:t>
      </w:r>
      <w:r w:rsidR="0084296A">
        <w:t>.</w:t>
      </w:r>
    </w:p>
    <w:p w14:paraId="5FB235B4" w14:textId="77777777" w:rsidR="00F7119C" w:rsidRDefault="00F7119C" w:rsidP="00615A54">
      <w:pPr>
        <w:pStyle w:val="ListParagraph"/>
        <w:ind w:left="3240" w:hanging="720"/>
      </w:pPr>
    </w:p>
    <w:p w14:paraId="52C33413" w14:textId="77777777" w:rsidR="00615A54" w:rsidRPr="00F7119C" w:rsidRDefault="00615A54" w:rsidP="00F7119C">
      <w:pPr>
        <w:pStyle w:val="ListParagraph"/>
        <w:numPr>
          <w:ilvl w:val="0"/>
          <w:numId w:val="1"/>
        </w:numPr>
        <w:rPr>
          <w:b/>
          <w:u w:val="single"/>
        </w:rPr>
      </w:pPr>
      <w:r w:rsidRPr="00F7119C">
        <w:rPr>
          <w:b/>
          <w:u w:val="single"/>
        </w:rPr>
        <w:t>Next steps</w:t>
      </w:r>
      <w:r w:rsidR="00F7119C" w:rsidRPr="00F7119C">
        <w:rPr>
          <w:b/>
          <w:u w:val="single"/>
        </w:rPr>
        <w:t xml:space="preserve"> and next meeting</w:t>
      </w:r>
      <w:r w:rsidRPr="00F7119C">
        <w:rPr>
          <w:b/>
          <w:u w:val="single"/>
        </w:rPr>
        <w:t>:</w:t>
      </w:r>
    </w:p>
    <w:p w14:paraId="25B19625" w14:textId="77777777" w:rsidR="00615A54" w:rsidRDefault="00615A54" w:rsidP="00F7119C">
      <w:pPr>
        <w:pStyle w:val="ListParagraph"/>
        <w:numPr>
          <w:ilvl w:val="0"/>
          <w:numId w:val="3"/>
        </w:numPr>
      </w:pPr>
      <w:r>
        <w:t>Defin</w:t>
      </w:r>
      <w:r w:rsidR="00F7119C">
        <w:t>ition of obstruction</w:t>
      </w:r>
      <w:r w:rsidR="0084296A">
        <w:t>.</w:t>
      </w:r>
    </w:p>
    <w:p w14:paraId="28D9C9BB" w14:textId="77777777" w:rsidR="00F7119C" w:rsidRDefault="00F7119C" w:rsidP="00F7119C">
      <w:pPr>
        <w:pStyle w:val="ListParagraph"/>
        <w:numPr>
          <w:ilvl w:val="0"/>
          <w:numId w:val="3"/>
        </w:numPr>
      </w:pPr>
      <w:r>
        <w:t>Review proposal for 2</w:t>
      </w:r>
      <w:r w:rsidR="0084296A">
        <w:t>-</w:t>
      </w:r>
      <w:r>
        <w:t>step approach and come with a revised proposal</w:t>
      </w:r>
      <w:r w:rsidR="0084296A">
        <w:t>.</w:t>
      </w:r>
    </w:p>
    <w:p w14:paraId="461CDEEE" w14:textId="77777777" w:rsidR="00F7119C" w:rsidRDefault="00F7119C" w:rsidP="00F7119C">
      <w:pPr>
        <w:pStyle w:val="ListParagraph"/>
        <w:numPr>
          <w:ilvl w:val="0"/>
          <w:numId w:val="3"/>
        </w:numPr>
      </w:pPr>
      <w:r>
        <w:t>Next meeting will be in the week</w:t>
      </w:r>
      <w:r w:rsidR="0084296A">
        <w:t xml:space="preserve"> of 12</w:t>
      </w:r>
      <w:r w:rsidR="0084296A" w:rsidRPr="0084296A">
        <w:rPr>
          <w:vertAlign w:val="superscript"/>
        </w:rPr>
        <w:t>th</w:t>
      </w:r>
      <w:r w:rsidR="0084296A">
        <w:t xml:space="preserve"> October.</w:t>
      </w:r>
      <w:r>
        <w:t xml:space="preserve"> </w:t>
      </w:r>
    </w:p>
    <w:sectPr w:rsidR="00F7119C" w:rsidSect="00AE095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17" w:right="1417" w:bottom="1134" w:left="1417" w:header="147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C869" w14:textId="77777777" w:rsidR="0011263B" w:rsidRDefault="0011263B" w:rsidP="0011263B">
      <w:pPr>
        <w:spacing w:after="0" w:line="240" w:lineRule="auto"/>
      </w:pPr>
      <w:r>
        <w:separator/>
      </w:r>
    </w:p>
  </w:endnote>
  <w:endnote w:type="continuationSeparator" w:id="0">
    <w:p w14:paraId="6DD4B8EE" w14:textId="77777777" w:rsidR="0011263B" w:rsidRDefault="0011263B" w:rsidP="001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3EE1" w14:textId="77777777" w:rsidR="00AE0950" w:rsidRDefault="00AE0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2275" w14:textId="77777777" w:rsidR="00AE0950" w:rsidRDefault="00AE09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44D3" w14:textId="77777777" w:rsidR="00AE0950" w:rsidRDefault="00AE0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A3AE" w14:textId="77777777" w:rsidR="0011263B" w:rsidRDefault="0011263B" w:rsidP="0011263B">
      <w:pPr>
        <w:spacing w:after="0" w:line="240" w:lineRule="auto"/>
      </w:pPr>
      <w:r>
        <w:separator/>
      </w:r>
    </w:p>
  </w:footnote>
  <w:footnote w:type="continuationSeparator" w:id="0">
    <w:p w14:paraId="4C8436A8" w14:textId="77777777" w:rsidR="0011263B" w:rsidRDefault="0011263B" w:rsidP="001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E4F7" w14:textId="77777777" w:rsidR="00AE0950" w:rsidRDefault="00AE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8158B" w14:textId="77777777" w:rsidR="0011263B" w:rsidRPr="00AE0950" w:rsidRDefault="0011263B" w:rsidP="00AE095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6" w:type="dxa"/>
      <w:tblInd w:w="-142" w:type="dxa"/>
      <w:tblLook w:val="0000" w:firstRow="0" w:lastRow="0" w:firstColumn="0" w:lastColumn="0" w:noHBand="0" w:noVBand="0"/>
    </w:tblPr>
    <w:tblGrid>
      <w:gridCol w:w="3488"/>
      <w:gridCol w:w="5668"/>
    </w:tblGrid>
    <w:tr w:rsidR="00AE0950" w:rsidRPr="00A95A96" w14:paraId="2FE159E5" w14:textId="77777777" w:rsidTr="00AC6473">
      <w:trPr>
        <w:trHeight w:val="1221"/>
      </w:trPr>
      <w:tc>
        <w:tcPr>
          <w:tcW w:w="3488" w:type="dxa"/>
        </w:tcPr>
        <w:p w14:paraId="751D5967" w14:textId="77777777" w:rsidR="00AE0950" w:rsidRPr="00A95A96" w:rsidRDefault="00AE0950" w:rsidP="00AE0950">
          <w:pPr>
            <w:pStyle w:val="Header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lang w:val="en-GB"/>
            </w:rPr>
            <w:t xml:space="preserve">Submitted by </w:t>
          </w:r>
          <w:r>
            <w:t>GRSG TF on FVA</w:t>
          </w:r>
        </w:p>
      </w:tc>
      <w:tc>
        <w:tcPr>
          <w:tcW w:w="5668" w:type="dxa"/>
        </w:tcPr>
        <w:p w14:paraId="01FBB1D1" w14:textId="77777777" w:rsidR="00AE0950" w:rsidRPr="00A95A96" w:rsidRDefault="00AE0950" w:rsidP="00AE0950">
          <w:pPr>
            <w:ind w:left="742"/>
            <w:jc w:val="right"/>
            <w:rPr>
              <w:sz w:val="20"/>
              <w:szCs w:val="20"/>
              <w:lang w:val="en-GB"/>
            </w:rPr>
          </w:pPr>
          <w:r w:rsidRPr="00A95A96">
            <w:rPr>
              <w:sz w:val="20"/>
              <w:szCs w:val="20"/>
              <w:u w:val="single"/>
              <w:lang w:val="en-GB"/>
            </w:rPr>
            <w:t>Informal document</w:t>
          </w:r>
          <w:r w:rsidRPr="00A95A96">
            <w:rPr>
              <w:sz w:val="20"/>
              <w:szCs w:val="20"/>
              <w:lang w:val="en-GB"/>
            </w:rPr>
            <w:t xml:space="preserve"> </w:t>
          </w:r>
          <w:r w:rsidRPr="00A95A96">
            <w:rPr>
              <w:b/>
              <w:bCs/>
              <w:sz w:val="20"/>
              <w:szCs w:val="20"/>
              <w:lang w:val="en-GB"/>
            </w:rPr>
            <w:t>GR</w:t>
          </w:r>
          <w:r>
            <w:rPr>
              <w:b/>
              <w:bCs/>
              <w:sz w:val="20"/>
              <w:szCs w:val="20"/>
              <w:lang w:val="en-GB"/>
            </w:rPr>
            <w:t>SG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>
            <w:rPr>
              <w:b/>
              <w:bCs/>
              <w:sz w:val="20"/>
              <w:szCs w:val="20"/>
              <w:lang w:val="en-GB"/>
            </w:rPr>
            <w:t>119</w:t>
          </w:r>
          <w:r w:rsidRPr="00A95A96">
            <w:rPr>
              <w:b/>
              <w:bCs/>
              <w:sz w:val="20"/>
              <w:szCs w:val="20"/>
              <w:lang w:val="en-GB"/>
            </w:rPr>
            <w:t>-</w:t>
          </w:r>
          <w:r>
            <w:rPr>
              <w:b/>
              <w:bCs/>
              <w:sz w:val="20"/>
              <w:szCs w:val="20"/>
              <w:lang w:val="en-GB"/>
            </w:rPr>
            <w:t>33</w:t>
          </w:r>
          <w:r>
            <w:rPr>
              <w:b/>
              <w:bCs/>
              <w:sz w:val="20"/>
              <w:szCs w:val="20"/>
              <w:lang w:val="en-GB"/>
            </w:rPr>
            <w:br/>
          </w:r>
          <w:r w:rsidRPr="00A95A96">
            <w:rPr>
              <w:sz w:val="20"/>
              <w:szCs w:val="20"/>
              <w:lang w:val="en-GB"/>
            </w:rPr>
            <w:t>(</w:t>
          </w:r>
          <w:r>
            <w:rPr>
              <w:sz w:val="20"/>
              <w:szCs w:val="20"/>
              <w:lang w:val="en-GB"/>
            </w:rPr>
            <w:t>119</w:t>
          </w:r>
          <w:r w:rsidRPr="00C93567">
            <w:rPr>
              <w:sz w:val="20"/>
              <w:szCs w:val="20"/>
              <w:lang w:val="en-GB"/>
            </w:rPr>
            <w:t>th</w:t>
          </w:r>
          <w:r w:rsidRPr="00A95A96">
            <w:rPr>
              <w:sz w:val="20"/>
              <w:szCs w:val="20"/>
              <w:lang w:val="en-GB"/>
            </w:rPr>
            <w:t xml:space="preserve"> GR</w:t>
          </w:r>
          <w:r>
            <w:rPr>
              <w:sz w:val="20"/>
              <w:szCs w:val="20"/>
              <w:lang w:val="en-GB"/>
            </w:rPr>
            <w:t>SG</w:t>
          </w:r>
          <w:r w:rsidRPr="00A95A96">
            <w:rPr>
              <w:sz w:val="20"/>
              <w:szCs w:val="20"/>
              <w:lang w:val="en-GB"/>
            </w:rPr>
            <w:t xml:space="preserve">, </w:t>
          </w:r>
          <w:r>
            <w:rPr>
              <w:sz w:val="20"/>
              <w:szCs w:val="20"/>
              <w:lang w:val="en-GB"/>
            </w:rPr>
            <w:t xml:space="preserve">6-9 October 2020, </w:t>
          </w:r>
          <w:r>
            <w:rPr>
              <w:sz w:val="20"/>
              <w:szCs w:val="20"/>
              <w:lang w:val="en-GB"/>
            </w:rPr>
            <w:br/>
          </w:r>
          <w:r w:rsidRPr="00A95A96">
            <w:rPr>
              <w:sz w:val="20"/>
              <w:szCs w:val="20"/>
              <w:lang w:val="en-GB"/>
            </w:rPr>
            <w:t xml:space="preserve">Agenda item </w:t>
          </w:r>
          <w:r>
            <w:rPr>
              <w:sz w:val="20"/>
              <w:szCs w:val="20"/>
              <w:lang w:val="en-GB"/>
            </w:rPr>
            <w:t>10</w:t>
          </w:r>
          <w:r w:rsidRPr="00A95A96">
            <w:rPr>
              <w:sz w:val="20"/>
              <w:szCs w:val="20"/>
              <w:lang w:val="en-GB"/>
            </w:rPr>
            <w:t>)</w:t>
          </w:r>
        </w:p>
      </w:tc>
    </w:tr>
  </w:tbl>
  <w:p w14:paraId="54B7E4EB" w14:textId="77777777" w:rsidR="00AE0950" w:rsidRPr="00AE0950" w:rsidRDefault="00AE095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748C"/>
    <w:multiLevelType w:val="hybridMultilevel"/>
    <w:tmpl w:val="2F30D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8CC1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0A9"/>
    <w:multiLevelType w:val="hybridMultilevel"/>
    <w:tmpl w:val="4BAC89FE"/>
    <w:lvl w:ilvl="0" w:tplc="20D0525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818329A"/>
    <w:multiLevelType w:val="multilevel"/>
    <w:tmpl w:val="1236DD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551259AC"/>
    <w:multiLevelType w:val="hybridMultilevel"/>
    <w:tmpl w:val="D1FE8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750EC6"/>
    <w:multiLevelType w:val="hybridMultilevel"/>
    <w:tmpl w:val="475263DC"/>
    <w:lvl w:ilvl="0" w:tplc="1C00A31E">
      <w:start w:val="4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2A61B6"/>
    <w:multiLevelType w:val="multilevel"/>
    <w:tmpl w:val="A34AF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6D967580"/>
    <w:multiLevelType w:val="hybridMultilevel"/>
    <w:tmpl w:val="F8AC8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E080A4F"/>
    <w:multiLevelType w:val="hybridMultilevel"/>
    <w:tmpl w:val="64D49FF2"/>
    <w:lvl w:ilvl="0" w:tplc="BFF0F25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B2565A"/>
    <w:multiLevelType w:val="hybridMultilevel"/>
    <w:tmpl w:val="FA8A2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66"/>
    <w:rsid w:val="00062B5C"/>
    <w:rsid w:val="000E1A08"/>
    <w:rsid w:val="0011263B"/>
    <w:rsid w:val="002666B5"/>
    <w:rsid w:val="003952C6"/>
    <w:rsid w:val="00412DFF"/>
    <w:rsid w:val="004534CD"/>
    <w:rsid w:val="004A53BC"/>
    <w:rsid w:val="00522E66"/>
    <w:rsid w:val="005A12EF"/>
    <w:rsid w:val="005E00F9"/>
    <w:rsid w:val="00615A54"/>
    <w:rsid w:val="006E77AD"/>
    <w:rsid w:val="007E10E0"/>
    <w:rsid w:val="007E4664"/>
    <w:rsid w:val="0084296A"/>
    <w:rsid w:val="009F0B2D"/>
    <w:rsid w:val="00AD02D8"/>
    <w:rsid w:val="00AE0950"/>
    <w:rsid w:val="00C15FFE"/>
    <w:rsid w:val="00DB15EA"/>
    <w:rsid w:val="00DF1E78"/>
    <w:rsid w:val="00F7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3760C"/>
  <w15:chartTrackingRefBased/>
  <w15:docId w15:val="{C3A1003A-0808-41C9-A565-691EF61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2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4C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63B"/>
  </w:style>
  <w:style w:type="paragraph" w:styleId="Footer">
    <w:name w:val="footer"/>
    <w:basedOn w:val="Normal"/>
    <w:link w:val="FooterChar"/>
    <w:uiPriority w:val="99"/>
    <w:unhideWhenUsed/>
    <w:rsid w:val="0011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apott@hyundai-europe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ece.org/fileadmin/DAM/trans/doc/2019/wp29grsg/GRSG-117-27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bast.opus.hbz-nrw.de/frontdoor/index/index/docId/21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ece.org/fileadmin/DAM/trans/doc/2020/wp29grsg/ECE-TRANS-WP.29-GRSG-2020-12e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02A11-BAAC-4F6E-8F45-8A6373087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D6D8A-4F9F-480C-A3CF-DDB038453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9BA6C-413E-4280-8536-ABD4F9C5E8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Hyundai Motor Group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Pott, Ansgar</dc:creator>
  <cp:keywords/>
  <dc:description/>
  <cp:lastModifiedBy>WN</cp:lastModifiedBy>
  <cp:revision>3</cp:revision>
  <dcterms:created xsi:type="dcterms:W3CDTF">2020-10-07T17:22:00Z</dcterms:created>
  <dcterms:modified xsi:type="dcterms:W3CDTF">2020-10-07T17:24:00Z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