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750D8" w14:textId="77777777" w:rsidR="00A935A1" w:rsidRPr="00A4674D" w:rsidRDefault="00A935A1">
      <w:pPr>
        <w:spacing w:after="0" w:line="240" w:lineRule="auto"/>
        <w:jc w:val="center"/>
        <w:rPr>
          <w:rFonts w:ascii="Times New Roman" w:hAnsi="Times New Roman"/>
          <w:b/>
          <w:sz w:val="24"/>
          <w:szCs w:val="24"/>
        </w:rPr>
      </w:pPr>
    </w:p>
    <w:p w14:paraId="03E54790" w14:textId="16EFE9EE" w:rsidR="00A935A1" w:rsidRPr="00A4674D" w:rsidRDefault="00A704F2">
      <w:pPr>
        <w:pStyle w:val="HChG"/>
        <w:tabs>
          <w:tab w:val="clear" w:pos="851"/>
        </w:tabs>
        <w:spacing w:line="240" w:lineRule="auto"/>
        <w:ind w:left="567" w:right="708" w:firstLine="0"/>
        <w:rPr>
          <w:lang w:val="en-GB"/>
        </w:rPr>
      </w:pPr>
      <w:r w:rsidRPr="00A4674D">
        <w:rPr>
          <w:lang w:val="en-GB"/>
        </w:rPr>
        <w:t xml:space="preserve">Proposal for </w:t>
      </w:r>
      <w:r w:rsidR="00B37F6C">
        <w:rPr>
          <w:lang w:val="en-GB"/>
        </w:rPr>
        <w:t xml:space="preserve">amending working document GRSG/2020/21 concerning a </w:t>
      </w:r>
      <w:r w:rsidR="00B37F6C" w:rsidRPr="0014092B">
        <w:rPr>
          <w:szCs w:val="28"/>
          <w:lang w:val="en-GB"/>
        </w:rPr>
        <w:t>Proposal for the 04 series of amendments to UN Regulation No. 118 (Burning behaviour of materials)</w:t>
      </w:r>
    </w:p>
    <w:p w14:paraId="4F196F16" w14:textId="1F12D224" w:rsidR="00A4674D" w:rsidRPr="00A4674D" w:rsidRDefault="00A4674D" w:rsidP="00A4674D">
      <w:pPr>
        <w:jc w:val="both"/>
        <w:rPr>
          <w:rFonts w:ascii="Times New Roman" w:hAnsi="Times New Roman"/>
        </w:rPr>
      </w:pPr>
      <w:r w:rsidRPr="00A4674D">
        <w:rPr>
          <w:rFonts w:ascii="Times New Roman" w:hAnsi="Times New Roman"/>
          <w:lang w:val="en-US"/>
        </w:rPr>
        <w:t>The text reproduce</w:t>
      </w:r>
      <w:bookmarkStart w:id="0" w:name="_GoBack"/>
      <w:bookmarkEnd w:id="0"/>
      <w:r w:rsidRPr="00A4674D">
        <w:rPr>
          <w:rFonts w:ascii="Times New Roman" w:hAnsi="Times New Roman"/>
          <w:lang w:val="en-US"/>
        </w:rPr>
        <w:t>d below was prepared by the expert from the European Association of Automotive Suppliers (CLEPA) to</w:t>
      </w:r>
      <w:r w:rsidR="00834DA2">
        <w:rPr>
          <w:rFonts w:ascii="Times New Roman" w:hAnsi="Times New Roman"/>
          <w:lang w:val="en-US"/>
        </w:rPr>
        <w:t xml:space="preserve"> </w:t>
      </w:r>
      <w:r w:rsidR="00B37F6C">
        <w:rPr>
          <w:rFonts w:ascii="Times New Roman" w:hAnsi="Times New Roman"/>
          <w:lang w:val="en-US"/>
        </w:rPr>
        <w:t xml:space="preserve">make clear approvals granted to the preceding series of amendments which are not affected by the </w:t>
      </w:r>
      <w:r w:rsidR="00EE0C3F">
        <w:rPr>
          <w:rFonts w:ascii="Times New Roman" w:hAnsi="Times New Roman"/>
          <w:lang w:val="en-US"/>
        </w:rPr>
        <w:t>new 04 series of amendments shall continue to be accepted and extended</w:t>
      </w:r>
      <w:r w:rsidRPr="00A4674D">
        <w:rPr>
          <w:rFonts w:ascii="Times New Roman" w:hAnsi="Times New Roman"/>
          <w:lang w:val="en-US"/>
        </w:rPr>
        <w:t xml:space="preserve">. The modifications to the existing text of the Regulation are marked in </w:t>
      </w:r>
      <w:r w:rsidRPr="00A4674D">
        <w:rPr>
          <w:rFonts w:ascii="Times New Roman" w:hAnsi="Times New Roman"/>
          <w:b/>
          <w:lang w:val="en-US"/>
        </w:rPr>
        <w:t>bold</w:t>
      </w:r>
      <w:r w:rsidRPr="00A4674D">
        <w:rPr>
          <w:rFonts w:ascii="Times New Roman" w:hAnsi="Times New Roman"/>
          <w:lang w:val="en-US"/>
        </w:rPr>
        <w:t xml:space="preserve"> for new and strikethrough for deleted characters</w:t>
      </w:r>
    </w:p>
    <w:p w14:paraId="1D6BAB8F" w14:textId="128B60AC" w:rsidR="00A4674D" w:rsidRDefault="00A4674D" w:rsidP="00A4674D">
      <w:pPr>
        <w:rPr>
          <w:rFonts w:ascii="Times New Roman" w:hAnsi="Times New Roman"/>
        </w:rPr>
      </w:pPr>
    </w:p>
    <w:p w14:paraId="08086AD3" w14:textId="77777777" w:rsidR="00EE0C3F" w:rsidRPr="00A4674D" w:rsidRDefault="00EE0C3F" w:rsidP="00A4674D">
      <w:pPr>
        <w:rPr>
          <w:rFonts w:ascii="Times New Roman" w:hAnsi="Times New Roman"/>
        </w:rPr>
      </w:pPr>
    </w:p>
    <w:p w14:paraId="0DF711AB" w14:textId="28C4CE35" w:rsidR="00A935A1" w:rsidRPr="00A4674D" w:rsidRDefault="00A704F2" w:rsidP="00A4674D">
      <w:pPr>
        <w:pStyle w:val="SingleTxtG"/>
        <w:numPr>
          <w:ilvl w:val="0"/>
          <w:numId w:val="1"/>
        </w:numPr>
        <w:tabs>
          <w:tab w:val="left" w:pos="2268"/>
        </w:tabs>
        <w:rPr>
          <w:b/>
          <w:sz w:val="32"/>
          <w:szCs w:val="32"/>
          <w:lang w:val="en-GB"/>
        </w:rPr>
      </w:pPr>
      <w:r w:rsidRPr="00A4674D">
        <w:rPr>
          <w:b/>
          <w:sz w:val="32"/>
          <w:szCs w:val="32"/>
          <w:lang w:val="en-GB"/>
        </w:rPr>
        <w:t>Proposal:</w:t>
      </w:r>
    </w:p>
    <w:p w14:paraId="5A6D82FE" w14:textId="77777777" w:rsidR="00B63C3F" w:rsidRPr="00A4674D" w:rsidRDefault="00B63C3F" w:rsidP="00A4674D">
      <w:pPr>
        <w:pStyle w:val="SingleTxtG"/>
        <w:tabs>
          <w:tab w:val="left" w:pos="2268"/>
        </w:tabs>
        <w:spacing w:after="0"/>
        <w:ind w:left="0"/>
        <w:rPr>
          <w:b/>
          <w:sz w:val="14"/>
          <w:szCs w:val="14"/>
          <w:lang w:val="en-GB"/>
        </w:rPr>
      </w:pPr>
    </w:p>
    <w:p w14:paraId="488AA875" w14:textId="376A8E87" w:rsidR="00A4674D" w:rsidRDefault="00B37F6C" w:rsidP="00A4674D">
      <w:pPr>
        <w:pStyle w:val="SingleTxtG"/>
        <w:tabs>
          <w:tab w:val="left" w:pos="2268"/>
        </w:tabs>
        <w:ind w:left="709"/>
        <w:rPr>
          <w:bCs/>
          <w:i/>
          <w:iCs/>
          <w:sz w:val="22"/>
          <w:szCs w:val="22"/>
          <w:lang w:val="en-GB"/>
        </w:rPr>
      </w:pPr>
      <w:r>
        <w:rPr>
          <w:bCs/>
          <w:i/>
          <w:iCs/>
          <w:sz w:val="22"/>
          <w:szCs w:val="22"/>
          <w:lang w:val="en-GB"/>
        </w:rPr>
        <w:t>Insert new paragraph 12.19, to read</w:t>
      </w:r>
      <w:r w:rsidR="00A4674D" w:rsidRPr="00A4674D">
        <w:rPr>
          <w:bCs/>
          <w:i/>
          <w:iCs/>
          <w:sz w:val="22"/>
          <w:szCs w:val="22"/>
          <w:lang w:val="en-GB"/>
        </w:rPr>
        <w:t>:</w:t>
      </w:r>
    </w:p>
    <w:p w14:paraId="688A0A08" w14:textId="77777777" w:rsidR="00B36E28" w:rsidRPr="0014092B" w:rsidRDefault="00B36E28" w:rsidP="00B36E28">
      <w:pPr>
        <w:pStyle w:val="SingleTxtG"/>
        <w:ind w:left="709"/>
        <w:rPr>
          <w:lang w:val="en-GB"/>
        </w:rPr>
      </w:pPr>
      <w:r>
        <w:rPr>
          <w:b/>
          <w:bCs/>
          <w:sz w:val="22"/>
          <w:szCs w:val="22"/>
          <w:lang w:val="en-GB"/>
        </w:rPr>
        <w:t>“12.19 Notwithstanding paragraphs 12.16 to 12.18 above, Contracting Parties applying this UN Regulation shall continue to accept type approvals, and to grant extensions of approvals, to the preceding series of amendments to this UN Regulation, for vehicles or components which are not affected by the changes introduced by the 04 series of amendments.”</w:t>
      </w:r>
    </w:p>
    <w:p w14:paraId="0E32C66B" w14:textId="410D3A75" w:rsidR="009D0175" w:rsidRPr="0014092B" w:rsidRDefault="009D0175" w:rsidP="009D0175">
      <w:pPr>
        <w:pStyle w:val="SingleTxtG"/>
        <w:tabs>
          <w:tab w:val="left" w:pos="2268"/>
        </w:tabs>
        <w:ind w:left="0"/>
        <w:rPr>
          <w:bCs/>
          <w:iCs/>
          <w:sz w:val="24"/>
          <w:szCs w:val="24"/>
          <w:lang w:val="en-GB"/>
        </w:rPr>
      </w:pPr>
    </w:p>
    <w:p w14:paraId="338864AF" w14:textId="77777777" w:rsidR="00EE0C3F" w:rsidRPr="0014092B" w:rsidRDefault="00EE0C3F" w:rsidP="009D0175">
      <w:pPr>
        <w:pStyle w:val="SingleTxtG"/>
        <w:tabs>
          <w:tab w:val="left" w:pos="2268"/>
        </w:tabs>
        <w:ind w:left="0"/>
        <w:rPr>
          <w:bCs/>
          <w:iCs/>
          <w:sz w:val="24"/>
          <w:szCs w:val="24"/>
          <w:lang w:val="en-GB"/>
        </w:rPr>
      </w:pPr>
    </w:p>
    <w:p w14:paraId="4CF2BBA8" w14:textId="5A071945" w:rsidR="009D0175" w:rsidRPr="00A4674D" w:rsidRDefault="009D0175" w:rsidP="00A4674D">
      <w:pPr>
        <w:pStyle w:val="SingleTxtG"/>
        <w:numPr>
          <w:ilvl w:val="0"/>
          <w:numId w:val="1"/>
        </w:numPr>
        <w:tabs>
          <w:tab w:val="left" w:pos="2268"/>
        </w:tabs>
        <w:rPr>
          <w:b/>
          <w:sz w:val="32"/>
          <w:szCs w:val="32"/>
          <w:lang w:val="en-GB"/>
        </w:rPr>
      </w:pPr>
      <w:r w:rsidRPr="00A4674D">
        <w:rPr>
          <w:b/>
          <w:sz w:val="32"/>
          <w:szCs w:val="32"/>
          <w:lang w:val="en-GB"/>
        </w:rPr>
        <w:t>Justification:</w:t>
      </w:r>
    </w:p>
    <w:p w14:paraId="19B3CC26" w14:textId="1A40BFDD" w:rsidR="00EE0C3F" w:rsidRDefault="00EE0C3F" w:rsidP="00797A91">
      <w:pPr>
        <w:jc w:val="both"/>
        <w:rPr>
          <w:rFonts w:ascii="Times New Roman" w:hAnsi="Times New Roman"/>
        </w:rPr>
      </w:pPr>
      <w:r>
        <w:rPr>
          <w:rFonts w:ascii="Times New Roman" w:hAnsi="Times New Roman"/>
        </w:rPr>
        <w:t>In accordance with paragraph 41. of the latest edition of the “</w:t>
      </w:r>
      <w:r w:rsidRPr="00EE0C3F">
        <w:rPr>
          <w:rFonts w:ascii="Times New Roman" w:hAnsi="Times New Roman"/>
        </w:rPr>
        <w:t>General Guidelines for United Nations regulatory procedures and transitional provisions in UN Regulations</w:t>
      </w:r>
      <w:r>
        <w:rPr>
          <w:rFonts w:ascii="Times New Roman" w:hAnsi="Times New Roman"/>
        </w:rPr>
        <w:t>” (</w:t>
      </w:r>
      <w:r w:rsidRPr="00EE0C3F">
        <w:rPr>
          <w:rFonts w:ascii="Times New Roman" w:hAnsi="Times New Roman"/>
        </w:rPr>
        <w:t>ECE/TRANS/WP.29/1044/Rev.2</w:t>
      </w:r>
      <w:r>
        <w:rPr>
          <w:rFonts w:ascii="Times New Roman" w:hAnsi="Times New Roman"/>
        </w:rPr>
        <w:t xml:space="preserve">) it is appropriate to make clear in the transitional provisions that </w:t>
      </w:r>
      <w:r>
        <w:rPr>
          <w:rFonts w:ascii="Times New Roman" w:hAnsi="Times New Roman"/>
          <w:lang w:val="en-US"/>
        </w:rPr>
        <w:t>approvals to vehicles and components granted to the preceding series of amendments which are not affected by the new 04 series of amendments shall continue to be accepted and extended</w:t>
      </w:r>
    </w:p>
    <w:p w14:paraId="77D77A92" w14:textId="5D71C773" w:rsidR="009D0175" w:rsidRPr="00797A91" w:rsidRDefault="00797A91" w:rsidP="00797A91">
      <w:pPr>
        <w:autoSpaceDE w:val="0"/>
        <w:adjustRightInd w:val="0"/>
        <w:spacing w:after="0" w:line="240" w:lineRule="auto"/>
        <w:jc w:val="center"/>
        <w:rPr>
          <w:rFonts w:ascii="Times New Roman" w:hAnsi="Times New Roman"/>
          <w:iCs/>
          <w:sz w:val="24"/>
          <w:szCs w:val="24"/>
        </w:rPr>
      </w:pPr>
      <w:r>
        <w:rPr>
          <w:rFonts w:ascii="Times New Roman" w:hAnsi="Times New Roman"/>
          <w:iCs/>
          <w:sz w:val="24"/>
          <w:szCs w:val="24"/>
        </w:rPr>
        <w:t>----------------</w:t>
      </w:r>
    </w:p>
    <w:sectPr w:rsidR="009D0175" w:rsidRPr="00797A91" w:rsidSect="00797A91">
      <w:headerReference w:type="default" r:id="rId10"/>
      <w:pgSz w:w="11906" w:h="16838"/>
      <w:pgMar w:top="1440" w:right="1440" w:bottom="70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33907" w14:textId="77777777" w:rsidR="000B2187" w:rsidRDefault="000B2187">
      <w:pPr>
        <w:spacing w:after="0" w:line="240" w:lineRule="auto"/>
      </w:pPr>
      <w:r>
        <w:separator/>
      </w:r>
    </w:p>
  </w:endnote>
  <w:endnote w:type="continuationSeparator" w:id="0">
    <w:p w14:paraId="40B92124" w14:textId="77777777" w:rsidR="000B2187" w:rsidRDefault="000B2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462F7" w14:textId="77777777" w:rsidR="000B2187" w:rsidRDefault="000B2187">
      <w:pPr>
        <w:spacing w:after="0" w:line="240" w:lineRule="auto"/>
      </w:pPr>
      <w:r>
        <w:rPr>
          <w:color w:val="000000"/>
        </w:rPr>
        <w:separator/>
      </w:r>
    </w:p>
  </w:footnote>
  <w:footnote w:type="continuationSeparator" w:id="0">
    <w:p w14:paraId="0AFFA010" w14:textId="77777777" w:rsidR="000B2187" w:rsidRDefault="000B21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839DC" w14:textId="3624DF7D" w:rsidR="00A4674D" w:rsidRDefault="00A4674D" w:rsidP="0014092B">
    <w:pPr>
      <w:spacing w:after="0" w:line="240" w:lineRule="atLeast"/>
      <w:ind w:left="6237" w:right="-46" w:hanging="6237"/>
    </w:pPr>
    <w:r>
      <w:rPr>
        <w:rFonts w:ascii="Times New Roman" w:eastAsia="MS Mincho" w:hAnsi="Times New Roman"/>
        <w:sz w:val="20"/>
        <w:szCs w:val="20"/>
      </w:rPr>
      <w:t>Submitted by the expert from CLEPA</w:t>
    </w:r>
    <w:r w:rsidR="0014092B">
      <w:rPr>
        <w:rFonts w:ascii="Times New Roman" w:eastAsia="MS Mincho" w:hAnsi="Times New Roman"/>
        <w:sz w:val="20"/>
        <w:szCs w:val="20"/>
      </w:rPr>
      <w:tab/>
    </w:r>
    <w:r w:rsidR="00B37F6C">
      <w:rPr>
        <w:sz w:val="20"/>
        <w:szCs w:val="20"/>
        <w:u w:val="single"/>
      </w:rPr>
      <w:t>Informal document</w:t>
    </w:r>
    <w:r w:rsidR="00B37F6C">
      <w:rPr>
        <w:sz w:val="20"/>
        <w:szCs w:val="20"/>
      </w:rPr>
      <w:t xml:space="preserve"> </w:t>
    </w:r>
    <w:r w:rsidR="00B37F6C">
      <w:rPr>
        <w:b/>
        <w:bCs/>
        <w:sz w:val="20"/>
        <w:szCs w:val="20"/>
      </w:rPr>
      <w:t>GRSG-119-</w:t>
    </w:r>
    <w:r w:rsidR="0014092B">
      <w:rPr>
        <w:b/>
        <w:bCs/>
        <w:sz w:val="20"/>
        <w:szCs w:val="20"/>
      </w:rPr>
      <w:t xml:space="preserve">31 </w:t>
    </w:r>
    <w:r w:rsidR="00B37F6C">
      <w:rPr>
        <w:b/>
        <w:bCs/>
        <w:sz w:val="20"/>
        <w:szCs w:val="20"/>
      </w:rPr>
      <w:br/>
    </w:r>
    <w:r w:rsidR="00B37F6C">
      <w:rPr>
        <w:sz w:val="20"/>
        <w:szCs w:val="20"/>
      </w:rPr>
      <w:t xml:space="preserve">(119th GRSG, 6-9 October 2020, </w:t>
    </w:r>
    <w:r w:rsidR="00B37F6C">
      <w:rPr>
        <w:sz w:val="20"/>
        <w:szCs w:val="20"/>
      </w:rPr>
      <w:br/>
      <w:t>Agenda item 2b)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707C3"/>
    <w:multiLevelType w:val="hybridMultilevel"/>
    <w:tmpl w:val="C00E53E6"/>
    <w:lvl w:ilvl="0" w:tplc="666485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5A1"/>
    <w:rsid w:val="00093684"/>
    <w:rsid w:val="000B2187"/>
    <w:rsid w:val="0014092B"/>
    <w:rsid w:val="00193B9B"/>
    <w:rsid w:val="001B626D"/>
    <w:rsid w:val="001E03AF"/>
    <w:rsid w:val="001F1DA5"/>
    <w:rsid w:val="00262B7B"/>
    <w:rsid w:val="0039497C"/>
    <w:rsid w:val="003C2F92"/>
    <w:rsid w:val="003C2FC6"/>
    <w:rsid w:val="004325D1"/>
    <w:rsid w:val="004D06F5"/>
    <w:rsid w:val="00554D51"/>
    <w:rsid w:val="005811C4"/>
    <w:rsid w:val="00693F9D"/>
    <w:rsid w:val="006A4A03"/>
    <w:rsid w:val="00715553"/>
    <w:rsid w:val="0072005D"/>
    <w:rsid w:val="00774D7D"/>
    <w:rsid w:val="00790B70"/>
    <w:rsid w:val="00797A91"/>
    <w:rsid w:val="00834DA2"/>
    <w:rsid w:val="009433CE"/>
    <w:rsid w:val="009D0175"/>
    <w:rsid w:val="00A4674D"/>
    <w:rsid w:val="00A704F2"/>
    <w:rsid w:val="00A935A1"/>
    <w:rsid w:val="00B2606B"/>
    <w:rsid w:val="00B36E28"/>
    <w:rsid w:val="00B37F6C"/>
    <w:rsid w:val="00B63C3F"/>
    <w:rsid w:val="00BE5C4B"/>
    <w:rsid w:val="00C20ADE"/>
    <w:rsid w:val="00CF1904"/>
    <w:rsid w:val="00E30D58"/>
    <w:rsid w:val="00EE0C3F"/>
    <w:rsid w:val="00F6647E"/>
    <w:rsid w:val="00F750F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A085FD"/>
  <w15:docId w15:val="{EC23C4F6-4D17-4D9F-9B03-B322E9488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pPr>
      <w:keepNext/>
      <w:keepLines/>
      <w:tabs>
        <w:tab w:val="right" w:pos="851"/>
      </w:tabs>
      <w:spacing w:before="360" w:after="240" w:line="300" w:lineRule="exact"/>
      <w:ind w:left="1134" w:right="1134" w:hanging="1134"/>
    </w:pPr>
    <w:rPr>
      <w:rFonts w:ascii="Times New Roman" w:eastAsia="MS Mincho" w:hAnsi="Times New Roman"/>
      <w:b/>
      <w:sz w:val="28"/>
      <w:szCs w:val="20"/>
      <w:lang w:val="fr-CH"/>
    </w:rPr>
  </w:style>
  <w:style w:type="character" w:customStyle="1" w:styleId="HChGChar">
    <w:name w:val="_ H _Ch_G Char"/>
    <w:rPr>
      <w:rFonts w:ascii="Times New Roman" w:eastAsia="MS Mincho" w:hAnsi="Times New Roman" w:cs="Times New Roman"/>
      <w:b/>
      <w:sz w:val="28"/>
      <w:szCs w:val="20"/>
      <w:lang w:val="fr-CH"/>
    </w:rPr>
  </w:style>
  <w:style w:type="paragraph" w:customStyle="1" w:styleId="SingleTxtG">
    <w:name w:val="_ Single Txt_G"/>
    <w:basedOn w:val="Normal"/>
    <w:pPr>
      <w:spacing w:after="120" w:line="240" w:lineRule="atLeast"/>
      <w:ind w:left="1134" w:right="1134"/>
      <w:jc w:val="both"/>
    </w:pPr>
    <w:rPr>
      <w:rFonts w:ascii="Times New Roman" w:eastAsia="MS Mincho" w:hAnsi="Times New Roman"/>
      <w:sz w:val="20"/>
      <w:szCs w:val="20"/>
      <w:lang w:val="fr-CH"/>
    </w:rPr>
  </w:style>
  <w:style w:type="character" w:customStyle="1" w:styleId="SingleTxtGChar">
    <w:name w:val="_ Single Txt_G Char"/>
    <w:rPr>
      <w:rFonts w:ascii="Times New Roman" w:eastAsia="MS Mincho" w:hAnsi="Times New Roman" w:cs="Times New Roman"/>
      <w:sz w:val="20"/>
      <w:szCs w:val="20"/>
      <w:lang w:val="fr-CH"/>
    </w:rPr>
  </w:style>
  <w:style w:type="paragraph" w:styleId="Header">
    <w:name w:val="header"/>
    <w:basedOn w:val="Normal"/>
    <w:link w:val="HeaderChar"/>
    <w:uiPriority w:val="99"/>
    <w:unhideWhenUsed/>
    <w:rsid w:val="00A467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74D"/>
  </w:style>
  <w:style w:type="paragraph" w:styleId="Footer">
    <w:name w:val="footer"/>
    <w:basedOn w:val="Normal"/>
    <w:link w:val="FooterChar"/>
    <w:uiPriority w:val="99"/>
    <w:unhideWhenUsed/>
    <w:rsid w:val="00A467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74D"/>
  </w:style>
  <w:style w:type="paragraph" w:styleId="BalloonText">
    <w:name w:val="Balloon Text"/>
    <w:basedOn w:val="Normal"/>
    <w:link w:val="BalloonTextChar"/>
    <w:uiPriority w:val="99"/>
    <w:semiHidden/>
    <w:unhideWhenUsed/>
    <w:rsid w:val="001409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9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9147092">
      <w:bodyDiv w:val="1"/>
      <w:marLeft w:val="0"/>
      <w:marRight w:val="0"/>
      <w:marTop w:val="0"/>
      <w:marBottom w:val="0"/>
      <w:divBdr>
        <w:top w:val="none" w:sz="0" w:space="0" w:color="auto"/>
        <w:left w:val="none" w:sz="0" w:space="0" w:color="auto"/>
        <w:bottom w:val="none" w:sz="0" w:space="0" w:color="auto"/>
        <w:right w:val="none" w:sz="0" w:space="0" w:color="auto"/>
      </w:divBdr>
    </w:div>
    <w:div w:id="18002958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CFE19C-8AE7-421B-96D3-3B9D565DA8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5CD247-E877-49FA-9455-5A181B895D23}">
  <ds:schemaRefs>
    <ds:schemaRef ds:uri="http://schemas.microsoft.com/sharepoint/v3/contenttype/forms"/>
  </ds:schemaRefs>
</ds:datastoreItem>
</file>

<file path=customXml/itemProps3.xml><?xml version="1.0" encoding="utf-8"?>
<ds:datastoreItem xmlns:ds="http://schemas.openxmlformats.org/officeDocument/2006/customXml" ds:itemID="{EE0C191C-20C5-4BE5-A0EA-B845D18BEC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dc:creator>
  <dc:description/>
  <cp:lastModifiedBy>Nikola SAHOVIC</cp:lastModifiedBy>
  <cp:revision>2</cp:revision>
  <dcterms:created xsi:type="dcterms:W3CDTF">2020-10-06T12:21:00Z</dcterms:created>
  <dcterms:modified xsi:type="dcterms:W3CDTF">2020-10-06T12:21:00Z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