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B078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B0788" w:rsidP="008B0788">
            <w:pPr>
              <w:jc w:val="right"/>
            </w:pPr>
            <w:r w:rsidRPr="008B0788">
              <w:rPr>
                <w:sz w:val="40"/>
              </w:rPr>
              <w:t>ECE</w:t>
            </w:r>
            <w:r>
              <w:t>/TRANS/WP.29/GRSG/2020/2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B0788" w:rsidP="00C97039">
            <w:pPr>
              <w:spacing w:before="240"/>
            </w:pPr>
            <w:r>
              <w:t>Distr. générale</w:t>
            </w:r>
          </w:p>
          <w:p w:rsidR="008B0788" w:rsidRDefault="008B0788" w:rsidP="008B0788">
            <w:pPr>
              <w:spacing w:line="240" w:lineRule="exact"/>
            </w:pPr>
            <w:r>
              <w:t>20 janvier 2020</w:t>
            </w:r>
          </w:p>
          <w:p w:rsidR="008B0788" w:rsidRDefault="008B0788" w:rsidP="008B0788">
            <w:pPr>
              <w:spacing w:line="240" w:lineRule="exact"/>
            </w:pPr>
            <w:r>
              <w:t>Français</w:t>
            </w:r>
          </w:p>
          <w:p w:rsidR="008B0788" w:rsidRPr="00DB58B5" w:rsidRDefault="008B0788" w:rsidP="008B078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822A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B0788" w:rsidRDefault="008B0788" w:rsidP="00AF0CB5">
      <w:pPr>
        <w:spacing w:before="120"/>
        <w:rPr>
          <w:b/>
          <w:sz w:val="24"/>
          <w:szCs w:val="24"/>
        </w:rPr>
      </w:pPr>
      <w:r w:rsidRPr="00685843">
        <w:rPr>
          <w:b/>
          <w:sz w:val="24"/>
          <w:szCs w:val="24"/>
        </w:rPr>
        <w:t>Forum mondial de l</w:t>
      </w:r>
      <w:r w:rsidR="006822A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B0788" w:rsidRDefault="008B0788" w:rsidP="008B0788">
      <w:pPr>
        <w:spacing w:before="120" w:after="120" w:line="240" w:lineRule="exact"/>
        <w:rPr>
          <w:b/>
        </w:rPr>
      </w:pPr>
      <w:r w:rsidRPr="008B0788">
        <w:rPr>
          <w:b/>
          <w:bCs/>
          <w:lang w:val="fr-FR"/>
        </w:rPr>
        <w:t>Groupe de travail des dispositions générales de sécurité</w:t>
      </w:r>
      <w:bookmarkStart w:id="0" w:name="_GoBack"/>
      <w:bookmarkEnd w:id="0"/>
    </w:p>
    <w:p w:rsidR="008B0788" w:rsidRDefault="008B0788" w:rsidP="00257168">
      <w:pPr>
        <w:spacing w:before="120" w:line="240" w:lineRule="exact"/>
        <w:rPr>
          <w:b/>
        </w:rPr>
      </w:pPr>
      <w:r>
        <w:rPr>
          <w:b/>
        </w:rPr>
        <w:t>118</w:t>
      </w:r>
      <w:r w:rsidRPr="008B0788">
        <w:rPr>
          <w:b/>
          <w:vertAlign w:val="superscript"/>
        </w:rPr>
        <w:t>e</w:t>
      </w:r>
      <w:r>
        <w:rPr>
          <w:b/>
        </w:rPr>
        <w:t xml:space="preserve"> session</w:t>
      </w:r>
    </w:p>
    <w:p w:rsidR="008B0788" w:rsidRDefault="008B0788" w:rsidP="00257168">
      <w:pPr>
        <w:spacing w:line="240" w:lineRule="exact"/>
      </w:pPr>
      <w:r>
        <w:t xml:space="preserve">Genève, </w:t>
      </w:r>
      <w:r>
        <w:rPr>
          <w:lang w:val="fr-FR"/>
        </w:rPr>
        <w:t>30</w:t>
      </w:r>
      <w:r w:rsidRPr="009F2906">
        <w:rPr>
          <w:lang w:val="fr-FR"/>
        </w:rPr>
        <w:t xml:space="preserve"> mars-3 avril 2020</w:t>
      </w:r>
    </w:p>
    <w:p w:rsidR="008B0788" w:rsidRDefault="008B0788" w:rsidP="00257168">
      <w:pPr>
        <w:spacing w:line="240" w:lineRule="exact"/>
      </w:pPr>
      <w:r w:rsidRPr="009F2906">
        <w:rPr>
          <w:lang w:val="fr-FR"/>
        </w:rPr>
        <w:t>Point 2 a) de l</w:t>
      </w:r>
      <w:r w:rsidR="006822A4">
        <w:rPr>
          <w:lang w:val="fr-FR"/>
        </w:rPr>
        <w:t>’</w:t>
      </w:r>
      <w:r w:rsidRPr="009F2906">
        <w:rPr>
          <w:lang w:val="fr-FR"/>
        </w:rPr>
        <w:t>ordre du jour provisoire</w:t>
      </w:r>
    </w:p>
    <w:p w:rsidR="00F9573C" w:rsidRDefault="008B0788" w:rsidP="00AF0CB5">
      <w:pPr>
        <w:rPr>
          <w:b/>
          <w:bCs/>
          <w:lang w:val="fr-FR"/>
        </w:rPr>
      </w:pPr>
      <w:r w:rsidRPr="009F2906">
        <w:rPr>
          <w:b/>
          <w:bCs/>
          <w:lang w:val="fr-FR"/>
        </w:rPr>
        <w:t>Amendements aux Règlements sur les autobus et les autocars</w:t>
      </w:r>
      <w:r>
        <w:rPr>
          <w:b/>
          <w:bCs/>
          <w:lang w:val="fr-FR"/>
        </w:rPr>
        <w:t> </w:t>
      </w:r>
      <w:r w:rsidRPr="009F2906">
        <w:rPr>
          <w:b/>
          <w:bCs/>
          <w:lang w:val="fr-FR"/>
        </w:rPr>
        <w:t>:</w:t>
      </w:r>
      <w:r w:rsidRPr="009F2906">
        <w:rPr>
          <w:lang w:val="fr-FR"/>
        </w:rPr>
        <w:t xml:space="preserve"> </w:t>
      </w:r>
      <w:r>
        <w:rPr>
          <w:lang w:val="fr-FR"/>
        </w:rPr>
        <w:br/>
      </w:r>
      <w:r w:rsidRPr="009F2906">
        <w:rPr>
          <w:b/>
          <w:bCs/>
          <w:lang w:val="fr-FR"/>
        </w:rPr>
        <w:t xml:space="preserve">Règlement ONU </w:t>
      </w:r>
      <w:r w:rsidRPr="008B0788">
        <w:rPr>
          <w:rFonts w:eastAsia="MS Mincho"/>
          <w:b/>
          <w:bCs/>
          <w:lang w:val="fr-FR"/>
        </w:rPr>
        <w:t>n</w:t>
      </w:r>
      <w:r w:rsidRPr="008B0788">
        <w:rPr>
          <w:rFonts w:eastAsia="MS Mincho"/>
          <w:b/>
          <w:bCs/>
          <w:vertAlign w:val="superscript"/>
          <w:lang w:val="fr-FR"/>
        </w:rPr>
        <w:t>o</w:t>
      </w:r>
      <w:r w:rsidRPr="009F2906">
        <w:rPr>
          <w:b/>
          <w:bCs/>
          <w:lang w:val="fr-FR"/>
        </w:rPr>
        <w:t xml:space="preserve"> 107 (Véhicules des catégories M</w:t>
      </w:r>
      <w:r w:rsidRPr="009F2906">
        <w:rPr>
          <w:b/>
          <w:bCs/>
          <w:vertAlign w:val="subscript"/>
          <w:lang w:val="fr-FR"/>
        </w:rPr>
        <w:t>2</w:t>
      </w:r>
      <w:r w:rsidRPr="009F2906">
        <w:rPr>
          <w:b/>
          <w:bCs/>
          <w:lang w:val="fr-FR"/>
        </w:rPr>
        <w:t xml:space="preserve"> et M</w:t>
      </w:r>
      <w:r w:rsidRPr="009F2906">
        <w:rPr>
          <w:b/>
          <w:bCs/>
          <w:vertAlign w:val="subscript"/>
          <w:lang w:val="fr-FR"/>
        </w:rPr>
        <w:t>3</w:t>
      </w:r>
      <w:r w:rsidRPr="009F2906">
        <w:rPr>
          <w:b/>
          <w:bCs/>
          <w:lang w:val="fr-FR"/>
        </w:rPr>
        <w:t>)</w:t>
      </w:r>
    </w:p>
    <w:p w:rsidR="008B0788" w:rsidRPr="008B0788" w:rsidRDefault="008B0788" w:rsidP="008B0788">
      <w:pPr>
        <w:pStyle w:val="HChG"/>
        <w:rPr>
          <w:lang w:val="fr-FR"/>
        </w:rPr>
      </w:pPr>
      <w:r w:rsidRPr="008B0788">
        <w:rPr>
          <w:lang w:val="fr-FR"/>
        </w:rPr>
        <w:tab/>
      </w:r>
      <w:r w:rsidRPr="008B0788">
        <w:rPr>
          <w:lang w:val="fr-FR"/>
        </w:rPr>
        <w:tab/>
        <w:t>Proposition de nouveau complément à la série 04 d</w:t>
      </w:r>
      <w:r w:rsidR="006822A4">
        <w:rPr>
          <w:lang w:val="fr-FR"/>
        </w:rPr>
        <w:t>’</w:t>
      </w:r>
      <w:r w:rsidRPr="008B0788">
        <w:rPr>
          <w:lang w:val="fr-FR"/>
        </w:rPr>
        <w:t xml:space="preserve">amendements au Règlement ONU </w:t>
      </w:r>
      <w:r w:rsidRPr="008B0788">
        <w:rPr>
          <w:rFonts w:eastAsia="MS Mincho"/>
          <w:lang w:val="fr-FR"/>
        </w:rPr>
        <w:t>n</w:t>
      </w:r>
      <w:r w:rsidRPr="008B0788">
        <w:rPr>
          <w:rFonts w:eastAsia="MS Mincho"/>
          <w:vertAlign w:val="superscript"/>
          <w:lang w:val="fr-FR"/>
        </w:rPr>
        <w:t>o</w:t>
      </w:r>
      <w:r w:rsidRPr="008B0788">
        <w:rPr>
          <w:lang w:val="fr-FR"/>
        </w:rPr>
        <w:t xml:space="preserve"> 107 </w:t>
      </w:r>
      <w:r>
        <w:rPr>
          <w:lang w:val="fr-FR"/>
        </w:rPr>
        <w:br/>
      </w:r>
      <w:r w:rsidRPr="008B0788">
        <w:rPr>
          <w:lang w:val="fr-FR"/>
        </w:rPr>
        <w:t>(Véhicules des catégories M</w:t>
      </w:r>
      <w:r w:rsidRPr="008B0788">
        <w:rPr>
          <w:vertAlign w:val="subscript"/>
          <w:lang w:val="fr-FR"/>
        </w:rPr>
        <w:t>2</w:t>
      </w:r>
      <w:r w:rsidRPr="008B0788">
        <w:rPr>
          <w:lang w:val="fr-FR"/>
        </w:rPr>
        <w:t xml:space="preserve"> et M</w:t>
      </w:r>
      <w:r w:rsidRPr="008B0788">
        <w:rPr>
          <w:vertAlign w:val="subscript"/>
          <w:lang w:val="fr-FR"/>
        </w:rPr>
        <w:t>3</w:t>
      </w:r>
      <w:r w:rsidRPr="008B0788">
        <w:rPr>
          <w:lang w:val="fr-FR"/>
        </w:rPr>
        <w:t>)</w:t>
      </w:r>
    </w:p>
    <w:p w:rsidR="008B0788" w:rsidRPr="008B0788" w:rsidRDefault="008B0788" w:rsidP="008B0788">
      <w:pPr>
        <w:pStyle w:val="H1G"/>
        <w:rPr>
          <w:vertAlign w:val="superscript"/>
          <w:lang w:val="fr-FR"/>
        </w:rPr>
      </w:pPr>
      <w:r>
        <w:rPr>
          <w:lang w:val="fr-FR"/>
        </w:rPr>
        <w:tab/>
      </w:r>
      <w:r>
        <w:rPr>
          <w:lang w:val="fr-FR"/>
        </w:rPr>
        <w:tab/>
      </w:r>
      <w:r w:rsidRPr="008B0788">
        <w:rPr>
          <w:lang w:val="fr-FR"/>
        </w:rPr>
        <w:t>Communication de l</w:t>
      </w:r>
      <w:r w:rsidR="006822A4">
        <w:rPr>
          <w:lang w:val="fr-FR"/>
        </w:rPr>
        <w:t>’</w:t>
      </w:r>
      <w:r w:rsidRPr="008B0788">
        <w:rPr>
          <w:lang w:val="fr-FR"/>
        </w:rPr>
        <w:t>expert de l</w:t>
      </w:r>
      <w:r w:rsidR="006822A4">
        <w:rPr>
          <w:lang w:val="fr-FR"/>
        </w:rPr>
        <w:t>’</w:t>
      </w:r>
      <w:r w:rsidRPr="008B0788">
        <w:rPr>
          <w:lang w:val="fr-FR"/>
        </w:rPr>
        <w:t>Espagne</w:t>
      </w:r>
      <w:r w:rsidRPr="00611BE8">
        <w:rPr>
          <w:rStyle w:val="Appelnotedebasdep"/>
          <w:b w:val="0"/>
          <w:bCs/>
          <w:sz w:val="20"/>
          <w:vertAlign w:val="baseline"/>
        </w:rPr>
        <w:footnoteReference w:customMarkFollows="1" w:id="2"/>
        <w:t>*</w:t>
      </w:r>
    </w:p>
    <w:p w:rsidR="008B0788" w:rsidRPr="008B0788" w:rsidRDefault="008B0788" w:rsidP="008B0788">
      <w:pPr>
        <w:pStyle w:val="SingleTxtG"/>
        <w:rPr>
          <w:lang w:val="fr-FR"/>
        </w:rPr>
      </w:pPr>
      <w:r>
        <w:rPr>
          <w:lang w:val="fr-FR"/>
        </w:rPr>
        <w:tab/>
      </w:r>
      <w:r w:rsidRPr="008B0788">
        <w:rPr>
          <w:lang w:val="fr-FR"/>
        </w:rPr>
        <w:t>Le texte ci-après, établi par l</w:t>
      </w:r>
      <w:r w:rsidR="006822A4">
        <w:rPr>
          <w:lang w:val="fr-FR"/>
        </w:rPr>
        <w:t>’</w:t>
      </w:r>
      <w:r w:rsidRPr="008B0788">
        <w:rPr>
          <w:lang w:val="fr-FR"/>
        </w:rPr>
        <w:t>expert de l</w:t>
      </w:r>
      <w:r w:rsidR="006822A4">
        <w:rPr>
          <w:lang w:val="fr-FR"/>
        </w:rPr>
        <w:t>’</w:t>
      </w:r>
      <w:r w:rsidRPr="008B0788">
        <w:rPr>
          <w:lang w:val="fr-FR"/>
        </w:rPr>
        <w:t>Espagne, vise à modifier les prescriptions relatives à l</w:t>
      </w:r>
      <w:r w:rsidR="006822A4">
        <w:rPr>
          <w:lang w:val="fr-FR"/>
        </w:rPr>
        <w:t>’</w:t>
      </w:r>
      <w:r w:rsidRPr="008B0788">
        <w:rPr>
          <w:lang w:val="fr-FR"/>
        </w:rPr>
        <w:t>homologation des véhicules des catégories M</w:t>
      </w:r>
      <w:r w:rsidRPr="008B0788">
        <w:rPr>
          <w:vertAlign w:val="subscript"/>
          <w:lang w:val="fr-FR"/>
        </w:rPr>
        <w:t>2</w:t>
      </w:r>
      <w:r w:rsidRPr="008B0788">
        <w:rPr>
          <w:lang w:val="fr-FR"/>
        </w:rPr>
        <w:t xml:space="preserve"> et M</w:t>
      </w:r>
      <w:r w:rsidRPr="008B0788">
        <w:rPr>
          <w:vertAlign w:val="subscript"/>
          <w:lang w:val="fr-FR"/>
        </w:rPr>
        <w:t>3</w:t>
      </w:r>
      <w:r w:rsidRPr="008B0788">
        <w:rPr>
          <w:lang w:val="fr-FR"/>
        </w:rPr>
        <w:t xml:space="preserve"> en ce qui concerne leurs caractéristiques générales de construction. Il est fondé sur le document informel GRSG</w:t>
      </w:r>
      <w:r>
        <w:rPr>
          <w:lang w:val="fr-FR"/>
        </w:rPr>
        <w:noBreakHyphen/>
      </w:r>
      <w:r w:rsidRPr="008B0788">
        <w:rPr>
          <w:lang w:val="fr-FR"/>
        </w:rPr>
        <w:t>117-03. Les modifications qu</w:t>
      </w:r>
      <w:r w:rsidR="006822A4">
        <w:rPr>
          <w:lang w:val="fr-FR"/>
        </w:rPr>
        <w:t>’</w:t>
      </w:r>
      <w:r w:rsidRPr="008B0788">
        <w:rPr>
          <w:lang w:val="fr-FR"/>
        </w:rPr>
        <w:t>il est proposé d</w:t>
      </w:r>
      <w:r w:rsidR="006822A4">
        <w:rPr>
          <w:lang w:val="fr-FR"/>
        </w:rPr>
        <w:t>’</w:t>
      </w:r>
      <w:r w:rsidRPr="008B0788">
        <w:rPr>
          <w:lang w:val="fr-FR"/>
        </w:rPr>
        <w:t>apporter au texte actuel du Règlement ONU n</w:t>
      </w:r>
      <w:r w:rsidRPr="008B0788">
        <w:rPr>
          <w:vertAlign w:val="superscript"/>
          <w:lang w:val="fr-FR"/>
        </w:rPr>
        <w:t>o </w:t>
      </w:r>
      <w:r w:rsidRPr="008B0788">
        <w:rPr>
          <w:lang w:val="fr-FR"/>
        </w:rPr>
        <w:t>107 sont indiquées en caractères gras.</w:t>
      </w:r>
    </w:p>
    <w:p w:rsidR="008B0788" w:rsidRPr="008B0788" w:rsidRDefault="008B0788" w:rsidP="006822A4">
      <w:pPr>
        <w:pStyle w:val="HChG"/>
        <w:rPr>
          <w:lang w:val="fr-FR"/>
        </w:rPr>
      </w:pPr>
      <w:r w:rsidRPr="008B0788">
        <w:rPr>
          <w:lang w:val="fr-FR"/>
        </w:rPr>
        <w:br w:type="page"/>
      </w:r>
      <w:r w:rsidRPr="008B0788">
        <w:rPr>
          <w:lang w:val="fr-FR"/>
        </w:rPr>
        <w:lastRenderedPageBreak/>
        <w:tab/>
        <w:t>I.</w:t>
      </w:r>
      <w:r w:rsidRPr="008B0788">
        <w:rPr>
          <w:lang w:val="fr-FR"/>
        </w:rPr>
        <w:tab/>
        <w:t>Proposition</w:t>
      </w:r>
    </w:p>
    <w:p w:rsidR="008B0788" w:rsidRPr="008B0788" w:rsidRDefault="008B0788" w:rsidP="008B0788">
      <w:pPr>
        <w:pStyle w:val="SingleTxtG"/>
        <w:rPr>
          <w:lang w:val="fr-FR"/>
        </w:rPr>
      </w:pPr>
      <w:r w:rsidRPr="008B0788">
        <w:rPr>
          <w:i/>
          <w:iCs/>
          <w:lang w:val="fr-FR"/>
        </w:rPr>
        <w:t>Annexe 8</w:t>
      </w:r>
    </w:p>
    <w:p w:rsidR="008B0788" w:rsidRPr="008B0788" w:rsidRDefault="008B0788" w:rsidP="008B0788">
      <w:pPr>
        <w:pStyle w:val="SingleTxtG"/>
        <w:rPr>
          <w:iCs/>
          <w:lang w:val="fr-FR"/>
        </w:rPr>
      </w:pPr>
      <w:r w:rsidRPr="008B0788">
        <w:rPr>
          <w:i/>
          <w:iCs/>
          <w:lang w:val="fr-FR"/>
        </w:rPr>
        <w:t>Paragraphe 3.11.3.1.1</w:t>
      </w:r>
      <w:r w:rsidRPr="008B0788">
        <w:rPr>
          <w:lang w:val="fr-FR"/>
        </w:rPr>
        <w:t>, lire</w:t>
      </w:r>
      <w:r w:rsidR="006822A4">
        <w:rPr>
          <w:lang w:val="fr-FR"/>
        </w:rPr>
        <w:t> </w:t>
      </w:r>
      <w:r w:rsidRPr="008B0788">
        <w:rPr>
          <w:lang w:val="fr-FR"/>
        </w:rPr>
        <w:t>:</w:t>
      </w:r>
    </w:p>
    <w:p w:rsidR="008B0788" w:rsidRPr="008B0788" w:rsidRDefault="006822A4" w:rsidP="006822A4">
      <w:pPr>
        <w:pStyle w:val="SingleTxtG"/>
        <w:ind w:left="2268" w:hanging="1134"/>
        <w:rPr>
          <w:lang w:val="fr-FR"/>
        </w:rPr>
      </w:pPr>
      <w:r>
        <w:rPr>
          <w:lang w:val="fr-FR"/>
        </w:rPr>
        <w:t>« </w:t>
      </w:r>
      <w:r w:rsidR="008B0788" w:rsidRPr="008B0788">
        <w:rPr>
          <w:lang w:val="fr-FR"/>
        </w:rPr>
        <w:t>3.11.3.1.1</w:t>
      </w:r>
      <w:r w:rsidR="008B0788" w:rsidRPr="008B0788">
        <w:rPr>
          <w:lang w:val="fr-FR"/>
        </w:rPr>
        <w:tab/>
        <w:t>Les élévateurs ne doivent pouvoir fonctionner que lorsque le véhicule est à l</w:t>
      </w:r>
      <w:r>
        <w:rPr>
          <w:lang w:val="fr-FR"/>
        </w:rPr>
        <w:t>’</w:t>
      </w:r>
      <w:r w:rsidR="008B0788" w:rsidRPr="008B0788">
        <w:rPr>
          <w:lang w:val="fr-FR"/>
        </w:rPr>
        <w:t xml:space="preserve">arrêt. </w:t>
      </w:r>
      <w:r w:rsidR="008B0788" w:rsidRPr="008B0788">
        <w:rPr>
          <w:b/>
          <w:bCs/>
          <w:lang w:val="fr-FR"/>
        </w:rPr>
        <w:t>Le véhicule doit avoir un dispositif de blocage du démarrage, qui doit être activé jusqu</w:t>
      </w:r>
      <w:r>
        <w:rPr>
          <w:b/>
          <w:bCs/>
          <w:lang w:val="fr-FR"/>
        </w:rPr>
        <w:t>’</w:t>
      </w:r>
      <w:r w:rsidR="008B0788" w:rsidRPr="008B0788">
        <w:rPr>
          <w:b/>
          <w:bCs/>
          <w:lang w:val="fr-FR"/>
        </w:rPr>
        <w:t>à ce que l</w:t>
      </w:r>
      <w:r>
        <w:rPr>
          <w:b/>
          <w:bCs/>
          <w:lang w:val="fr-FR"/>
        </w:rPr>
        <w:t>’</w:t>
      </w:r>
      <w:r w:rsidR="008B0788" w:rsidRPr="008B0788">
        <w:rPr>
          <w:b/>
          <w:bCs/>
          <w:lang w:val="fr-FR"/>
        </w:rPr>
        <w:t>élévateur soit en position de rangement.</w:t>
      </w:r>
      <w:r w:rsidR="008B0788" w:rsidRPr="008B0788">
        <w:rPr>
          <w:lang w:val="fr-FR"/>
        </w:rPr>
        <w:t xml:space="preserve"> </w:t>
      </w:r>
      <w:r w:rsidR="008B0788" w:rsidRPr="008B0788">
        <w:rPr>
          <w:b/>
          <w:bCs/>
          <w:lang w:val="fr-FR"/>
        </w:rPr>
        <w:t>Si l</w:t>
      </w:r>
      <w:r>
        <w:rPr>
          <w:b/>
          <w:bCs/>
          <w:lang w:val="fr-FR"/>
        </w:rPr>
        <w:t>’</w:t>
      </w:r>
      <w:r w:rsidR="008B0788" w:rsidRPr="008B0788">
        <w:rPr>
          <w:b/>
          <w:bCs/>
          <w:lang w:val="fr-FR"/>
        </w:rPr>
        <w:t>ascenseur donne accès au véhicule par une porte qui n</w:t>
      </w:r>
      <w:r>
        <w:rPr>
          <w:b/>
          <w:bCs/>
          <w:lang w:val="fr-FR"/>
        </w:rPr>
        <w:t>’</w:t>
      </w:r>
      <w:r w:rsidR="008B0788" w:rsidRPr="008B0788">
        <w:rPr>
          <w:b/>
          <w:bCs/>
          <w:lang w:val="fr-FR"/>
        </w:rPr>
        <w:t>est pas une porte de service ou de secours, le dispositif de blocage du démarrage doit être activé jusqu</w:t>
      </w:r>
      <w:r>
        <w:rPr>
          <w:b/>
          <w:bCs/>
          <w:lang w:val="fr-FR"/>
        </w:rPr>
        <w:t>’</w:t>
      </w:r>
      <w:r w:rsidR="008B0788" w:rsidRPr="008B0788">
        <w:rPr>
          <w:b/>
          <w:bCs/>
          <w:lang w:val="fr-FR"/>
        </w:rPr>
        <w:t>à ce que la porte soit complètement fermée.</w:t>
      </w:r>
      <w:r w:rsidR="008B0788" w:rsidRPr="008B0788">
        <w:rPr>
          <w:lang w:val="fr-FR"/>
        </w:rPr>
        <w:t xml:space="preserve"> La plateforme doit rester totalement immobile tant qu</w:t>
      </w:r>
      <w:r>
        <w:rPr>
          <w:lang w:val="fr-FR"/>
        </w:rPr>
        <w:t>’</w:t>
      </w:r>
      <w:r w:rsidR="008B0788" w:rsidRPr="008B0788">
        <w:rPr>
          <w:lang w:val="fr-FR"/>
        </w:rPr>
        <w:t>un dispositif conçu pour empêcher le fauteuil de tomber de la plateforme n</w:t>
      </w:r>
      <w:r>
        <w:rPr>
          <w:lang w:val="fr-FR"/>
        </w:rPr>
        <w:t>’</w:t>
      </w:r>
      <w:r w:rsidR="008B0788" w:rsidRPr="008B0788">
        <w:rPr>
          <w:lang w:val="fr-FR"/>
        </w:rPr>
        <w:t>a pas été actionné ou n</w:t>
      </w:r>
      <w:r>
        <w:rPr>
          <w:lang w:val="fr-FR"/>
        </w:rPr>
        <w:t>’</w:t>
      </w:r>
      <w:r w:rsidR="008B0788" w:rsidRPr="008B0788">
        <w:rPr>
          <w:lang w:val="fr-FR"/>
        </w:rPr>
        <w:t>est pas entré automatiquement en action.</w:t>
      </w:r>
      <w:r>
        <w:rPr>
          <w:lang w:val="fr-FR"/>
        </w:rPr>
        <w:t> »</w:t>
      </w:r>
      <w:r w:rsidR="008B0788" w:rsidRPr="008B0788">
        <w:rPr>
          <w:lang w:val="fr-FR"/>
        </w:rPr>
        <w:t>.</w:t>
      </w:r>
    </w:p>
    <w:p w:rsidR="008B0788" w:rsidRPr="008B0788" w:rsidRDefault="008B0788" w:rsidP="008B0788">
      <w:pPr>
        <w:pStyle w:val="SingleTxtG"/>
        <w:rPr>
          <w:i/>
          <w:iCs/>
          <w:lang w:val="fr-FR"/>
        </w:rPr>
      </w:pPr>
      <w:r w:rsidRPr="008B0788">
        <w:rPr>
          <w:i/>
          <w:iCs/>
          <w:lang w:val="fr-FR"/>
        </w:rPr>
        <w:t>Annexe 8</w:t>
      </w:r>
    </w:p>
    <w:p w:rsidR="008B0788" w:rsidRPr="008B0788" w:rsidRDefault="008B0788" w:rsidP="008B0788">
      <w:pPr>
        <w:pStyle w:val="SingleTxtG"/>
        <w:rPr>
          <w:iCs/>
          <w:lang w:val="fr-FR"/>
        </w:rPr>
      </w:pPr>
      <w:r w:rsidRPr="008B0788">
        <w:rPr>
          <w:i/>
          <w:iCs/>
          <w:lang w:val="fr-FR"/>
        </w:rPr>
        <w:t>Paragraphe 3.11.4.1.1</w:t>
      </w:r>
      <w:r w:rsidRPr="008B0788">
        <w:rPr>
          <w:lang w:val="fr-FR"/>
        </w:rPr>
        <w:t>, lire</w:t>
      </w:r>
      <w:r w:rsidR="006822A4">
        <w:rPr>
          <w:lang w:val="fr-FR"/>
        </w:rPr>
        <w:t> </w:t>
      </w:r>
      <w:r w:rsidRPr="008B0788">
        <w:rPr>
          <w:lang w:val="fr-FR"/>
        </w:rPr>
        <w:t>:</w:t>
      </w:r>
    </w:p>
    <w:p w:rsidR="008B0788" w:rsidRPr="008B0788" w:rsidRDefault="006822A4" w:rsidP="006822A4">
      <w:pPr>
        <w:pStyle w:val="SingleTxtG"/>
        <w:ind w:left="2268" w:hanging="1134"/>
        <w:rPr>
          <w:lang w:val="fr-FR"/>
        </w:rPr>
      </w:pPr>
      <w:r>
        <w:rPr>
          <w:lang w:val="fr-FR"/>
        </w:rPr>
        <w:t>« </w:t>
      </w:r>
      <w:r w:rsidR="008B0788" w:rsidRPr="008B0788">
        <w:rPr>
          <w:lang w:val="fr-FR"/>
        </w:rPr>
        <w:t>3.11.4.1.1</w:t>
      </w:r>
      <w:r w:rsidR="008B0788" w:rsidRPr="008B0788">
        <w:rPr>
          <w:lang w:val="fr-FR"/>
        </w:rPr>
        <w:tab/>
        <w:t>La rampe ne doit pouvoir être utilisée que lorsque le véhicule est à l</w:t>
      </w:r>
      <w:r>
        <w:rPr>
          <w:lang w:val="fr-FR"/>
        </w:rPr>
        <w:t>’</w:t>
      </w:r>
      <w:r w:rsidR="008B0788" w:rsidRPr="008B0788">
        <w:rPr>
          <w:lang w:val="fr-FR"/>
        </w:rPr>
        <w:t xml:space="preserve">arrêt. </w:t>
      </w:r>
      <w:r w:rsidR="008B0788" w:rsidRPr="008B0788">
        <w:rPr>
          <w:b/>
          <w:bCs/>
          <w:lang w:val="fr-FR"/>
        </w:rPr>
        <w:t>Le véhicule doit avoir un dispositif de blocage du démarrage activé jusqu</w:t>
      </w:r>
      <w:r>
        <w:rPr>
          <w:b/>
          <w:bCs/>
          <w:lang w:val="fr-FR"/>
        </w:rPr>
        <w:t>’</w:t>
      </w:r>
      <w:r w:rsidR="008B0788" w:rsidRPr="008B0788">
        <w:rPr>
          <w:b/>
          <w:bCs/>
          <w:lang w:val="fr-FR"/>
        </w:rPr>
        <w:t>à ce que la rampe soit en position de rangement.</w:t>
      </w:r>
      <w:r>
        <w:rPr>
          <w:lang w:val="fr-FR"/>
        </w:rPr>
        <w:t> ».</w:t>
      </w:r>
    </w:p>
    <w:p w:rsidR="008B0788" w:rsidRPr="008B0788" w:rsidRDefault="008B0788" w:rsidP="006822A4">
      <w:pPr>
        <w:pStyle w:val="HChG"/>
        <w:rPr>
          <w:lang w:val="fr-FR"/>
        </w:rPr>
      </w:pPr>
      <w:r w:rsidRPr="008B0788">
        <w:rPr>
          <w:lang w:val="fr-FR"/>
        </w:rPr>
        <w:tab/>
        <w:t>II.</w:t>
      </w:r>
      <w:r w:rsidRPr="008B0788">
        <w:rPr>
          <w:lang w:val="fr-FR"/>
        </w:rPr>
        <w:tab/>
        <w:t>Justification</w:t>
      </w:r>
    </w:p>
    <w:p w:rsidR="008B0788" w:rsidRPr="008B0788" w:rsidRDefault="008B0788" w:rsidP="006822A4">
      <w:pPr>
        <w:pStyle w:val="SingleTxtG"/>
        <w:rPr>
          <w:lang w:val="fr-FR"/>
        </w:rPr>
      </w:pPr>
      <w:r w:rsidRPr="008B0788">
        <w:rPr>
          <w:lang w:val="fr-FR"/>
        </w:rPr>
        <w:t>1.</w:t>
      </w:r>
      <w:r w:rsidRPr="008B0788">
        <w:rPr>
          <w:lang w:val="fr-FR"/>
        </w:rPr>
        <w:tab/>
        <w:t>L</w:t>
      </w:r>
      <w:r w:rsidR="006822A4">
        <w:rPr>
          <w:lang w:val="fr-FR"/>
        </w:rPr>
        <w:t>’</w:t>
      </w:r>
      <w:r w:rsidRPr="008B0788">
        <w:rPr>
          <w:lang w:val="fr-FR"/>
        </w:rPr>
        <w:t>objectif de la présente proposition est d</w:t>
      </w:r>
      <w:r w:rsidR="006822A4">
        <w:rPr>
          <w:lang w:val="fr-FR"/>
        </w:rPr>
        <w:t>’</w:t>
      </w:r>
      <w:r w:rsidRPr="008B0788">
        <w:rPr>
          <w:lang w:val="fr-FR"/>
        </w:rPr>
        <w:t xml:space="preserve">améliorer les deux paragraphes du </w:t>
      </w:r>
      <w:r w:rsidR="006822A4" w:rsidRPr="008B0788">
        <w:rPr>
          <w:lang w:val="fr-FR"/>
        </w:rPr>
        <w:t>R</w:t>
      </w:r>
      <w:r w:rsidRPr="008B0788">
        <w:rPr>
          <w:lang w:val="fr-FR"/>
        </w:rPr>
        <w:t xml:space="preserve">èglement </w:t>
      </w:r>
      <w:r w:rsidR="006822A4" w:rsidRPr="006822A4">
        <w:rPr>
          <w:rFonts w:eastAsia="MS Mincho"/>
          <w:lang w:val="fr-FR"/>
        </w:rPr>
        <w:t>n</w:t>
      </w:r>
      <w:r w:rsidR="006822A4" w:rsidRPr="006822A4">
        <w:rPr>
          <w:rFonts w:eastAsia="MS Mincho"/>
          <w:vertAlign w:val="superscript"/>
          <w:lang w:val="fr-FR"/>
        </w:rPr>
        <w:t>o</w:t>
      </w:r>
      <w:r w:rsidR="006822A4">
        <w:rPr>
          <w:lang w:val="fr-FR"/>
        </w:rPr>
        <w:t> </w:t>
      </w:r>
      <w:r w:rsidRPr="008B0788">
        <w:rPr>
          <w:lang w:val="fr-FR"/>
        </w:rPr>
        <w:t>107 concernés afin d</w:t>
      </w:r>
      <w:r w:rsidR="006822A4">
        <w:rPr>
          <w:lang w:val="fr-FR"/>
        </w:rPr>
        <w:t>’</w:t>
      </w:r>
      <w:r w:rsidRPr="008B0788">
        <w:rPr>
          <w:lang w:val="fr-FR"/>
        </w:rPr>
        <w:t>assurer l</w:t>
      </w:r>
      <w:r w:rsidR="006822A4">
        <w:rPr>
          <w:lang w:val="fr-FR"/>
        </w:rPr>
        <w:t>’</w:t>
      </w:r>
      <w:r w:rsidRPr="008B0788">
        <w:rPr>
          <w:lang w:val="fr-FR"/>
        </w:rPr>
        <w:t>immobilisation du véhicule pendant l</w:t>
      </w:r>
      <w:r w:rsidR="006822A4">
        <w:rPr>
          <w:lang w:val="fr-FR"/>
        </w:rPr>
        <w:t>’</w:t>
      </w:r>
      <w:r w:rsidRPr="008B0788">
        <w:rPr>
          <w:lang w:val="fr-FR"/>
        </w:rPr>
        <w:t>utilisation des élévateurs ou des rampes. Il existe actuellement des véhicules qui peuvent être déplacés avec l</w:t>
      </w:r>
      <w:r w:rsidR="006822A4">
        <w:rPr>
          <w:lang w:val="fr-FR"/>
        </w:rPr>
        <w:t>’</w:t>
      </w:r>
      <w:r w:rsidRPr="008B0788">
        <w:rPr>
          <w:lang w:val="fr-FR"/>
        </w:rPr>
        <w:t>ascenseur, ou la rampe, dans d</w:t>
      </w:r>
      <w:r w:rsidR="006822A4">
        <w:rPr>
          <w:lang w:val="fr-FR"/>
        </w:rPr>
        <w:t>’</w:t>
      </w:r>
      <w:r w:rsidRPr="008B0788">
        <w:rPr>
          <w:lang w:val="fr-FR"/>
        </w:rPr>
        <w:t>autres positions que la position de rangement.</w:t>
      </w:r>
    </w:p>
    <w:p w:rsidR="008B0788" w:rsidRPr="008B0788" w:rsidRDefault="008B0788" w:rsidP="008B0788">
      <w:pPr>
        <w:pStyle w:val="SingleTxtG"/>
        <w:rPr>
          <w:lang w:val="fr-FR"/>
        </w:rPr>
      </w:pPr>
      <w:r w:rsidRPr="008B0788">
        <w:rPr>
          <w:lang w:val="fr-FR"/>
        </w:rPr>
        <w:t>2.</w:t>
      </w:r>
      <w:r w:rsidRPr="008B0788">
        <w:rPr>
          <w:lang w:val="fr-FR"/>
        </w:rPr>
        <w:tab/>
        <w:t>Il est en outre proposé que toute porte destinée à donner accès au véhicule par les élévateurs, et non visée par les prescriptions établies pour les portes de service ou les portes de secours, doit être fermée avant que le véhicule commence à bouger. Les portes de service et de secours sont régies par l</w:t>
      </w:r>
      <w:r w:rsidR="006822A4">
        <w:rPr>
          <w:lang w:val="fr-FR"/>
        </w:rPr>
        <w:t>’</w:t>
      </w:r>
      <w:r w:rsidRPr="008B0788">
        <w:rPr>
          <w:lang w:val="fr-FR"/>
        </w:rPr>
        <w:t>annexe 3, dont les paragraphes 7.6.5.9 et 7.6.7.6 exigent qu</w:t>
      </w:r>
      <w:r w:rsidR="006822A4">
        <w:rPr>
          <w:lang w:val="fr-FR"/>
        </w:rPr>
        <w:t>’</w:t>
      </w:r>
      <w:r w:rsidRPr="008B0788">
        <w:rPr>
          <w:lang w:val="fr-FR"/>
        </w:rPr>
        <w:t>il y ait un système d</w:t>
      </w:r>
      <w:r w:rsidR="006822A4">
        <w:rPr>
          <w:lang w:val="fr-FR"/>
        </w:rPr>
        <w:t>’</w:t>
      </w:r>
      <w:r w:rsidRPr="008B0788">
        <w:rPr>
          <w:lang w:val="fr-FR"/>
        </w:rPr>
        <w:t>alarme si le véhicule n</w:t>
      </w:r>
      <w:r w:rsidR="006822A4">
        <w:rPr>
          <w:lang w:val="fr-FR"/>
        </w:rPr>
        <w:t>’</w:t>
      </w:r>
      <w:r w:rsidRPr="008B0788">
        <w:rPr>
          <w:lang w:val="fr-FR"/>
        </w:rPr>
        <w:t>est pas équipé d</w:t>
      </w:r>
      <w:r w:rsidR="006822A4">
        <w:rPr>
          <w:lang w:val="fr-FR"/>
        </w:rPr>
        <w:t>’</w:t>
      </w:r>
      <w:r w:rsidRPr="008B0788">
        <w:rPr>
          <w:lang w:val="fr-FR"/>
        </w:rPr>
        <w:t>un dispositif de blocage du démarrage. Une prescription similaire pour les portes spécifiquement destinées à donner accès par les ascenseurs pouvant créer un risque de chutes, et l</w:t>
      </w:r>
      <w:r w:rsidR="006822A4">
        <w:rPr>
          <w:lang w:val="fr-FR"/>
        </w:rPr>
        <w:t>’</w:t>
      </w:r>
      <w:r w:rsidRPr="008B0788">
        <w:rPr>
          <w:lang w:val="fr-FR"/>
        </w:rPr>
        <w:t>exigence relative à l</w:t>
      </w:r>
      <w:r w:rsidR="006822A4">
        <w:rPr>
          <w:lang w:val="fr-FR"/>
        </w:rPr>
        <w:t>’</w:t>
      </w:r>
      <w:r w:rsidRPr="008B0788">
        <w:rPr>
          <w:lang w:val="fr-FR"/>
        </w:rPr>
        <w:t>alarme pouvant de ce fait être insuffisante, la fermeture complète de la porte est proposée.</w:t>
      </w:r>
    </w:p>
    <w:p w:rsidR="008B0788" w:rsidRPr="00611BE8" w:rsidRDefault="00611BE8" w:rsidP="00611BE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B0788" w:rsidRPr="00611BE8" w:rsidSect="008B07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B22" w:rsidRDefault="00111B22" w:rsidP="00F95C08">
      <w:pPr>
        <w:spacing w:line="240" w:lineRule="auto"/>
      </w:pPr>
    </w:p>
  </w:endnote>
  <w:endnote w:type="continuationSeparator" w:id="0">
    <w:p w:rsidR="00111B22" w:rsidRPr="00AC3823" w:rsidRDefault="00111B22" w:rsidP="00AC3823">
      <w:pPr>
        <w:pStyle w:val="Pieddepage"/>
      </w:pPr>
    </w:p>
  </w:endnote>
  <w:endnote w:type="continuationNotice" w:id="1">
    <w:p w:rsidR="00111B22" w:rsidRDefault="00111B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88" w:rsidRPr="008B0788" w:rsidRDefault="008B0788" w:rsidP="008B0788">
    <w:pPr>
      <w:pStyle w:val="Pieddepage"/>
      <w:tabs>
        <w:tab w:val="right" w:pos="9638"/>
      </w:tabs>
    </w:pPr>
    <w:r w:rsidRPr="008B0788">
      <w:rPr>
        <w:b/>
        <w:sz w:val="18"/>
      </w:rPr>
      <w:fldChar w:fldCharType="begin"/>
    </w:r>
    <w:r w:rsidRPr="008B0788">
      <w:rPr>
        <w:b/>
        <w:sz w:val="18"/>
      </w:rPr>
      <w:instrText xml:space="preserve"> PAGE  \* MERGEFORMAT </w:instrText>
    </w:r>
    <w:r w:rsidRPr="008B0788">
      <w:rPr>
        <w:b/>
        <w:sz w:val="18"/>
      </w:rPr>
      <w:fldChar w:fldCharType="separate"/>
    </w:r>
    <w:r w:rsidRPr="008B0788">
      <w:rPr>
        <w:b/>
        <w:noProof/>
        <w:sz w:val="18"/>
      </w:rPr>
      <w:t>2</w:t>
    </w:r>
    <w:r w:rsidRPr="008B0788">
      <w:rPr>
        <w:b/>
        <w:sz w:val="18"/>
      </w:rPr>
      <w:fldChar w:fldCharType="end"/>
    </w:r>
    <w:r>
      <w:rPr>
        <w:b/>
        <w:sz w:val="18"/>
      </w:rPr>
      <w:tab/>
    </w:r>
    <w:r>
      <w:t>GE.20-00773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88" w:rsidRPr="008B0788" w:rsidRDefault="008B0788" w:rsidP="008B0788">
    <w:pPr>
      <w:pStyle w:val="Pieddepage"/>
      <w:tabs>
        <w:tab w:val="right" w:pos="9638"/>
      </w:tabs>
      <w:rPr>
        <w:b/>
        <w:sz w:val="18"/>
      </w:rPr>
    </w:pPr>
    <w:r>
      <w:t>GE.20-00773</w:t>
    </w:r>
    <w:r>
      <w:tab/>
    </w:r>
    <w:r w:rsidRPr="008B0788">
      <w:rPr>
        <w:b/>
        <w:sz w:val="18"/>
      </w:rPr>
      <w:fldChar w:fldCharType="begin"/>
    </w:r>
    <w:r w:rsidRPr="008B0788">
      <w:rPr>
        <w:b/>
        <w:sz w:val="18"/>
      </w:rPr>
      <w:instrText xml:space="preserve"> PAGE  \* MERGEFORMAT </w:instrText>
    </w:r>
    <w:r w:rsidRPr="008B0788">
      <w:rPr>
        <w:b/>
        <w:sz w:val="18"/>
      </w:rPr>
      <w:fldChar w:fldCharType="separate"/>
    </w:r>
    <w:r w:rsidRPr="008B0788">
      <w:rPr>
        <w:b/>
        <w:noProof/>
        <w:sz w:val="18"/>
      </w:rPr>
      <w:t>3</w:t>
    </w:r>
    <w:r w:rsidRPr="008B07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B0788" w:rsidRDefault="008B0788" w:rsidP="008B078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20-00773  (F)    030220    030220</w:t>
    </w:r>
    <w:r>
      <w:rPr>
        <w:sz w:val="20"/>
      </w:rPr>
      <w:br/>
    </w:r>
    <w:r w:rsidRPr="008B0788">
      <w:rPr>
        <w:rFonts w:ascii="C39T30Lfz" w:hAnsi="C39T30Lfz"/>
        <w:sz w:val="56"/>
      </w:rPr>
      <w:t></w:t>
    </w:r>
    <w:r w:rsidRPr="008B0788">
      <w:rPr>
        <w:rFonts w:ascii="C39T30Lfz" w:hAnsi="C39T30Lfz"/>
        <w:sz w:val="56"/>
      </w:rPr>
      <w:t></w:t>
    </w:r>
    <w:r w:rsidRPr="008B0788">
      <w:rPr>
        <w:rFonts w:ascii="C39T30Lfz" w:hAnsi="C39T30Lfz"/>
        <w:sz w:val="56"/>
      </w:rPr>
      <w:t></w:t>
    </w:r>
    <w:r w:rsidRPr="008B0788">
      <w:rPr>
        <w:rFonts w:ascii="C39T30Lfz" w:hAnsi="C39T30Lfz"/>
        <w:sz w:val="56"/>
      </w:rPr>
      <w:t></w:t>
    </w:r>
    <w:r w:rsidRPr="008B0788">
      <w:rPr>
        <w:rFonts w:ascii="C39T30Lfz" w:hAnsi="C39T30Lfz"/>
        <w:sz w:val="56"/>
      </w:rPr>
      <w:t></w:t>
    </w:r>
    <w:r w:rsidRPr="008B0788">
      <w:rPr>
        <w:rFonts w:ascii="C39T30Lfz" w:hAnsi="C39T30Lfz"/>
        <w:sz w:val="56"/>
      </w:rPr>
      <w:t></w:t>
    </w:r>
    <w:r w:rsidRPr="008B0788">
      <w:rPr>
        <w:rFonts w:ascii="C39T30Lfz" w:hAnsi="C39T30Lfz"/>
        <w:sz w:val="56"/>
      </w:rPr>
      <w:t></w:t>
    </w:r>
    <w:r w:rsidRPr="008B0788">
      <w:rPr>
        <w:rFonts w:ascii="C39T30Lfz" w:hAnsi="C39T30Lfz"/>
        <w:sz w:val="56"/>
      </w:rPr>
      <w:t></w:t>
    </w:r>
    <w:r w:rsidRPr="008B0788">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B22" w:rsidRPr="00AC3823" w:rsidRDefault="00111B22" w:rsidP="00AC3823">
      <w:pPr>
        <w:pStyle w:val="Pieddepage"/>
        <w:tabs>
          <w:tab w:val="right" w:pos="2155"/>
        </w:tabs>
        <w:spacing w:after="80" w:line="240" w:lineRule="atLeast"/>
        <w:ind w:left="680"/>
        <w:rPr>
          <w:u w:val="single"/>
        </w:rPr>
      </w:pPr>
      <w:r>
        <w:rPr>
          <w:u w:val="single"/>
        </w:rPr>
        <w:tab/>
      </w:r>
    </w:p>
  </w:footnote>
  <w:footnote w:type="continuationSeparator" w:id="0">
    <w:p w:rsidR="00111B22" w:rsidRPr="00AC3823" w:rsidRDefault="00111B22" w:rsidP="00AC3823">
      <w:pPr>
        <w:pStyle w:val="Pieddepage"/>
        <w:tabs>
          <w:tab w:val="right" w:pos="2155"/>
        </w:tabs>
        <w:spacing w:after="80" w:line="240" w:lineRule="atLeast"/>
        <w:ind w:left="680"/>
        <w:rPr>
          <w:u w:val="single"/>
        </w:rPr>
      </w:pPr>
      <w:r>
        <w:rPr>
          <w:u w:val="single"/>
        </w:rPr>
        <w:tab/>
      </w:r>
    </w:p>
  </w:footnote>
  <w:footnote w:type="continuationNotice" w:id="1">
    <w:p w:rsidR="00111B22" w:rsidRPr="00AC3823" w:rsidRDefault="00111B22">
      <w:pPr>
        <w:spacing w:line="240" w:lineRule="auto"/>
        <w:rPr>
          <w:sz w:val="2"/>
          <w:szCs w:val="2"/>
        </w:rPr>
      </w:pPr>
    </w:p>
  </w:footnote>
  <w:footnote w:id="2">
    <w:p w:rsidR="008B0788" w:rsidRPr="008B0788" w:rsidRDefault="008B0788" w:rsidP="008B0788">
      <w:pPr>
        <w:pStyle w:val="Notedebasdepage"/>
      </w:pPr>
      <w:r>
        <w:rPr>
          <w:rStyle w:val="Appelnotedebasdep"/>
        </w:rPr>
        <w:tab/>
      </w:r>
      <w:r w:rsidRPr="008B0788">
        <w:rPr>
          <w:rStyle w:val="Appelnotedebasdep"/>
          <w:sz w:val="20"/>
          <w:vertAlign w:val="baseline"/>
        </w:rPr>
        <w:t>*</w:t>
      </w:r>
      <w:r w:rsidRPr="008B0788">
        <w:rPr>
          <w:rStyle w:val="Appelnotedebasdep"/>
          <w:szCs w:val="18"/>
          <w:vertAlign w:val="baseline"/>
        </w:rPr>
        <w:tab/>
      </w:r>
      <w:r w:rsidRPr="008B0788">
        <w:rPr>
          <w:szCs w:val="18"/>
          <w:lang w:val="fr-FR"/>
        </w:rPr>
        <w:t>Conformément au programme de travail du Comité des transports intérieurs pour 2020, tel que décrit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88" w:rsidRPr="008B0788" w:rsidRDefault="008B0788">
    <w:pPr>
      <w:pStyle w:val="En-tte"/>
    </w:pPr>
    <w:fldSimple w:instr=" TITLE  \* MERGEFORMAT ">
      <w:r>
        <w:t>ECE/TRANS/WP.29/GRSG/2020/2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88" w:rsidRPr="008B0788" w:rsidRDefault="008B0788" w:rsidP="008B0788">
    <w:pPr>
      <w:pStyle w:val="En-tte"/>
      <w:jc w:val="right"/>
    </w:pPr>
    <w:fldSimple w:instr=" TITLE  \* MERGEFORMAT ">
      <w:r>
        <w:t>ECE/TRANS/WP.29/GRSG/2020/2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1B22"/>
    <w:rsid w:val="00017F94"/>
    <w:rsid w:val="00023842"/>
    <w:rsid w:val="000334F9"/>
    <w:rsid w:val="00045FEB"/>
    <w:rsid w:val="0007796D"/>
    <w:rsid w:val="000A6AD6"/>
    <w:rsid w:val="000B7790"/>
    <w:rsid w:val="00111B22"/>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11BE8"/>
    <w:rsid w:val="006822A4"/>
    <w:rsid w:val="0071601D"/>
    <w:rsid w:val="007A62E6"/>
    <w:rsid w:val="007F20FA"/>
    <w:rsid w:val="0080684C"/>
    <w:rsid w:val="00871C75"/>
    <w:rsid w:val="008776DC"/>
    <w:rsid w:val="008B0788"/>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106E8"/>
  <w15:docId w15:val="{B04344B2-3386-4396-845E-7BA29D55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493</Words>
  <Characters>2665</Characters>
  <Application>Microsoft Office Word</Application>
  <DocSecurity>0</DocSecurity>
  <Lines>61</Lines>
  <Paragraphs>33</Paragraphs>
  <ScaleCrop>false</ScaleCrop>
  <HeadingPairs>
    <vt:vector size="2" baseType="variant">
      <vt:variant>
        <vt:lpstr>Titre</vt:lpstr>
      </vt:variant>
      <vt:variant>
        <vt:i4>1</vt:i4>
      </vt:variant>
    </vt:vector>
  </HeadingPairs>
  <TitlesOfParts>
    <vt:vector size="1" baseType="lpstr">
      <vt:lpstr>ECE/TRANS/WP.29/GRSG/2020/2</vt:lpstr>
    </vt:vector>
  </TitlesOfParts>
  <Company>DCM</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dc:title>
  <dc:subject/>
  <dc:creator>Sandrine CLERE</dc:creator>
  <cp:keywords/>
  <cp:lastModifiedBy>Sandrine Clere</cp:lastModifiedBy>
  <cp:revision>2</cp:revision>
  <cp:lastPrinted>2014-05-14T10:59:00Z</cp:lastPrinted>
  <dcterms:created xsi:type="dcterms:W3CDTF">2020-02-03T08:45:00Z</dcterms:created>
  <dcterms:modified xsi:type="dcterms:W3CDTF">2020-02-03T08:45:00Z</dcterms:modified>
</cp:coreProperties>
</file>