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587E7" w14:textId="77777777" w:rsidR="00DD2DA8" w:rsidRPr="00A754C7" w:rsidRDefault="00DD2DA8" w:rsidP="00DD2DA8">
      <w:pPr>
        <w:spacing w:after="120"/>
        <w:ind w:left="2268" w:right="1134" w:hanging="1134"/>
        <w:jc w:val="both"/>
        <w:rPr>
          <w:color w:val="000000" w:themeColor="text1"/>
        </w:rPr>
      </w:pPr>
    </w:p>
    <w:p w14:paraId="7E41BD6B" w14:textId="77777777" w:rsidR="00034A34" w:rsidRPr="00A754C7" w:rsidRDefault="00034A34" w:rsidP="00DD2DA8">
      <w:pPr>
        <w:spacing w:after="120"/>
        <w:ind w:left="2268" w:right="1134" w:hanging="1134"/>
        <w:jc w:val="both"/>
        <w:rPr>
          <w:color w:val="000000" w:themeColor="text1"/>
        </w:rPr>
      </w:pPr>
    </w:p>
    <w:p w14:paraId="6D4C12C5" w14:textId="55600396" w:rsidR="00BA6682" w:rsidRDefault="00034A34" w:rsidP="00034A34">
      <w:pPr>
        <w:spacing w:after="120"/>
        <w:ind w:left="1134" w:right="1134"/>
        <w:jc w:val="both"/>
        <w:rPr>
          <w:color w:val="000000" w:themeColor="text1"/>
        </w:rPr>
      </w:pPr>
      <w:r w:rsidRPr="00A754C7">
        <w:rPr>
          <w:color w:val="000000" w:themeColor="text1"/>
        </w:rPr>
        <w:t xml:space="preserve">This informal document is submitted by the Informal Working Group (IWG) </w:t>
      </w:r>
      <w:r w:rsidR="00BC5F11">
        <w:rPr>
          <w:color w:val="000000" w:themeColor="text1"/>
        </w:rPr>
        <w:t xml:space="preserve">Particle Measurement Programme </w:t>
      </w:r>
      <w:r w:rsidRPr="00A754C7">
        <w:rPr>
          <w:color w:val="000000" w:themeColor="text1"/>
        </w:rPr>
        <w:t>to inform and update the GRPE of the work of the I</w:t>
      </w:r>
      <w:r w:rsidR="00BC5F11">
        <w:rPr>
          <w:color w:val="000000" w:themeColor="text1"/>
        </w:rPr>
        <w:t>WG on the amendment of UN GTR 15</w:t>
      </w:r>
      <w:r w:rsidRPr="00A754C7">
        <w:rPr>
          <w:color w:val="000000" w:themeColor="text1"/>
        </w:rPr>
        <w:t xml:space="preserve"> </w:t>
      </w:r>
      <w:r w:rsidR="00BA6682">
        <w:rPr>
          <w:color w:val="000000" w:themeColor="text1"/>
        </w:rPr>
        <w:t>Annex</w:t>
      </w:r>
      <w:r w:rsidR="008D7B41">
        <w:rPr>
          <w:color w:val="000000" w:themeColor="text1"/>
        </w:rPr>
        <w:t>es</w:t>
      </w:r>
      <w:r w:rsidR="00BA6682">
        <w:rPr>
          <w:color w:val="000000" w:themeColor="text1"/>
        </w:rPr>
        <w:t xml:space="preserve"> 5</w:t>
      </w:r>
      <w:r w:rsidR="00974CD7">
        <w:rPr>
          <w:color w:val="000000" w:themeColor="text1"/>
        </w:rPr>
        <w:t>, 6</w:t>
      </w:r>
      <w:r w:rsidR="008D7B41">
        <w:rPr>
          <w:color w:val="000000" w:themeColor="text1"/>
        </w:rPr>
        <w:t xml:space="preserve"> and </w:t>
      </w:r>
      <w:r w:rsidR="00974CD7">
        <w:rPr>
          <w:color w:val="000000" w:themeColor="text1"/>
        </w:rPr>
        <w:t>7</w:t>
      </w:r>
      <w:r w:rsidR="00BA6682">
        <w:rPr>
          <w:color w:val="000000" w:themeColor="text1"/>
        </w:rPr>
        <w:t xml:space="preserve"> </w:t>
      </w:r>
      <w:r w:rsidRPr="00A754C7">
        <w:rPr>
          <w:color w:val="000000" w:themeColor="text1"/>
        </w:rPr>
        <w:t>to</w:t>
      </w:r>
      <w:r w:rsidR="00BA6682">
        <w:rPr>
          <w:color w:val="000000" w:themeColor="text1"/>
        </w:rPr>
        <w:t>:</w:t>
      </w:r>
    </w:p>
    <w:p w14:paraId="09F4881E" w14:textId="7B3A5DBD" w:rsidR="00BA6682" w:rsidRDefault="00BA6682" w:rsidP="00D673EA">
      <w:pPr>
        <w:pStyle w:val="ListParagraph"/>
        <w:numPr>
          <w:ilvl w:val="0"/>
          <w:numId w:val="49"/>
        </w:numPr>
        <w:spacing w:after="120"/>
        <w:ind w:right="1134"/>
        <w:jc w:val="both"/>
        <w:rPr>
          <w:color w:val="000000" w:themeColor="text1"/>
        </w:rPr>
      </w:pPr>
      <w:r>
        <w:rPr>
          <w:color w:val="000000" w:themeColor="text1"/>
          <w:lang w:val="en-GB"/>
        </w:rPr>
        <w:t>M</w:t>
      </w:r>
      <w:r w:rsidR="00BC5F11" w:rsidRPr="00BA6682">
        <w:rPr>
          <w:color w:val="000000" w:themeColor="text1"/>
        </w:rPr>
        <w:t>odify the existing</w:t>
      </w:r>
      <w:r w:rsidR="009C039D">
        <w:rPr>
          <w:color w:val="000000" w:themeColor="text1"/>
        </w:rPr>
        <w:t xml:space="preserve"> solid</w:t>
      </w:r>
      <w:r w:rsidR="00BC5F11" w:rsidRPr="00BA6682">
        <w:rPr>
          <w:color w:val="000000" w:themeColor="text1"/>
        </w:rPr>
        <w:t xml:space="preserve"> PN measurement methodology</w:t>
      </w:r>
      <w:r>
        <w:rPr>
          <w:color w:val="000000" w:themeColor="text1"/>
        </w:rPr>
        <w:t xml:space="preserve"> having a 50% cut-off size at </w:t>
      </w:r>
      <w:r w:rsidR="001466D4">
        <w:rPr>
          <w:color w:val="000000" w:themeColor="text1"/>
        </w:rPr>
        <w:t>23 </w:t>
      </w:r>
      <w:r>
        <w:rPr>
          <w:color w:val="000000" w:themeColor="text1"/>
        </w:rPr>
        <w:t>nm</w:t>
      </w:r>
      <w:r w:rsidR="009C039D">
        <w:rPr>
          <w:color w:val="000000" w:themeColor="text1"/>
        </w:rPr>
        <w:t xml:space="preserve"> (SPN23)</w:t>
      </w:r>
      <w:r>
        <w:rPr>
          <w:color w:val="000000" w:themeColor="text1"/>
        </w:rPr>
        <w:t xml:space="preserve"> in order to allow the use of catalyzed </w:t>
      </w:r>
      <w:r w:rsidR="004519A8">
        <w:rPr>
          <w:color w:val="000000" w:themeColor="text1"/>
        </w:rPr>
        <w:t xml:space="preserve">evaporation device in </w:t>
      </w:r>
      <w:r>
        <w:rPr>
          <w:color w:val="000000" w:themeColor="text1"/>
        </w:rPr>
        <w:t>volatile particle remov</w:t>
      </w:r>
      <w:r w:rsidR="004519A8">
        <w:rPr>
          <w:color w:val="000000" w:themeColor="text1"/>
        </w:rPr>
        <w:t>er</w:t>
      </w:r>
      <w:r>
        <w:rPr>
          <w:color w:val="000000" w:themeColor="text1"/>
        </w:rPr>
        <w:t xml:space="preserve"> (VPR) and introduce minor improvements </w:t>
      </w:r>
    </w:p>
    <w:p w14:paraId="727CC49C" w14:textId="092B21B6" w:rsidR="00034A34" w:rsidRPr="00BA6682" w:rsidRDefault="00BA6682" w:rsidP="00396810">
      <w:pPr>
        <w:pStyle w:val="ListParagraph"/>
        <w:numPr>
          <w:ilvl w:val="0"/>
          <w:numId w:val="49"/>
        </w:numPr>
        <w:spacing w:after="120"/>
        <w:ind w:right="1134"/>
        <w:jc w:val="both"/>
        <w:rPr>
          <w:color w:val="000000" w:themeColor="text1"/>
        </w:rPr>
      </w:pPr>
      <w:r>
        <w:rPr>
          <w:color w:val="000000" w:themeColor="text1"/>
        </w:rPr>
        <w:t>I</w:t>
      </w:r>
      <w:r w:rsidR="00BC5F11" w:rsidRPr="00BA6682">
        <w:rPr>
          <w:color w:val="000000" w:themeColor="text1"/>
        </w:rPr>
        <w:t xml:space="preserve">nclude as </w:t>
      </w:r>
      <w:r w:rsidR="00DC2D48">
        <w:rPr>
          <w:color w:val="000000" w:themeColor="text1"/>
        </w:rPr>
        <w:t xml:space="preserve">a </w:t>
      </w:r>
      <w:r w:rsidR="00974CD7">
        <w:rPr>
          <w:color w:val="000000" w:themeColor="text1"/>
        </w:rPr>
        <w:t xml:space="preserve">second </w:t>
      </w:r>
      <w:r w:rsidR="00BC5F11" w:rsidRPr="00BA6682">
        <w:rPr>
          <w:color w:val="000000" w:themeColor="text1"/>
        </w:rPr>
        <w:t xml:space="preserve">alternative option a </w:t>
      </w:r>
      <w:r w:rsidR="009C039D">
        <w:rPr>
          <w:color w:val="000000" w:themeColor="text1"/>
        </w:rPr>
        <w:t xml:space="preserve">solid </w:t>
      </w:r>
      <w:r w:rsidR="00BC5F11" w:rsidRPr="00BA6682">
        <w:rPr>
          <w:color w:val="000000" w:themeColor="text1"/>
        </w:rPr>
        <w:t xml:space="preserve">PN measurement methodology with a </w:t>
      </w:r>
      <w:r w:rsidR="00527457">
        <w:rPr>
          <w:color w:val="000000" w:themeColor="text1"/>
        </w:rPr>
        <w:t xml:space="preserve">65% </w:t>
      </w:r>
      <w:r w:rsidR="00BC5F11" w:rsidRPr="00BA6682">
        <w:rPr>
          <w:color w:val="000000" w:themeColor="text1"/>
        </w:rPr>
        <w:t>cut</w:t>
      </w:r>
      <w:r>
        <w:rPr>
          <w:color w:val="000000" w:themeColor="text1"/>
        </w:rPr>
        <w:t xml:space="preserve">-off size at </w:t>
      </w:r>
      <w:r w:rsidR="001466D4">
        <w:rPr>
          <w:color w:val="000000" w:themeColor="text1"/>
        </w:rPr>
        <w:t>10 </w:t>
      </w:r>
      <w:r>
        <w:rPr>
          <w:color w:val="000000" w:themeColor="text1"/>
        </w:rPr>
        <w:t>nm</w:t>
      </w:r>
      <w:r w:rsidR="009C039D">
        <w:rPr>
          <w:color w:val="000000" w:themeColor="text1"/>
        </w:rPr>
        <w:t xml:space="preserve"> (SPN10)</w:t>
      </w:r>
      <w:r w:rsidR="00034A34" w:rsidRPr="00BA6682">
        <w:rPr>
          <w:color w:val="000000" w:themeColor="text1"/>
        </w:rPr>
        <w:t xml:space="preserve">. </w:t>
      </w:r>
    </w:p>
    <w:p w14:paraId="2392DF06" w14:textId="04CD13B5" w:rsidR="00034A34" w:rsidRDefault="00034A34" w:rsidP="000E7DBB">
      <w:pPr>
        <w:spacing w:after="120"/>
        <w:ind w:left="1134" w:right="1134"/>
        <w:jc w:val="both"/>
        <w:rPr>
          <w:color w:val="000000" w:themeColor="text1"/>
        </w:rPr>
      </w:pPr>
      <w:r w:rsidRPr="00A754C7">
        <w:rPr>
          <w:color w:val="000000" w:themeColor="text1"/>
        </w:rPr>
        <w:t xml:space="preserve">This is </w:t>
      </w:r>
      <w:r w:rsidR="007035E8">
        <w:rPr>
          <w:color w:val="000000" w:themeColor="text1"/>
        </w:rPr>
        <w:t xml:space="preserve">an explanatory note accompanying </w:t>
      </w:r>
      <w:r w:rsidRPr="00A754C7">
        <w:rPr>
          <w:color w:val="000000" w:themeColor="text1"/>
        </w:rPr>
        <w:t xml:space="preserve">the consolidated document addressing the </w:t>
      </w:r>
      <w:r w:rsidR="00BA6682">
        <w:rPr>
          <w:color w:val="000000" w:themeColor="text1"/>
        </w:rPr>
        <w:t>changes to the current methodology and the proposed changes for the</w:t>
      </w:r>
      <w:r w:rsidR="00974CD7">
        <w:rPr>
          <w:color w:val="000000" w:themeColor="text1"/>
        </w:rPr>
        <w:t xml:space="preserve"> second</w:t>
      </w:r>
      <w:r w:rsidR="00BA6682">
        <w:rPr>
          <w:color w:val="000000" w:themeColor="text1"/>
        </w:rPr>
        <w:t xml:space="preserve"> alternative option to </w:t>
      </w:r>
      <w:r w:rsidR="000E7DBB">
        <w:rPr>
          <w:color w:val="000000" w:themeColor="text1"/>
        </w:rPr>
        <w:t xml:space="preserve">extend the particle size detection range to </w:t>
      </w:r>
      <w:r w:rsidR="001466D4">
        <w:rPr>
          <w:color w:val="000000" w:themeColor="text1"/>
        </w:rPr>
        <w:t>10 </w:t>
      </w:r>
      <w:r w:rsidR="00BA6682">
        <w:rPr>
          <w:color w:val="000000" w:themeColor="text1"/>
        </w:rPr>
        <w:t>nm</w:t>
      </w:r>
      <w:r w:rsidR="002C41C3">
        <w:rPr>
          <w:color w:val="000000" w:themeColor="text1"/>
        </w:rPr>
        <w:t xml:space="preserve"> particles</w:t>
      </w:r>
      <w:r w:rsidR="00B111D2">
        <w:rPr>
          <w:color w:val="000000" w:themeColor="text1"/>
        </w:rPr>
        <w:t xml:space="preserve"> (GRPE-81-10)</w:t>
      </w:r>
      <w:r w:rsidR="00BA6682">
        <w:rPr>
          <w:color w:val="000000" w:themeColor="text1"/>
        </w:rPr>
        <w:t>.</w:t>
      </w:r>
    </w:p>
    <w:p w14:paraId="4A79C88A" w14:textId="77777777" w:rsidR="00B111D2" w:rsidRDefault="00B111D2" w:rsidP="000E7DBB">
      <w:pPr>
        <w:spacing w:after="120"/>
        <w:ind w:left="1134" w:right="1134"/>
        <w:jc w:val="both"/>
        <w:rPr>
          <w:color w:val="000000" w:themeColor="text1"/>
        </w:rPr>
      </w:pPr>
    </w:p>
    <w:p w14:paraId="3E71B6E9" w14:textId="13D84161" w:rsidR="00034A34" w:rsidRPr="00A754C7" w:rsidRDefault="00034A34" w:rsidP="00DD2DA8">
      <w:pPr>
        <w:spacing w:after="120"/>
        <w:ind w:left="2268" w:right="1134" w:hanging="1134"/>
        <w:jc w:val="both"/>
        <w:rPr>
          <w:color w:val="000000" w:themeColor="text1"/>
        </w:rPr>
        <w:sectPr w:rsidR="00034A34" w:rsidRPr="00A754C7" w:rsidSect="00C062DE">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pPr>
    </w:p>
    <w:p w14:paraId="5C26CFC4" w14:textId="56E9C708" w:rsidR="00BA6682" w:rsidRDefault="00DD2DA8" w:rsidP="00E27B01">
      <w:pPr>
        <w:pStyle w:val="Heading2"/>
        <w:rPr>
          <w:color w:val="000000" w:themeColor="text1"/>
        </w:rPr>
      </w:pPr>
      <w:r w:rsidRPr="00A754C7">
        <w:rPr>
          <w:color w:val="000000" w:themeColor="text1"/>
        </w:rPr>
        <w:lastRenderedPageBreak/>
        <w:tab/>
      </w:r>
      <w:bookmarkStart w:id="1" w:name="_Toc387405104"/>
      <w:bookmarkStart w:id="2" w:name="_Toc432910121"/>
      <w:bookmarkStart w:id="3" w:name="_Toc433204961"/>
      <w:bookmarkStart w:id="4" w:name="_Toc433205253"/>
      <w:r w:rsidRPr="00A754C7">
        <w:rPr>
          <w:color w:val="000000" w:themeColor="text1"/>
        </w:rPr>
        <w:tab/>
      </w:r>
      <w:r w:rsidR="00BA6682">
        <w:rPr>
          <w:color w:val="000000" w:themeColor="text1"/>
        </w:rPr>
        <w:t>Purpose and summary of the modifications</w:t>
      </w:r>
    </w:p>
    <w:p w14:paraId="61855A4B" w14:textId="77777777" w:rsidR="00BA6682" w:rsidRDefault="00BA6682" w:rsidP="00BA6682"/>
    <w:p w14:paraId="086376C5" w14:textId="694ACC2C" w:rsidR="00F61770" w:rsidRDefault="00BA6682" w:rsidP="001466D4">
      <w:pPr>
        <w:spacing w:after="120"/>
        <w:ind w:left="1134"/>
      </w:pPr>
      <w:r w:rsidRPr="00BA6682">
        <w:t xml:space="preserve">This </w:t>
      </w:r>
      <w:r>
        <w:t xml:space="preserve">proposed amendment to GTR 15 aims mainly at introducing as an alternative option a </w:t>
      </w:r>
      <w:r w:rsidR="00BC4DD0">
        <w:t xml:space="preserve">solid </w:t>
      </w:r>
      <w:r>
        <w:t xml:space="preserve">particle number measurement procedure with a cut-off size of approximately 10 nm </w:t>
      </w:r>
      <w:r w:rsidR="00585677">
        <w:t xml:space="preserve">(SPN10) </w:t>
      </w:r>
      <w:r w:rsidR="00F61770">
        <w:t>differing in this from the existing procedure which has a 50% cut-off size at 23 nm</w:t>
      </w:r>
      <w:r w:rsidR="00585677">
        <w:t xml:space="preserve"> (SPN23)</w:t>
      </w:r>
      <w:r w:rsidR="00F61770">
        <w:t xml:space="preserve">. </w:t>
      </w:r>
    </w:p>
    <w:p w14:paraId="63626B1D" w14:textId="1F29E81C" w:rsidR="00F61770" w:rsidRDefault="00F61770" w:rsidP="001466D4">
      <w:pPr>
        <w:spacing w:after="120"/>
        <w:ind w:left="1134"/>
      </w:pPr>
      <w:r>
        <w:t>This amendment stems from the</w:t>
      </w:r>
      <w:r w:rsidRPr="00F61770">
        <w:t xml:space="preserve"> evidence that specific technologies like PFI and CNG engines may exhibit, in some cases, particle emissions close to the existing emission limit and at the same time a significantly high fraction of sub-23 nm particles. In view of a possible extension of the particle number limit to all combustion engi</w:t>
      </w:r>
      <w:r>
        <w:t xml:space="preserve">nes, the European Commission and other Contracting </w:t>
      </w:r>
      <w:r w:rsidR="004F7C6B">
        <w:t xml:space="preserve">Parties </w:t>
      </w:r>
      <w:r>
        <w:t>had expressed the interest</w:t>
      </w:r>
      <w:r w:rsidRPr="00F61770">
        <w:t xml:space="preserve"> </w:t>
      </w:r>
      <w:r>
        <w:t xml:space="preserve">in a test procedure with a lower </w:t>
      </w:r>
      <w:r w:rsidRPr="00F61770">
        <w:t>cut-off size in order to improve the control of particle emissions whatever the average size of the particles emitted. The PMP IWG concluded that it would be extremely challenging to develop a reliable particle counting methodology with a d50 below 10 nm</w:t>
      </w:r>
      <w:r>
        <w:t xml:space="preserve"> while a</w:t>
      </w:r>
      <w:r w:rsidR="00527457">
        <w:t xml:space="preserve"> 65%</w:t>
      </w:r>
      <w:r>
        <w:t xml:space="preserve"> cut-off size at 10 nm would be achievable by properly adapting the existing methodology</w:t>
      </w:r>
      <w:r w:rsidRPr="00F61770">
        <w:t xml:space="preserve">. </w:t>
      </w:r>
    </w:p>
    <w:p w14:paraId="15C06A1C" w14:textId="6219EEBA" w:rsidR="00BA6682" w:rsidRDefault="00F61770" w:rsidP="001466D4">
      <w:pPr>
        <w:spacing w:after="120"/>
        <w:ind w:left="1134"/>
      </w:pPr>
      <w:r>
        <w:t>For this reason the PMP IWG has worked to</w:t>
      </w:r>
      <w:r w:rsidR="00585677">
        <w:t xml:space="preserve"> identify the necessary changes which would allow </w:t>
      </w:r>
      <w:r w:rsidR="0062605D">
        <w:t xml:space="preserve">an </w:t>
      </w:r>
      <w:r w:rsidR="00585677">
        <w:t xml:space="preserve">increase </w:t>
      </w:r>
      <w:r w:rsidR="00237120">
        <w:t xml:space="preserve">to </w:t>
      </w:r>
      <w:r w:rsidR="00585677">
        <w:t>the size range of the particles counted</w:t>
      </w:r>
      <w:r w:rsidR="00237120">
        <w:t>, whilst</w:t>
      </w:r>
      <w:r w:rsidR="00585677">
        <w:t xml:space="preserve"> maintaining an appropriate level of repeatability/reproducibility</w:t>
      </w:r>
      <w:r w:rsidR="00237120">
        <w:t>,</w:t>
      </w:r>
      <w:r w:rsidR="00585677">
        <w:t xml:space="preserve"> and at the same time trying to reduce as much as possible the impact on the testing burden and the measuring equipment</w:t>
      </w:r>
      <w:r w:rsidR="00237120">
        <w:t xml:space="preserve"> required</w:t>
      </w:r>
      <w:r w:rsidR="00585677">
        <w:t xml:space="preserve">. </w:t>
      </w:r>
      <w:r>
        <w:t xml:space="preserve">The new </w:t>
      </w:r>
      <w:r w:rsidR="00585677">
        <w:t xml:space="preserve">proposed </w:t>
      </w:r>
      <w:r>
        <w:t xml:space="preserve">procedure </w:t>
      </w:r>
      <w:r w:rsidR="00585677">
        <w:t xml:space="preserve">has been assessed by means of an inter-laboratory exercise that has involved several laboratories located in Europe and Asia. This exercise has shown </w:t>
      </w:r>
      <w:r w:rsidR="004E1455">
        <w:t xml:space="preserve">that the </w:t>
      </w:r>
      <w:r w:rsidR="00585677">
        <w:t xml:space="preserve">variability </w:t>
      </w:r>
      <w:r w:rsidR="004E1455">
        <w:t>level of SPN10</w:t>
      </w:r>
      <w:r w:rsidR="00585677">
        <w:t xml:space="preserve"> </w:t>
      </w:r>
      <w:r w:rsidR="004E1455">
        <w:t xml:space="preserve">results is at the same level as the SPN23 values. </w:t>
      </w:r>
    </w:p>
    <w:p w14:paraId="206CF279" w14:textId="77777777" w:rsidR="004E1455" w:rsidRDefault="004E1455" w:rsidP="001466D4">
      <w:pPr>
        <w:spacing w:after="120"/>
        <w:ind w:left="1134"/>
      </w:pPr>
    </w:p>
    <w:p w14:paraId="0E9EC2A8" w14:textId="763BDF85" w:rsidR="004E1455" w:rsidRDefault="004E1455" w:rsidP="001466D4">
      <w:pPr>
        <w:spacing w:after="120"/>
        <w:ind w:left="1134"/>
      </w:pPr>
      <w:r>
        <w:t xml:space="preserve">Since a few Contracting Parties have asked to maintain the existing methodology with the </w:t>
      </w:r>
      <w:r w:rsidR="000E7DBB">
        <w:t xml:space="preserve">50% </w:t>
      </w:r>
      <w:r>
        <w:t xml:space="preserve">cut-off size at 23 nm in the GTR15, in agreement with the GRPE Secretariat, it is proposed to keep the existing methodology with some modifications and introduce the new procedure with the cut-off size at about 10 nm as </w:t>
      </w:r>
      <w:r w:rsidR="004E7A86">
        <w:t xml:space="preserve">an </w:t>
      </w:r>
      <w:r w:rsidR="00324860">
        <w:t>additional</w:t>
      </w:r>
      <w:r>
        <w:t xml:space="preserve"> option. Both the changes to the existing methodology and the changes to </w:t>
      </w:r>
      <w:r w:rsidR="000E7DBB">
        <w:rPr>
          <w:color w:val="000000" w:themeColor="text1"/>
        </w:rPr>
        <w:t xml:space="preserve">extend the particle size detection range to </w:t>
      </w:r>
      <w:r>
        <w:t>10 nm are summarized and e</w:t>
      </w:r>
      <w:r w:rsidR="00AF0DFA">
        <w:t>xplained in the table</w:t>
      </w:r>
      <w:r w:rsidR="00F56FA3">
        <w:t xml:space="preserve"> 1</w:t>
      </w:r>
      <w:r w:rsidR="00AF0DFA">
        <w:t>.</w:t>
      </w:r>
      <w:r>
        <w:t xml:space="preserve"> </w:t>
      </w:r>
    </w:p>
    <w:p w14:paraId="2DBA61CB" w14:textId="77777777" w:rsidR="004E1455" w:rsidRDefault="004E1455" w:rsidP="001466D4">
      <w:pPr>
        <w:spacing w:after="120"/>
        <w:ind w:left="1134"/>
      </w:pPr>
    </w:p>
    <w:p w14:paraId="0D3118EB" w14:textId="21BA9188" w:rsidR="00AF0DFA" w:rsidRDefault="00AF0DFA" w:rsidP="001466D4">
      <w:pPr>
        <w:spacing w:after="120"/>
        <w:ind w:left="1134"/>
      </w:pPr>
      <w:r>
        <w:t xml:space="preserve">One of the more debated points in the PMP IWG concerned the volatile particle </w:t>
      </w:r>
      <w:r w:rsidR="00DC2D48">
        <w:t>remover</w:t>
      </w:r>
      <w:r>
        <w:t xml:space="preserve"> and more specifically whether for SPN10 this should be based on a catalytic stripper or whether also the usual evaporation tube should be allowed. The results of the validation exercise have not provided clear evidence that </w:t>
      </w:r>
      <w:r w:rsidR="00521839">
        <w:t xml:space="preserve">one </w:t>
      </w:r>
      <w:r>
        <w:t>solution is definitely better than the other</w:t>
      </w:r>
      <w:r w:rsidR="00C50207">
        <w:t>,</w:t>
      </w:r>
      <w:r>
        <w:t xml:space="preserve"> but there is large consensus among the experts that the catalytic stripper minimizes the risk of artefacts due to too low dilution ratios. Moreover, losses </w:t>
      </w:r>
      <w:r w:rsidR="00885FBE">
        <w:t xml:space="preserve">are more critical for particles below 23 nm and if not properly measured and modelled, </w:t>
      </w:r>
      <w:r>
        <w:t xml:space="preserve">allowing both systems could result in an increased variability among instruments </w:t>
      </w:r>
      <w:r w:rsidR="00885FBE">
        <w:t>based on different sample treatment approaches</w:t>
      </w:r>
      <w:r>
        <w:t>. For these reasons it has been decided to allow only the use of the catalytic stripper for SPN 10. However, in order to maintain the possibility of using sampling systems designed for SPN10 also for SPN23 measurement, the IWG proposes to modify also the existing procedure by removing the restriction that the sampling system</w:t>
      </w:r>
      <w:r w:rsidR="005F692F">
        <w:t xml:space="preserve"> parts</w:t>
      </w:r>
      <w:r>
        <w:t xml:space="preserve"> shall not react with the exhaust </w:t>
      </w:r>
      <w:r w:rsidR="005F692F">
        <w:t xml:space="preserve">gas </w:t>
      </w:r>
      <w:r>
        <w:t xml:space="preserve">components. In this way a sampling system with a catalytic stripper fitted with a condensation particle counter with the proper calibration can be used for the SPN23 measurement. </w:t>
      </w:r>
      <w:r w:rsidR="00BE607D">
        <w:t>A</w:t>
      </w:r>
      <w:r>
        <w:t xml:space="preserve">s supported by several experimental data, the different losses between catalytic stripper and evaporation tube </w:t>
      </w:r>
      <w:r w:rsidR="00BE607D">
        <w:t xml:space="preserve">become important </w:t>
      </w:r>
      <w:r w:rsidR="005F692F">
        <w:t xml:space="preserve">only </w:t>
      </w:r>
      <w:r w:rsidR="00BE607D">
        <w:t>below 23 nm and therefore, allowing the use of both devices for SPN23, should not</w:t>
      </w:r>
      <w:r>
        <w:t xml:space="preserve"> </w:t>
      </w:r>
      <w:r w:rsidR="00BE607D">
        <w:t xml:space="preserve">result in an increased variability of the </w:t>
      </w:r>
      <w:r w:rsidR="0005670E">
        <w:t>measurements</w:t>
      </w:r>
      <w:r w:rsidR="00BE607D">
        <w:t xml:space="preserve">. </w:t>
      </w:r>
    </w:p>
    <w:p w14:paraId="7D068421" w14:textId="323D385B" w:rsidR="00B111D2" w:rsidRDefault="00B111D2">
      <w:pPr>
        <w:suppressAutoHyphens w:val="0"/>
        <w:spacing w:line="240" w:lineRule="auto"/>
      </w:pPr>
      <w:r>
        <w:br w:type="page"/>
      </w:r>
    </w:p>
    <w:p w14:paraId="316B962A" w14:textId="44727056" w:rsidR="00AD1875" w:rsidRDefault="00F56FA3" w:rsidP="00BA6682">
      <w:pPr>
        <w:ind w:left="1134"/>
      </w:pPr>
      <w:r>
        <w:t xml:space="preserve">Table 1: Main changes to SPN23 and </w:t>
      </w:r>
      <w:r w:rsidR="00EA5F08">
        <w:t>changes/additi</w:t>
      </w:r>
      <w:r w:rsidR="007A5119">
        <w:t xml:space="preserve">ons </w:t>
      </w:r>
      <w:r>
        <w:t>for SPN10</w:t>
      </w:r>
    </w:p>
    <w:tbl>
      <w:tblPr>
        <w:tblStyle w:val="Tabellenraster1"/>
        <w:tblW w:w="8505" w:type="dxa"/>
        <w:tblInd w:w="1157" w:type="dxa"/>
        <w:tblLayout w:type="fixed"/>
        <w:tblLook w:val="0420" w:firstRow="1" w:lastRow="0" w:firstColumn="0" w:lastColumn="0" w:noHBand="0" w:noVBand="1"/>
      </w:tblPr>
      <w:tblGrid>
        <w:gridCol w:w="1701"/>
        <w:gridCol w:w="1701"/>
        <w:gridCol w:w="1701"/>
        <w:gridCol w:w="1701"/>
        <w:gridCol w:w="1701"/>
      </w:tblGrid>
      <w:tr w:rsidR="00202A85" w:rsidRPr="00AD1875" w14:paraId="5DFEDD4C" w14:textId="77777777" w:rsidTr="00BC4DD0">
        <w:trPr>
          <w:trHeight w:val="667"/>
        </w:trPr>
        <w:tc>
          <w:tcPr>
            <w:tcW w:w="1701" w:type="dxa"/>
            <w:hideMark/>
          </w:tcPr>
          <w:p w14:paraId="35675689"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b/>
                <w:bCs/>
                <w:kern w:val="24"/>
                <w:sz w:val="20"/>
                <w:szCs w:val="20"/>
                <w:lang w:val="en-US" w:eastAsia="en-GB"/>
              </w:rPr>
              <w:t>Subject</w:t>
            </w:r>
          </w:p>
        </w:tc>
        <w:tc>
          <w:tcPr>
            <w:tcW w:w="1701" w:type="dxa"/>
            <w:hideMark/>
          </w:tcPr>
          <w:p w14:paraId="586FA0F5" w14:textId="43D91261"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b/>
                <w:bCs/>
                <w:kern w:val="24"/>
                <w:sz w:val="20"/>
                <w:szCs w:val="20"/>
                <w:lang w:val="en-US" w:eastAsia="en-GB"/>
              </w:rPr>
              <w:t>GTR 15, Annex 5</w:t>
            </w:r>
            <w:r w:rsidRPr="00202A85">
              <w:rPr>
                <w:rFonts w:ascii="Times New Roman" w:eastAsia="Times New Roman" w:hAnsi="Times New Roman"/>
                <w:b/>
                <w:bCs/>
                <w:kern w:val="24"/>
                <w:sz w:val="20"/>
                <w:szCs w:val="20"/>
                <w:lang w:val="en-US" w:eastAsia="en-GB"/>
              </w:rPr>
              <w:t xml:space="preserve"> – Original requirements</w:t>
            </w:r>
          </w:p>
        </w:tc>
        <w:tc>
          <w:tcPr>
            <w:tcW w:w="1701" w:type="dxa"/>
          </w:tcPr>
          <w:p w14:paraId="41F7208E" w14:textId="0A151DEB" w:rsidR="00202A85" w:rsidRPr="00202A85" w:rsidRDefault="00202A85" w:rsidP="00AD1875">
            <w:pPr>
              <w:suppressAutoHyphens w:val="0"/>
              <w:spacing w:line="240" w:lineRule="auto"/>
              <w:rPr>
                <w:rFonts w:ascii="Times New Roman" w:eastAsia="Times New Roman" w:hAnsi="Times New Roman"/>
                <w:b/>
                <w:bCs/>
                <w:kern w:val="24"/>
                <w:sz w:val="20"/>
                <w:szCs w:val="20"/>
                <w:lang w:val="en-US" w:eastAsia="en-GB"/>
              </w:rPr>
            </w:pPr>
            <w:r w:rsidRPr="00202A85">
              <w:rPr>
                <w:rFonts w:ascii="Times New Roman" w:eastAsia="Times New Roman" w:hAnsi="Times New Roman"/>
                <w:b/>
                <w:bCs/>
                <w:kern w:val="24"/>
                <w:sz w:val="20"/>
                <w:szCs w:val="20"/>
                <w:lang w:val="en-US" w:eastAsia="en-GB"/>
              </w:rPr>
              <w:t>Proposed changes for SPN23</w:t>
            </w:r>
          </w:p>
        </w:tc>
        <w:tc>
          <w:tcPr>
            <w:tcW w:w="1701" w:type="dxa"/>
            <w:hideMark/>
          </w:tcPr>
          <w:p w14:paraId="4D7EB304" w14:textId="75DCB0EC"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202A85">
              <w:rPr>
                <w:rFonts w:ascii="Times New Roman" w:eastAsia="Times New Roman" w:hAnsi="Times New Roman"/>
                <w:b/>
                <w:bCs/>
                <w:kern w:val="24"/>
                <w:sz w:val="20"/>
                <w:szCs w:val="20"/>
                <w:lang w:val="en-US" w:eastAsia="en-GB"/>
              </w:rPr>
              <w:t>Proposed changes for SPN10</w:t>
            </w:r>
          </w:p>
        </w:tc>
        <w:tc>
          <w:tcPr>
            <w:tcW w:w="1701" w:type="dxa"/>
            <w:hideMark/>
          </w:tcPr>
          <w:p w14:paraId="10A67C65"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b/>
                <w:bCs/>
                <w:kern w:val="24"/>
                <w:sz w:val="20"/>
                <w:szCs w:val="20"/>
                <w:lang w:val="en-US" w:eastAsia="en-GB"/>
              </w:rPr>
              <w:t>Reasoning</w:t>
            </w:r>
          </w:p>
        </w:tc>
      </w:tr>
      <w:tr w:rsidR="00202A85" w:rsidRPr="00AD1875" w14:paraId="52ADEDE5" w14:textId="77777777" w:rsidTr="00BC4DD0">
        <w:trPr>
          <w:trHeight w:val="1645"/>
        </w:trPr>
        <w:tc>
          <w:tcPr>
            <w:tcW w:w="1701" w:type="dxa"/>
            <w:hideMark/>
          </w:tcPr>
          <w:p w14:paraId="157C85B4" w14:textId="3EDD1E1D"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202A85">
              <w:rPr>
                <w:rFonts w:ascii="Times New Roman" w:eastAsia="Times New Roman" w:hAnsi="Times New Roman"/>
                <w:color w:val="000000" w:themeColor="dark1"/>
                <w:kern w:val="24"/>
                <w:sz w:val="20"/>
                <w:szCs w:val="20"/>
                <w:lang w:val="en-US" w:eastAsia="en-GB"/>
              </w:rPr>
              <w:t>PNC</w:t>
            </w:r>
            <w:r w:rsidRPr="00AD1875">
              <w:rPr>
                <w:rFonts w:ascii="Times New Roman" w:eastAsia="Times New Roman" w:hAnsi="Times New Roman"/>
                <w:color w:val="000000" w:themeColor="dark1"/>
                <w:kern w:val="24"/>
                <w:sz w:val="20"/>
                <w:szCs w:val="20"/>
                <w:lang w:val="en-US" w:eastAsia="en-GB"/>
              </w:rPr>
              <w:t xml:space="preserve"> efficiency</w:t>
            </w:r>
          </w:p>
        </w:tc>
        <w:tc>
          <w:tcPr>
            <w:tcW w:w="1701" w:type="dxa"/>
            <w:hideMark/>
          </w:tcPr>
          <w:p w14:paraId="6521FCBE"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50</w:t>
            </w:r>
            <w:r w:rsidRPr="00AD1875">
              <w:rPr>
                <w:rFonts w:ascii="Times New Roman" w:eastAsia="Times New Roman" w:hAnsi="Times New Roman"/>
                <w:color w:val="000000" w:themeColor="dark1"/>
                <w:kern w:val="24"/>
                <w:sz w:val="20"/>
                <w:szCs w:val="20"/>
                <w:lang w:val="en-US" w:eastAsia="en-GB"/>
              </w:rPr>
              <w:sym w:font="Symbol" w:char="F0B1"/>
            </w:r>
            <w:r w:rsidRPr="00AD1875">
              <w:rPr>
                <w:rFonts w:ascii="Times New Roman" w:eastAsia="Times New Roman" w:hAnsi="Times New Roman"/>
                <w:color w:val="000000" w:themeColor="dark1"/>
                <w:kern w:val="24"/>
                <w:sz w:val="20"/>
                <w:szCs w:val="20"/>
                <w:lang w:val="en-US" w:eastAsia="en-GB"/>
              </w:rPr>
              <w:t>12 % @ 23 nm, &gt;90% @ 41nm</w:t>
            </w:r>
          </w:p>
        </w:tc>
        <w:tc>
          <w:tcPr>
            <w:tcW w:w="1701" w:type="dxa"/>
          </w:tcPr>
          <w:p w14:paraId="24760B41" w14:textId="67296439" w:rsidR="00202A85" w:rsidRPr="00202A85" w:rsidRDefault="00202A85" w:rsidP="00AD1875">
            <w:pPr>
              <w:suppressAutoHyphens w:val="0"/>
              <w:spacing w:line="240" w:lineRule="auto"/>
              <w:rPr>
                <w:rFonts w:ascii="Times New Roman" w:eastAsia="Times New Roman" w:hAnsi="Times New Roman"/>
                <w:color w:val="000000" w:themeColor="dark1"/>
                <w:kern w:val="24"/>
                <w:sz w:val="20"/>
                <w:szCs w:val="20"/>
                <w:lang w:val="en-US" w:eastAsia="en-GB"/>
              </w:rPr>
            </w:pPr>
            <w:r w:rsidRPr="00202A85">
              <w:rPr>
                <w:rFonts w:ascii="Times New Roman" w:eastAsia="Times New Roman" w:hAnsi="Times New Roman"/>
                <w:color w:val="000000" w:themeColor="dark1"/>
                <w:kern w:val="24"/>
                <w:sz w:val="20"/>
                <w:szCs w:val="20"/>
                <w:lang w:val="en-US" w:eastAsia="en-GB"/>
              </w:rPr>
              <w:t>None</w:t>
            </w:r>
          </w:p>
        </w:tc>
        <w:tc>
          <w:tcPr>
            <w:tcW w:w="1701" w:type="dxa"/>
            <w:hideMark/>
          </w:tcPr>
          <w:p w14:paraId="63E9E142" w14:textId="40A8BD61"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65</w:t>
            </w:r>
            <w:r w:rsidRPr="00AD1875">
              <w:rPr>
                <w:rFonts w:ascii="Times New Roman" w:eastAsia="Times New Roman" w:hAnsi="Times New Roman"/>
                <w:color w:val="000000" w:themeColor="dark1"/>
                <w:kern w:val="24"/>
                <w:sz w:val="20"/>
                <w:szCs w:val="20"/>
                <w:lang w:val="en-US" w:eastAsia="en-GB"/>
              </w:rPr>
              <w:sym w:font="Symbol" w:char="F0B1"/>
            </w:r>
            <w:r w:rsidRPr="00AD1875">
              <w:rPr>
                <w:rFonts w:ascii="Times New Roman" w:eastAsia="Times New Roman" w:hAnsi="Times New Roman"/>
                <w:color w:val="000000" w:themeColor="dark1"/>
                <w:kern w:val="24"/>
                <w:sz w:val="20"/>
                <w:szCs w:val="20"/>
                <w:lang w:val="en-US" w:eastAsia="en-GB"/>
              </w:rPr>
              <w:t>15 % @ 10 nm, &gt;90% @ 15nm</w:t>
            </w:r>
          </w:p>
        </w:tc>
        <w:tc>
          <w:tcPr>
            <w:tcW w:w="1701" w:type="dxa"/>
            <w:hideMark/>
          </w:tcPr>
          <w:p w14:paraId="1E7391D2"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Typical PNC-efficiency, well tested in the field.</w:t>
            </w:r>
          </w:p>
        </w:tc>
      </w:tr>
      <w:tr w:rsidR="00202A85" w:rsidRPr="00AD1875" w14:paraId="64E86F25" w14:textId="77777777" w:rsidTr="00BC4DD0">
        <w:trPr>
          <w:trHeight w:val="1645"/>
        </w:trPr>
        <w:tc>
          <w:tcPr>
            <w:tcW w:w="1701" w:type="dxa"/>
            <w:hideMark/>
          </w:tcPr>
          <w:p w14:paraId="758C4467"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Maximum VPR-loss requirement</w:t>
            </w:r>
          </w:p>
        </w:tc>
        <w:tc>
          <w:tcPr>
            <w:tcW w:w="1701" w:type="dxa"/>
            <w:hideMark/>
          </w:tcPr>
          <w:p w14:paraId="212917EF"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 30nm 30% and @ 50 nm 20% higher than @ 100 nm</w:t>
            </w:r>
          </w:p>
        </w:tc>
        <w:tc>
          <w:tcPr>
            <w:tcW w:w="1701" w:type="dxa"/>
          </w:tcPr>
          <w:p w14:paraId="47543FC8" w14:textId="39F6C878" w:rsidR="00202A85" w:rsidRPr="00202A85" w:rsidRDefault="00202A85" w:rsidP="00AD1875">
            <w:pPr>
              <w:suppressAutoHyphens w:val="0"/>
              <w:spacing w:line="240" w:lineRule="auto"/>
              <w:rPr>
                <w:rFonts w:ascii="Times New Roman" w:eastAsia="Times New Roman" w:hAnsi="Times New Roman"/>
                <w:color w:val="000000" w:themeColor="dark1"/>
                <w:kern w:val="24"/>
                <w:sz w:val="20"/>
                <w:szCs w:val="20"/>
                <w:lang w:val="en-US" w:eastAsia="en-GB"/>
              </w:rPr>
            </w:pPr>
            <w:r w:rsidRPr="00202A85">
              <w:rPr>
                <w:rFonts w:ascii="Times New Roman" w:eastAsia="Times New Roman" w:hAnsi="Times New Roman"/>
                <w:color w:val="000000" w:themeColor="dark1"/>
                <w:kern w:val="24"/>
                <w:sz w:val="20"/>
                <w:szCs w:val="20"/>
                <w:lang w:val="en-US" w:eastAsia="en-GB"/>
              </w:rPr>
              <w:t>None</w:t>
            </w:r>
          </w:p>
        </w:tc>
        <w:tc>
          <w:tcPr>
            <w:tcW w:w="1701" w:type="dxa"/>
            <w:hideMark/>
          </w:tcPr>
          <w:p w14:paraId="4087F0AF" w14:textId="5F9A8E5C"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Addition</w:t>
            </w:r>
          </w:p>
          <w:p w14:paraId="3A2940A4"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@15 nm 100 % higher than at 100 nm</w:t>
            </w:r>
          </w:p>
        </w:tc>
        <w:tc>
          <w:tcPr>
            <w:tcW w:w="1701" w:type="dxa"/>
            <w:hideMark/>
          </w:tcPr>
          <w:p w14:paraId="5BA1AFF7" w14:textId="0E4BEB02"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202A85">
              <w:rPr>
                <w:rFonts w:ascii="Times New Roman" w:eastAsia="Times New Roman" w:hAnsi="Times New Roman"/>
                <w:color w:val="000000" w:themeColor="dark1"/>
                <w:kern w:val="24"/>
                <w:sz w:val="20"/>
                <w:szCs w:val="20"/>
                <w:lang w:val="en-US" w:eastAsia="en-GB"/>
              </w:rPr>
              <w:t>No additional requirement below 15 nm since g</w:t>
            </w:r>
            <w:r w:rsidRPr="00AD1875">
              <w:rPr>
                <w:rFonts w:ascii="Times New Roman" w:eastAsia="Times New Roman" w:hAnsi="Times New Roman"/>
                <w:color w:val="000000" w:themeColor="dark1"/>
                <w:kern w:val="24"/>
                <w:sz w:val="20"/>
                <w:szCs w:val="20"/>
                <w:lang w:val="en-US" w:eastAsia="en-GB"/>
              </w:rPr>
              <w:t xml:space="preserve">eneration of particles &lt; 15 nm challenging, uncertainties high </w:t>
            </w:r>
          </w:p>
        </w:tc>
      </w:tr>
      <w:tr w:rsidR="00202A85" w:rsidRPr="00AD1875" w14:paraId="30DC6CF3" w14:textId="77777777" w:rsidTr="00BC4DD0">
        <w:trPr>
          <w:trHeight w:val="1455"/>
        </w:trPr>
        <w:tc>
          <w:tcPr>
            <w:tcW w:w="1701" w:type="dxa"/>
            <w:hideMark/>
          </w:tcPr>
          <w:p w14:paraId="43FCC52B"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Polydisperse validation  of VPR</w:t>
            </w:r>
          </w:p>
        </w:tc>
        <w:tc>
          <w:tcPr>
            <w:tcW w:w="1701" w:type="dxa"/>
            <w:hideMark/>
          </w:tcPr>
          <w:p w14:paraId="5324DD95"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heme="minorEastAsia" w:hAnsi="Times New Roman"/>
                <w:color w:val="000000" w:themeColor="dark1"/>
                <w:kern w:val="24"/>
                <w:sz w:val="20"/>
                <w:szCs w:val="20"/>
                <w:lang w:eastAsia="en-GB"/>
              </w:rPr>
              <w:t>a polydisperse 50 nm aerosol may be used for validation</w:t>
            </w:r>
          </w:p>
        </w:tc>
        <w:tc>
          <w:tcPr>
            <w:tcW w:w="1701" w:type="dxa"/>
          </w:tcPr>
          <w:p w14:paraId="0726F5F9" w14:textId="4B757903" w:rsidR="00202A85" w:rsidRPr="00202A85" w:rsidRDefault="00202A85" w:rsidP="00AD1875">
            <w:pPr>
              <w:suppressAutoHyphens w:val="0"/>
              <w:spacing w:line="240" w:lineRule="auto"/>
              <w:rPr>
                <w:rFonts w:ascii="Times New Roman" w:eastAsia="Times New Roman" w:hAnsi="Times New Roman"/>
                <w:color w:val="000000" w:themeColor="dark1"/>
                <w:kern w:val="24"/>
                <w:sz w:val="20"/>
                <w:szCs w:val="20"/>
                <w:lang w:val="en-US" w:eastAsia="en-GB"/>
              </w:rPr>
            </w:pPr>
            <w:r w:rsidRPr="00202A85">
              <w:rPr>
                <w:rFonts w:ascii="Times New Roman" w:eastAsia="Times New Roman" w:hAnsi="Times New Roman"/>
                <w:color w:val="000000" w:themeColor="dark1"/>
                <w:kern w:val="24"/>
                <w:sz w:val="20"/>
                <w:szCs w:val="20"/>
                <w:lang w:val="en-US" w:eastAsia="en-GB"/>
              </w:rPr>
              <w:t>None</w:t>
            </w:r>
          </w:p>
        </w:tc>
        <w:tc>
          <w:tcPr>
            <w:tcW w:w="1701" w:type="dxa"/>
            <w:hideMark/>
          </w:tcPr>
          <w:p w14:paraId="48558A99" w14:textId="061FA5C4"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Removed</w:t>
            </w:r>
          </w:p>
        </w:tc>
        <w:tc>
          <w:tcPr>
            <w:tcW w:w="1701" w:type="dxa"/>
            <w:hideMark/>
          </w:tcPr>
          <w:p w14:paraId="14B2F7E3"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 xml:space="preserve">Uncertainties @ 15 nm or below high </w:t>
            </w:r>
            <w:r w:rsidRPr="00AD1875">
              <w:rPr>
                <w:rFonts w:ascii="Times New Roman" w:eastAsia="Times New Roman" w:hAnsi="Times New Roman"/>
                <w:color w:val="000000" w:themeColor="dark1"/>
                <w:kern w:val="24"/>
                <w:sz w:val="20"/>
                <w:szCs w:val="20"/>
                <w:lang w:val="en-US" w:eastAsia="en-GB"/>
              </w:rPr>
              <w:sym w:font="Wingdings" w:char="F0E0"/>
            </w:r>
            <w:r w:rsidRPr="00AD1875">
              <w:rPr>
                <w:rFonts w:ascii="Times New Roman" w:eastAsia="Times New Roman" w:hAnsi="Times New Roman"/>
                <w:color w:val="000000" w:themeColor="dark1"/>
                <w:kern w:val="24"/>
                <w:sz w:val="20"/>
                <w:szCs w:val="20"/>
                <w:lang w:val="en-US" w:eastAsia="en-GB"/>
              </w:rPr>
              <w:t xml:space="preserve"> test serves no purpose </w:t>
            </w:r>
          </w:p>
        </w:tc>
      </w:tr>
      <w:tr w:rsidR="00202A85" w:rsidRPr="00AD1875" w14:paraId="0017F055" w14:textId="77777777" w:rsidTr="00BC4DD0">
        <w:trPr>
          <w:trHeight w:val="1455"/>
        </w:trPr>
        <w:tc>
          <w:tcPr>
            <w:tcW w:w="1701" w:type="dxa"/>
            <w:hideMark/>
          </w:tcPr>
          <w:p w14:paraId="134C6392"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VPR validation</w:t>
            </w:r>
          </w:p>
        </w:tc>
        <w:tc>
          <w:tcPr>
            <w:tcW w:w="1701" w:type="dxa"/>
            <w:hideMark/>
          </w:tcPr>
          <w:p w14:paraId="7494A1D7"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heme="minorEastAsia" w:hAnsi="Times New Roman"/>
                <w:color w:val="000000" w:themeColor="dark1"/>
                <w:kern w:val="24"/>
                <w:sz w:val="20"/>
                <w:szCs w:val="20"/>
                <w:lang w:eastAsia="en-GB"/>
              </w:rPr>
              <w:t>&gt; 99.0 % vaporization of 30 nm tetracontane particles, with an inlet concentration of ≥ 10,000 per cm³</w:t>
            </w:r>
          </w:p>
          <w:p w14:paraId="0511B217"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heme="minorEastAsia" w:hAnsi="Times New Roman"/>
                <w:b/>
                <w:bCs/>
                <w:color w:val="000000" w:themeColor="dark1"/>
                <w:kern w:val="24"/>
                <w:sz w:val="20"/>
                <w:szCs w:val="20"/>
                <w:lang w:eastAsia="en-GB"/>
              </w:rPr>
              <w:t>(Monodisperse)</w:t>
            </w:r>
          </w:p>
        </w:tc>
        <w:tc>
          <w:tcPr>
            <w:tcW w:w="1701" w:type="dxa"/>
          </w:tcPr>
          <w:p w14:paraId="09751CF9" w14:textId="489E0D57" w:rsidR="00202A85" w:rsidRPr="00202A85" w:rsidRDefault="00DC2D48" w:rsidP="00AD1875">
            <w:pPr>
              <w:suppressAutoHyphens w:val="0"/>
              <w:spacing w:line="240" w:lineRule="auto"/>
              <w:rPr>
                <w:rFonts w:ascii="Times New Roman" w:eastAsiaTheme="minorEastAsia" w:hAnsi="Times New Roman"/>
                <w:color w:val="000000" w:themeColor="dark1"/>
                <w:kern w:val="24"/>
                <w:sz w:val="20"/>
                <w:szCs w:val="20"/>
                <w:lang w:eastAsia="en-GB"/>
              </w:rPr>
            </w:pPr>
            <w:r>
              <w:rPr>
                <w:rFonts w:ascii="Times New Roman" w:eastAsiaTheme="minorEastAsia" w:hAnsi="Times New Roman"/>
                <w:color w:val="000000" w:themeColor="dark1"/>
                <w:kern w:val="24"/>
                <w:sz w:val="20"/>
                <w:szCs w:val="20"/>
                <w:lang w:eastAsia="en-GB"/>
              </w:rPr>
              <w:t>None</w:t>
            </w:r>
          </w:p>
        </w:tc>
        <w:tc>
          <w:tcPr>
            <w:tcW w:w="1701" w:type="dxa"/>
            <w:hideMark/>
          </w:tcPr>
          <w:p w14:paraId="12E9CEEF" w14:textId="5DCA973D" w:rsidR="00202A85" w:rsidRPr="00AD1875" w:rsidRDefault="00202A85" w:rsidP="00AD1875">
            <w:pPr>
              <w:suppressAutoHyphens w:val="0"/>
              <w:spacing w:line="240" w:lineRule="auto"/>
              <w:rPr>
                <w:rFonts w:ascii="Times New Roman" w:eastAsia="Times New Roman" w:hAnsi="Times New Roman"/>
                <w:sz w:val="20"/>
                <w:szCs w:val="20"/>
                <w:lang w:eastAsia="en-GB"/>
              </w:rPr>
            </w:pPr>
            <w:r>
              <w:rPr>
                <w:rFonts w:ascii="Times New Roman" w:eastAsiaTheme="minorEastAsia" w:hAnsi="Times New Roman"/>
                <w:color w:val="000000" w:themeColor="dark1"/>
                <w:kern w:val="24"/>
                <w:sz w:val="20"/>
                <w:szCs w:val="20"/>
                <w:lang w:eastAsia="en-GB"/>
              </w:rPr>
              <w:t>&gt; 99.9</w:t>
            </w:r>
            <w:r w:rsidRPr="00AD1875">
              <w:rPr>
                <w:rFonts w:ascii="Times New Roman" w:eastAsiaTheme="minorEastAsia" w:hAnsi="Times New Roman"/>
                <w:color w:val="000000" w:themeColor="dark1"/>
                <w:kern w:val="24"/>
                <w:sz w:val="20"/>
                <w:szCs w:val="20"/>
                <w:lang w:eastAsia="en-GB"/>
              </w:rPr>
              <w:t xml:space="preserve"> % removal efficiency of tetracontane particles with </w:t>
            </w:r>
            <w:r w:rsidR="00F738D2" w:rsidRPr="00F738D2">
              <w:rPr>
                <w:rFonts w:ascii="Times New Roman" w:eastAsiaTheme="minorEastAsia" w:hAnsi="Times New Roman"/>
                <w:color w:val="000000" w:themeColor="dark1"/>
                <w:kern w:val="24"/>
                <w:sz w:val="20"/>
                <w:szCs w:val="20"/>
                <w:lang w:eastAsia="en-GB"/>
              </w:rPr>
              <w:t xml:space="preserve">count median </w:t>
            </w:r>
            <w:r w:rsidRPr="00AD1875">
              <w:rPr>
                <w:rFonts w:ascii="Times New Roman" w:eastAsiaTheme="minorEastAsia" w:hAnsi="Times New Roman"/>
                <w:color w:val="000000" w:themeColor="dark1"/>
                <w:kern w:val="24"/>
                <w:sz w:val="20"/>
                <w:szCs w:val="20"/>
                <w:lang w:eastAsia="en-GB"/>
              </w:rPr>
              <w:t>diameter &gt; 50 nm and mass &gt; 1 mg/m3.</w:t>
            </w:r>
          </w:p>
          <w:p w14:paraId="2EB4719B"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heme="minorEastAsia" w:hAnsi="Times New Roman"/>
                <w:b/>
                <w:bCs/>
                <w:color w:val="000000" w:themeColor="dark1"/>
                <w:kern w:val="24"/>
                <w:sz w:val="20"/>
                <w:szCs w:val="20"/>
                <w:lang w:eastAsia="en-GB"/>
              </w:rPr>
              <w:t>(Polydisperse)</w:t>
            </w:r>
          </w:p>
        </w:tc>
        <w:tc>
          <w:tcPr>
            <w:tcW w:w="1701" w:type="dxa"/>
            <w:hideMark/>
          </w:tcPr>
          <w:p w14:paraId="5B77056C"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Secure the functioning of VPR also for PNC with 65</w:t>
            </w:r>
            <w:r w:rsidRPr="00AD1875">
              <w:rPr>
                <w:rFonts w:ascii="Times New Roman" w:eastAsia="Times New Roman" w:hAnsi="Times New Roman"/>
                <w:color w:val="000000" w:themeColor="dark1"/>
                <w:kern w:val="24"/>
                <w:sz w:val="20"/>
                <w:szCs w:val="20"/>
                <w:lang w:val="en-US" w:eastAsia="en-GB"/>
              </w:rPr>
              <w:sym w:font="Symbol" w:char="F0B1"/>
            </w:r>
            <w:r w:rsidRPr="00AD1875">
              <w:rPr>
                <w:rFonts w:ascii="Times New Roman" w:eastAsia="Times New Roman" w:hAnsi="Times New Roman"/>
                <w:color w:val="000000" w:themeColor="dark1"/>
                <w:kern w:val="24"/>
                <w:sz w:val="20"/>
                <w:szCs w:val="20"/>
                <w:lang w:val="en-US" w:eastAsia="en-GB"/>
              </w:rPr>
              <w:t>15 % @ 10 nm, &gt;90% @ 15nm</w:t>
            </w:r>
          </w:p>
        </w:tc>
      </w:tr>
      <w:tr w:rsidR="00202A85" w:rsidRPr="00202A85" w14:paraId="6B1098DD" w14:textId="77777777" w:rsidTr="00BC4DD0">
        <w:tblPrEx>
          <w:tblLook w:val="04A0" w:firstRow="1" w:lastRow="0" w:firstColumn="1" w:lastColumn="0" w:noHBand="0" w:noVBand="1"/>
        </w:tblPrEx>
        <w:trPr>
          <w:trHeight w:val="584"/>
        </w:trPr>
        <w:tc>
          <w:tcPr>
            <w:tcW w:w="1701" w:type="dxa"/>
            <w:hideMark/>
          </w:tcPr>
          <w:p w14:paraId="4CF44232" w14:textId="0D6DD512" w:rsidR="00202A85" w:rsidRPr="00202A85" w:rsidRDefault="00202A85" w:rsidP="00202A85">
            <w:pPr>
              <w:suppressAutoHyphens w:val="0"/>
              <w:spacing w:line="240" w:lineRule="auto"/>
              <w:rPr>
                <w:rFonts w:ascii="Times New Roman" w:eastAsia="Times New Roman" w:hAnsi="Times New Roman"/>
                <w:color w:val="000000" w:themeColor="dark1"/>
                <w:kern w:val="24"/>
                <w:sz w:val="20"/>
                <w:szCs w:val="20"/>
                <w:lang w:val="en-US" w:eastAsia="en-GB"/>
              </w:rPr>
            </w:pPr>
            <w:r w:rsidRPr="00202A85">
              <w:rPr>
                <w:rFonts w:ascii="Times New Roman" w:eastAsia="Times New Roman" w:hAnsi="Times New Roman"/>
                <w:color w:val="000000" w:themeColor="dark1"/>
                <w:kern w:val="24"/>
                <w:sz w:val="20"/>
                <w:szCs w:val="20"/>
                <w:lang w:val="en-US" w:eastAsia="en-GB"/>
              </w:rPr>
              <w:t xml:space="preserve">Volatile Particle </w:t>
            </w:r>
            <w:r w:rsidR="006842D7">
              <w:rPr>
                <w:rFonts w:ascii="Times New Roman" w:eastAsia="Times New Roman" w:hAnsi="Times New Roman"/>
                <w:color w:val="000000" w:themeColor="dark1"/>
                <w:kern w:val="24"/>
                <w:sz w:val="20"/>
                <w:szCs w:val="20"/>
                <w:lang w:val="en-US" w:eastAsia="en-GB"/>
              </w:rPr>
              <w:t>Remover</w:t>
            </w:r>
            <w:r w:rsidR="006842D7" w:rsidRPr="00202A85">
              <w:rPr>
                <w:rFonts w:ascii="Times New Roman" w:eastAsia="Times New Roman" w:hAnsi="Times New Roman"/>
                <w:color w:val="000000" w:themeColor="dark1"/>
                <w:kern w:val="24"/>
                <w:sz w:val="20"/>
                <w:szCs w:val="20"/>
                <w:lang w:val="en-US" w:eastAsia="en-GB"/>
              </w:rPr>
              <w:t xml:space="preserve"> </w:t>
            </w:r>
            <w:r w:rsidRPr="00202A85">
              <w:rPr>
                <w:rFonts w:ascii="Times New Roman" w:eastAsia="Times New Roman" w:hAnsi="Times New Roman"/>
                <w:color w:val="000000" w:themeColor="dark1"/>
                <w:kern w:val="24"/>
                <w:sz w:val="20"/>
                <w:szCs w:val="20"/>
                <w:lang w:val="en-US" w:eastAsia="en-GB"/>
              </w:rPr>
              <w:t>(VPR)</w:t>
            </w:r>
          </w:p>
        </w:tc>
        <w:tc>
          <w:tcPr>
            <w:tcW w:w="1701" w:type="dxa"/>
            <w:hideMark/>
          </w:tcPr>
          <w:p w14:paraId="519C5C0B" w14:textId="77777777" w:rsidR="00202A85" w:rsidRPr="00202A85" w:rsidRDefault="00202A85" w:rsidP="00202A85">
            <w:pPr>
              <w:suppressAutoHyphens w:val="0"/>
              <w:spacing w:line="240" w:lineRule="auto"/>
              <w:rPr>
                <w:rFonts w:ascii="Times New Roman" w:eastAsia="Times New Roman" w:hAnsi="Times New Roman"/>
                <w:color w:val="000000" w:themeColor="dark1"/>
                <w:kern w:val="24"/>
                <w:sz w:val="20"/>
                <w:szCs w:val="20"/>
                <w:lang w:val="en-US" w:eastAsia="en-GB"/>
              </w:rPr>
            </w:pPr>
            <w:r w:rsidRPr="00202A85">
              <w:rPr>
                <w:rFonts w:ascii="Times New Roman" w:eastAsia="Times New Roman" w:hAnsi="Times New Roman"/>
                <w:color w:val="000000" w:themeColor="dark1"/>
                <w:kern w:val="24"/>
                <w:sz w:val="20"/>
                <w:szCs w:val="20"/>
                <w:lang w:val="en-US" w:eastAsia="en-GB"/>
              </w:rPr>
              <w:t>All parts (of SPN-system) -- shall not react with exhaust gas components</w:t>
            </w:r>
          </w:p>
        </w:tc>
        <w:tc>
          <w:tcPr>
            <w:tcW w:w="1701" w:type="dxa"/>
          </w:tcPr>
          <w:p w14:paraId="589125AA" w14:textId="4993BA0D" w:rsidR="00202A85" w:rsidRPr="00202A85" w:rsidRDefault="00202A85" w:rsidP="00771498">
            <w:pPr>
              <w:suppressAutoHyphens w:val="0"/>
              <w:spacing w:line="240" w:lineRule="auto"/>
              <w:rPr>
                <w:rFonts w:ascii="Times New Roman" w:eastAsia="Times New Roman" w:hAnsi="Times New Roman"/>
                <w:color w:val="000000" w:themeColor="dark1"/>
                <w:kern w:val="24"/>
                <w:sz w:val="20"/>
                <w:szCs w:val="20"/>
                <w:lang w:val="en-US" w:eastAsia="en-GB"/>
              </w:rPr>
            </w:pPr>
            <w:r w:rsidRPr="00202A85">
              <w:rPr>
                <w:rFonts w:ascii="Times New Roman" w:eastAsia="Times New Roman" w:hAnsi="Times New Roman"/>
                <w:color w:val="000000" w:themeColor="dark1"/>
                <w:kern w:val="24"/>
                <w:sz w:val="20"/>
                <w:szCs w:val="20"/>
                <w:lang w:val="en-US" w:eastAsia="en-GB"/>
              </w:rPr>
              <w:t>--</w:t>
            </w:r>
            <w:r w:rsidR="00771498">
              <w:rPr>
                <w:rFonts w:ascii="Times New Roman" w:eastAsia="Times New Roman" w:hAnsi="Times New Roman"/>
                <w:color w:val="000000" w:themeColor="dark1"/>
                <w:kern w:val="24"/>
                <w:sz w:val="20"/>
                <w:szCs w:val="20"/>
                <w:lang w:val="en-US" w:eastAsia="en-GB"/>
              </w:rPr>
              <w:t xml:space="preserve"> VPR may be catalyzed (both heated evaporation tube and catalytic stripper allowed) </w:t>
            </w:r>
          </w:p>
        </w:tc>
        <w:tc>
          <w:tcPr>
            <w:tcW w:w="1701" w:type="dxa"/>
            <w:hideMark/>
          </w:tcPr>
          <w:p w14:paraId="7683F0B4" w14:textId="352E3872" w:rsidR="00202A85" w:rsidRPr="00202A85" w:rsidRDefault="00202A85" w:rsidP="00202A85">
            <w:pPr>
              <w:suppressAutoHyphens w:val="0"/>
              <w:spacing w:line="240" w:lineRule="auto"/>
              <w:rPr>
                <w:rFonts w:ascii="Times New Roman" w:eastAsia="Times New Roman" w:hAnsi="Times New Roman"/>
                <w:color w:val="000000" w:themeColor="dark1"/>
                <w:kern w:val="24"/>
                <w:sz w:val="20"/>
                <w:szCs w:val="20"/>
                <w:lang w:val="en-US" w:eastAsia="en-GB"/>
              </w:rPr>
            </w:pPr>
            <w:r>
              <w:rPr>
                <w:rFonts w:ascii="Times New Roman" w:eastAsia="Times New Roman" w:hAnsi="Times New Roman"/>
                <w:color w:val="000000" w:themeColor="dark1"/>
                <w:kern w:val="24"/>
                <w:sz w:val="20"/>
                <w:szCs w:val="20"/>
                <w:lang w:val="en-US" w:eastAsia="en-GB"/>
              </w:rPr>
              <w:t>- the VPR shall be catalyzed (use of catalytic stripper only)</w:t>
            </w:r>
          </w:p>
        </w:tc>
        <w:tc>
          <w:tcPr>
            <w:tcW w:w="1701" w:type="dxa"/>
            <w:hideMark/>
          </w:tcPr>
          <w:p w14:paraId="3EB61A02" w14:textId="43556C80" w:rsidR="00202A85" w:rsidRPr="00202A85" w:rsidRDefault="00202A85" w:rsidP="00202A85">
            <w:pPr>
              <w:suppressAutoHyphens w:val="0"/>
              <w:spacing w:line="240" w:lineRule="auto"/>
              <w:rPr>
                <w:rFonts w:ascii="Times New Roman" w:eastAsia="Times New Roman" w:hAnsi="Times New Roman"/>
                <w:color w:val="000000" w:themeColor="dark1"/>
                <w:kern w:val="24"/>
                <w:sz w:val="20"/>
                <w:szCs w:val="20"/>
                <w:lang w:val="en-US" w:eastAsia="en-GB"/>
              </w:rPr>
            </w:pPr>
            <w:r>
              <w:rPr>
                <w:rFonts w:ascii="Times New Roman" w:eastAsia="Times New Roman" w:hAnsi="Times New Roman"/>
                <w:color w:val="000000" w:themeColor="dark1"/>
                <w:kern w:val="24"/>
                <w:sz w:val="20"/>
                <w:szCs w:val="20"/>
                <w:lang w:val="en-US" w:eastAsia="en-GB"/>
              </w:rPr>
              <w:t>Minimize the risk of ar</w:t>
            </w:r>
            <w:r w:rsidR="00BC4DD0">
              <w:rPr>
                <w:rFonts w:ascii="Times New Roman" w:eastAsia="Times New Roman" w:hAnsi="Times New Roman"/>
                <w:color w:val="000000" w:themeColor="dark1"/>
                <w:kern w:val="24"/>
                <w:sz w:val="20"/>
                <w:szCs w:val="20"/>
                <w:lang w:val="en-US" w:eastAsia="en-GB"/>
              </w:rPr>
              <w:t>te</w:t>
            </w:r>
            <w:r>
              <w:rPr>
                <w:rFonts w:ascii="Times New Roman" w:eastAsia="Times New Roman" w:hAnsi="Times New Roman"/>
                <w:color w:val="000000" w:themeColor="dark1"/>
                <w:kern w:val="24"/>
                <w:sz w:val="20"/>
                <w:szCs w:val="20"/>
                <w:lang w:val="en-US" w:eastAsia="en-GB"/>
              </w:rPr>
              <w:t>facts for SPN</w:t>
            </w:r>
            <w:r w:rsidRPr="00202A85">
              <w:rPr>
                <w:rFonts w:ascii="Times New Roman" w:eastAsia="Times New Roman" w:hAnsi="Times New Roman"/>
                <w:color w:val="000000" w:themeColor="dark1"/>
                <w:kern w:val="24"/>
                <w:sz w:val="20"/>
                <w:szCs w:val="20"/>
                <w:lang w:val="en-US" w:eastAsia="en-GB"/>
              </w:rPr>
              <w:t>10. Comparability of PNC10 and PNC23</w:t>
            </w:r>
            <w:r>
              <w:rPr>
                <w:rFonts w:ascii="Times New Roman" w:eastAsia="Times New Roman" w:hAnsi="Times New Roman"/>
                <w:color w:val="000000" w:themeColor="dark1"/>
                <w:kern w:val="24"/>
                <w:sz w:val="20"/>
                <w:szCs w:val="20"/>
                <w:lang w:val="en-US" w:eastAsia="en-GB"/>
              </w:rPr>
              <w:t xml:space="preserve"> and possibility of using new </w:t>
            </w:r>
            <w:r w:rsidR="00BC4DD0">
              <w:rPr>
                <w:rFonts w:ascii="Times New Roman" w:eastAsia="Times New Roman" w:hAnsi="Times New Roman"/>
                <w:color w:val="000000" w:themeColor="dark1"/>
                <w:kern w:val="24"/>
                <w:sz w:val="20"/>
                <w:szCs w:val="20"/>
                <w:lang w:val="en-US" w:eastAsia="en-GB"/>
              </w:rPr>
              <w:t xml:space="preserve">sampling </w:t>
            </w:r>
            <w:r>
              <w:rPr>
                <w:rFonts w:ascii="Times New Roman" w:eastAsia="Times New Roman" w:hAnsi="Times New Roman"/>
                <w:color w:val="000000" w:themeColor="dark1"/>
                <w:kern w:val="24"/>
                <w:sz w:val="20"/>
                <w:szCs w:val="20"/>
                <w:lang w:val="en-US" w:eastAsia="en-GB"/>
              </w:rPr>
              <w:t xml:space="preserve">systems </w:t>
            </w:r>
            <w:r w:rsidR="00BC4DD0">
              <w:rPr>
                <w:rFonts w:ascii="Times New Roman" w:eastAsia="Times New Roman" w:hAnsi="Times New Roman"/>
                <w:color w:val="000000" w:themeColor="dark1"/>
                <w:kern w:val="24"/>
                <w:sz w:val="20"/>
                <w:szCs w:val="20"/>
                <w:lang w:val="en-US" w:eastAsia="en-GB"/>
              </w:rPr>
              <w:t xml:space="preserve">with CS also </w:t>
            </w:r>
            <w:r>
              <w:rPr>
                <w:rFonts w:ascii="Times New Roman" w:eastAsia="Times New Roman" w:hAnsi="Times New Roman"/>
                <w:color w:val="000000" w:themeColor="dark1"/>
                <w:kern w:val="24"/>
                <w:sz w:val="20"/>
                <w:szCs w:val="20"/>
                <w:lang w:val="en-US" w:eastAsia="en-GB"/>
              </w:rPr>
              <w:t xml:space="preserve">for SPN23 by </w:t>
            </w:r>
            <w:r w:rsidR="00BC4DD0">
              <w:rPr>
                <w:rFonts w:ascii="Times New Roman" w:eastAsia="Times New Roman" w:hAnsi="Times New Roman"/>
                <w:color w:val="000000" w:themeColor="dark1"/>
                <w:kern w:val="24"/>
                <w:sz w:val="20"/>
                <w:szCs w:val="20"/>
                <w:lang w:val="en-US" w:eastAsia="en-GB"/>
              </w:rPr>
              <w:t>fitting a PNC with a</w:t>
            </w:r>
            <w:r w:rsidR="00527457">
              <w:rPr>
                <w:rFonts w:ascii="Times New Roman" w:eastAsia="Times New Roman" w:hAnsi="Times New Roman"/>
                <w:color w:val="000000" w:themeColor="dark1"/>
                <w:kern w:val="24"/>
                <w:sz w:val="20"/>
                <w:szCs w:val="20"/>
                <w:lang w:val="en-US" w:eastAsia="en-GB"/>
              </w:rPr>
              <w:t xml:space="preserve"> D50 @</w:t>
            </w:r>
            <w:r w:rsidR="00BC4DD0">
              <w:rPr>
                <w:rFonts w:ascii="Times New Roman" w:eastAsia="Times New Roman" w:hAnsi="Times New Roman"/>
                <w:color w:val="000000" w:themeColor="dark1"/>
                <w:kern w:val="24"/>
                <w:sz w:val="20"/>
                <w:szCs w:val="20"/>
                <w:lang w:val="en-US" w:eastAsia="en-GB"/>
              </w:rPr>
              <w:t xml:space="preserve"> 23 </w:t>
            </w:r>
            <w:r w:rsidR="00527457">
              <w:rPr>
                <w:rFonts w:ascii="Times New Roman" w:eastAsia="Times New Roman" w:hAnsi="Times New Roman"/>
                <w:color w:val="000000" w:themeColor="dark1"/>
                <w:kern w:val="24"/>
                <w:sz w:val="20"/>
                <w:szCs w:val="20"/>
                <w:lang w:val="en-US" w:eastAsia="en-GB"/>
              </w:rPr>
              <w:t>nm</w:t>
            </w:r>
            <w:r w:rsidR="00BC4DD0">
              <w:rPr>
                <w:rFonts w:ascii="Times New Roman" w:eastAsia="Times New Roman" w:hAnsi="Times New Roman"/>
                <w:color w:val="000000" w:themeColor="dark1"/>
                <w:kern w:val="24"/>
                <w:sz w:val="20"/>
                <w:szCs w:val="20"/>
                <w:lang w:val="en-US" w:eastAsia="en-GB"/>
              </w:rPr>
              <w:t xml:space="preserve">. </w:t>
            </w:r>
          </w:p>
        </w:tc>
      </w:tr>
    </w:tbl>
    <w:p w14:paraId="62467A0B" w14:textId="77777777" w:rsidR="004E1455" w:rsidRDefault="004E1455" w:rsidP="00BA6682">
      <w:pPr>
        <w:ind w:left="1134"/>
      </w:pPr>
    </w:p>
    <w:p w14:paraId="7B9E716F" w14:textId="77777777" w:rsidR="004E1455" w:rsidRDefault="004E1455" w:rsidP="007A5119">
      <w:pPr>
        <w:spacing w:after="120"/>
        <w:ind w:left="1134"/>
      </w:pPr>
    </w:p>
    <w:p w14:paraId="3D4FC3BC" w14:textId="49F2DC2E" w:rsidR="00BC4DD0" w:rsidRDefault="00DA71CD" w:rsidP="007A5119">
      <w:pPr>
        <w:spacing w:after="120"/>
        <w:ind w:left="1134"/>
      </w:pPr>
      <w:r>
        <w:lastRenderedPageBreak/>
        <w:t xml:space="preserve">A specific technical </w:t>
      </w:r>
      <w:r w:rsidR="00BE607D">
        <w:t xml:space="preserve">issue </w:t>
      </w:r>
      <w:r>
        <w:t xml:space="preserve">stemmed from the concern that to certify a vehicle for two different regions applying different PN limits (i.e. PN10 and PN23) either two different instruments or double testing might be required. </w:t>
      </w:r>
      <w:r w:rsidR="00AF0DFA">
        <w:t>This would lead in any case to increased testing costs and burden.</w:t>
      </w:r>
      <w:r>
        <w:t xml:space="preserve"> Both those situation</w:t>
      </w:r>
      <w:r w:rsidR="00446C5F">
        <w:t>s</w:t>
      </w:r>
      <w:r>
        <w:t xml:space="preserve"> might be avoided if a test performed using the SPN 10 measurement procedure could also cover the SPN23 nm test.</w:t>
      </w:r>
    </w:p>
    <w:p w14:paraId="01802C3E" w14:textId="60B9A790" w:rsidR="00AF0DFA" w:rsidRDefault="00AF0DFA" w:rsidP="007A5119">
      <w:pPr>
        <w:spacing w:after="120"/>
        <w:ind w:left="1134"/>
      </w:pPr>
      <w:r>
        <w:t>In principle measuring SPN10 should result in higher PN values and therefore if the PN23 limit is met it can be concluded that the same limit would be more easily met when using the SPN23 procedure</w:t>
      </w:r>
      <w:r w:rsidR="00DA71CD">
        <w:t xml:space="preserve"> (see picture below)</w:t>
      </w:r>
      <w:r>
        <w:t xml:space="preserve">. The PMP IWG </w:t>
      </w:r>
      <w:r w:rsidR="00BE607D">
        <w:t xml:space="preserve">believes </w:t>
      </w:r>
      <w:r>
        <w:t>that this option is acceptable if any party would like to implement it.</w:t>
      </w:r>
    </w:p>
    <w:p w14:paraId="3814CB74" w14:textId="77777777" w:rsidR="00BC4DD0" w:rsidRDefault="00BC4DD0" w:rsidP="007A5119">
      <w:pPr>
        <w:spacing w:after="120"/>
        <w:ind w:left="1134"/>
      </w:pPr>
    </w:p>
    <w:p w14:paraId="10CDF7E9" w14:textId="5600054A" w:rsidR="00BC4DD0" w:rsidRDefault="00DA71CD" w:rsidP="00BA6682">
      <w:pPr>
        <w:ind w:left="1134"/>
      </w:pPr>
      <w:r>
        <w:rPr>
          <w:noProof/>
          <w:lang w:eastAsia="en-GB"/>
        </w:rPr>
        <w:drawing>
          <wp:inline distT="0" distB="0" distL="0" distR="0" wp14:anchorId="078CEBA7" wp14:editId="2003BC2B">
            <wp:extent cx="3209027" cy="250706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6239" cy="2512700"/>
                    </a:xfrm>
                    <a:prstGeom prst="rect">
                      <a:avLst/>
                    </a:prstGeom>
                    <a:noFill/>
                  </pic:spPr>
                </pic:pic>
              </a:graphicData>
            </a:graphic>
          </wp:inline>
        </w:drawing>
      </w:r>
    </w:p>
    <w:p w14:paraId="48AC6628" w14:textId="77777777" w:rsidR="00BC4DD0" w:rsidRDefault="00BC4DD0" w:rsidP="00BA6682">
      <w:pPr>
        <w:ind w:left="1134"/>
      </w:pPr>
    </w:p>
    <w:p w14:paraId="18D7F56F" w14:textId="77777777" w:rsidR="00BC4DD0" w:rsidRDefault="00BC4DD0" w:rsidP="00BA6682">
      <w:pPr>
        <w:ind w:left="1134"/>
      </w:pPr>
    </w:p>
    <w:p w14:paraId="2FEF6231" w14:textId="77777777" w:rsidR="00BC4DD0" w:rsidRDefault="00BC4DD0" w:rsidP="00BA6682">
      <w:pPr>
        <w:ind w:left="1134"/>
      </w:pPr>
    </w:p>
    <w:p w14:paraId="0D96B47E" w14:textId="69E4C0E8" w:rsidR="00BC4DD0" w:rsidRDefault="00F35E30" w:rsidP="00BA6682">
      <w:pPr>
        <w:ind w:left="1134"/>
      </w:pPr>
      <w:r>
        <w:t xml:space="preserve">As explained above, the proposed amendment does not </w:t>
      </w:r>
      <w:r w:rsidR="00DD2D65">
        <w:t xml:space="preserve">just </w:t>
      </w:r>
      <w:r>
        <w:t xml:space="preserve">contain a second option for SPN10 measurement, but also </w:t>
      </w:r>
      <w:r w:rsidR="00DD2D65">
        <w:t>in</w:t>
      </w:r>
      <w:r w:rsidR="00E31B6F">
        <w:t xml:space="preserve">cludes </w:t>
      </w:r>
      <w:r>
        <w:t xml:space="preserve">a number of corrections/improvements to the existing </w:t>
      </w:r>
      <w:r w:rsidR="00095275">
        <w:t>and the proposed methodology</w:t>
      </w:r>
      <w:r>
        <w:t xml:space="preserve">. </w:t>
      </w:r>
      <w:r w:rsidR="000F33B8">
        <w:t xml:space="preserve">The following table describes in detail </w:t>
      </w:r>
      <w:r w:rsidR="00C733F7" w:rsidRPr="00C733F7">
        <w:rPr>
          <w:u w:val="single"/>
        </w:rPr>
        <w:t xml:space="preserve">only </w:t>
      </w:r>
      <w:r w:rsidR="000F33B8" w:rsidRPr="00C733F7">
        <w:rPr>
          <w:u w:val="single"/>
        </w:rPr>
        <w:t>the changes to the</w:t>
      </w:r>
      <w:r w:rsidR="00095275" w:rsidRPr="00C733F7">
        <w:rPr>
          <w:u w:val="single"/>
        </w:rPr>
        <w:t xml:space="preserve"> existing,</w:t>
      </w:r>
      <w:r w:rsidR="000F33B8" w:rsidRPr="00C733F7">
        <w:rPr>
          <w:u w:val="single"/>
        </w:rPr>
        <w:t xml:space="preserve"> SPN23 methodology</w:t>
      </w:r>
      <w:r w:rsidR="00206351">
        <w:t>. When in the “New text” column the marking “</w:t>
      </w:r>
      <w:r w:rsidR="00206351">
        <w:rPr>
          <w:sz w:val="18"/>
        </w:rPr>
        <w:t>SPN23”</w:t>
      </w:r>
      <w:r w:rsidR="00206351">
        <w:t xml:space="preserve"> does not appear, the changes </w:t>
      </w:r>
      <w:r w:rsidR="00E31B6F">
        <w:t xml:space="preserve">also </w:t>
      </w:r>
      <w:r w:rsidR="00206351">
        <w:t>apply to the SPN10 procedure</w:t>
      </w:r>
      <w:r w:rsidR="000F33B8">
        <w:t>.</w:t>
      </w:r>
    </w:p>
    <w:p w14:paraId="26F78E73" w14:textId="77777777" w:rsidR="00265C80" w:rsidRDefault="00265C80" w:rsidP="00BA6682">
      <w:pPr>
        <w:ind w:left="1134"/>
      </w:pPr>
    </w:p>
    <w:p w14:paraId="1E0A69C0" w14:textId="77777777" w:rsidR="000F33B8" w:rsidRDefault="000F33B8" w:rsidP="00BA6682">
      <w:pPr>
        <w:ind w:left="1134"/>
      </w:pPr>
    </w:p>
    <w:tbl>
      <w:tblPr>
        <w:tblStyle w:val="TableGrid"/>
        <w:tblW w:w="8515" w:type="dxa"/>
        <w:tblInd w:w="1134" w:type="dxa"/>
        <w:tblLook w:val="04A0" w:firstRow="1" w:lastRow="0" w:firstColumn="1" w:lastColumn="0" w:noHBand="0" w:noVBand="1"/>
      </w:tblPr>
      <w:tblGrid>
        <w:gridCol w:w="1555"/>
        <w:gridCol w:w="2409"/>
        <w:gridCol w:w="2552"/>
        <w:gridCol w:w="1999"/>
      </w:tblGrid>
      <w:tr w:rsidR="000F33B8" w:rsidRPr="00293FEE" w14:paraId="3B046176" w14:textId="759A05CF" w:rsidTr="007D0501">
        <w:trPr>
          <w:tblHeader/>
        </w:trPr>
        <w:tc>
          <w:tcPr>
            <w:tcW w:w="1555" w:type="dxa"/>
          </w:tcPr>
          <w:p w14:paraId="4F872F7C" w14:textId="024178FE" w:rsidR="000F33B8" w:rsidRPr="00293FEE" w:rsidRDefault="000F33B8" w:rsidP="00BA6682">
            <w:pPr>
              <w:rPr>
                <w:b/>
                <w:sz w:val="18"/>
              </w:rPr>
            </w:pPr>
            <w:r w:rsidRPr="00293FEE">
              <w:rPr>
                <w:b/>
                <w:sz w:val="18"/>
              </w:rPr>
              <w:t>Annex 5</w:t>
            </w:r>
          </w:p>
        </w:tc>
        <w:tc>
          <w:tcPr>
            <w:tcW w:w="2409" w:type="dxa"/>
          </w:tcPr>
          <w:p w14:paraId="1035796C" w14:textId="2594C891" w:rsidR="000F33B8" w:rsidRPr="00293FEE" w:rsidRDefault="000F33B8" w:rsidP="00BA6682">
            <w:pPr>
              <w:rPr>
                <w:b/>
                <w:sz w:val="18"/>
              </w:rPr>
            </w:pPr>
            <w:r w:rsidRPr="00293FEE">
              <w:rPr>
                <w:b/>
                <w:sz w:val="18"/>
              </w:rPr>
              <w:t>Original text</w:t>
            </w:r>
          </w:p>
        </w:tc>
        <w:tc>
          <w:tcPr>
            <w:tcW w:w="2552" w:type="dxa"/>
          </w:tcPr>
          <w:p w14:paraId="6E7FE1BF" w14:textId="2A66DCBC" w:rsidR="000F33B8" w:rsidRPr="00293FEE" w:rsidRDefault="000F33B8" w:rsidP="00BA6682">
            <w:pPr>
              <w:rPr>
                <w:b/>
                <w:sz w:val="18"/>
              </w:rPr>
            </w:pPr>
            <w:r w:rsidRPr="00293FEE">
              <w:rPr>
                <w:b/>
                <w:sz w:val="18"/>
              </w:rPr>
              <w:t>New text</w:t>
            </w:r>
          </w:p>
        </w:tc>
        <w:tc>
          <w:tcPr>
            <w:tcW w:w="1999" w:type="dxa"/>
          </w:tcPr>
          <w:p w14:paraId="30DDD654" w14:textId="08D0E8F1" w:rsidR="000F33B8" w:rsidRPr="00293FEE" w:rsidRDefault="000F33B8" w:rsidP="00BA6682">
            <w:pPr>
              <w:rPr>
                <w:b/>
                <w:sz w:val="18"/>
              </w:rPr>
            </w:pPr>
            <w:r w:rsidRPr="00293FEE">
              <w:rPr>
                <w:b/>
                <w:sz w:val="18"/>
              </w:rPr>
              <w:t>Justification</w:t>
            </w:r>
          </w:p>
        </w:tc>
      </w:tr>
      <w:tr w:rsidR="000F33B8" w14:paraId="455B5609" w14:textId="49741F5E" w:rsidTr="00293FEE">
        <w:tc>
          <w:tcPr>
            <w:tcW w:w="1555" w:type="dxa"/>
          </w:tcPr>
          <w:p w14:paraId="321BB61F" w14:textId="0672B695" w:rsidR="000F33B8" w:rsidRPr="00293FEE" w:rsidRDefault="00293FEE" w:rsidP="00BA6682">
            <w:pPr>
              <w:rPr>
                <w:sz w:val="18"/>
              </w:rPr>
            </w:pPr>
            <w:r w:rsidRPr="00293FEE">
              <w:rPr>
                <w:sz w:val="18"/>
              </w:rPr>
              <w:t>4.3.</w:t>
            </w:r>
            <w:r w:rsidRPr="00293FEE">
              <w:rPr>
                <w:sz w:val="18"/>
              </w:rPr>
              <w:tab/>
              <w:t>PN measurement equipment (if applicable)</w:t>
            </w:r>
          </w:p>
        </w:tc>
        <w:tc>
          <w:tcPr>
            <w:tcW w:w="2409" w:type="dxa"/>
          </w:tcPr>
          <w:p w14:paraId="6C269D53" w14:textId="79D33017" w:rsidR="000F33B8" w:rsidRPr="00293FEE" w:rsidRDefault="00293FEE" w:rsidP="00BA6682">
            <w:pPr>
              <w:rPr>
                <w:sz w:val="18"/>
              </w:rPr>
            </w:pPr>
            <w:r w:rsidRPr="00293FEE">
              <w:rPr>
                <w:sz w:val="18"/>
              </w:rPr>
              <w:t>None</w:t>
            </w:r>
          </w:p>
        </w:tc>
        <w:tc>
          <w:tcPr>
            <w:tcW w:w="2552" w:type="dxa"/>
          </w:tcPr>
          <w:p w14:paraId="3BC90AD7" w14:textId="2FE57C4E" w:rsidR="001D1C7C" w:rsidRPr="001D1C7C" w:rsidRDefault="001D1C7C" w:rsidP="00F45C5A">
            <w:pPr>
              <w:spacing w:after="120"/>
              <w:rPr>
                <w:sz w:val="18"/>
              </w:rPr>
            </w:pPr>
            <w:r w:rsidRPr="001D1C7C">
              <w:rPr>
                <w:sz w:val="18"/>
              </w:rPr>
              <w:t xml:space="preserve">This regulation allows for </w:t>
            </w:r>
            <w:r w:rsidR="009100C6">
              <w:rPr>
                <w:sz w:val="18"/>
              </w:rPr>
              <w:t>two</w:t>
            </w:r>
            <w:r w:rsidRPr="001D1C7C">
              <w:rPr>
                <w:sz w:val="18"/>
              </w:rPr>
              <w:t xml:space="preserve"> optional settings for the measurement of PN, differentiated by the particle electrical mobility diameter at which the PNC’s detection efficiency is stated. The two values included are 23</w:t>
            </w:r>
            <w:r w:rsidR="00F45C5A">
              <w:rPr>
                <w:sz w:val="18"/>
              </w:rPr>
              <w:t> </w:t>
            </w:r>
            <w:r w:rsidRPr="001D1C7C">
              <w:rPr>
                <w:sz w:val="18"/>
              </w:rPr>
              <w:t>nm and 10</w:t>
            </w:r>
            <w:r w:rsidR="00F45C5A">
              <w:rPr>
                <w:sz w:val="18"/>
              </w:rPr>
              <w:t> </w:t>
            </w:r>
            <w:r w:rsidRPr="001D1C7C">
              <w:rPr>
                <w:sz w:val="18"/>
              </w:rPr>
              <w:t xml:space="preserve">nm. </w:t>
            </w:r>
          </w:p>
          <w:p w14:paraId="2AB1ADE0" w14:textId="18F5BF2B" w:rsidR="001D1C7C" w:rsidRPr="001D1C7C" w:rsidRDefault="001D1C7C" w:rsidP="00F45C5A">
            <w:pPr>
              <w:spacing w:after="120"/>
              <w:rPr>
                <w:sz w:val="18"/>
              </w:rPr>
            </w:pPr>
            <w:r w:rsidRPr="001D1C7C">
              <w:rPr>
                <w:sz w:val="18"/>
              </w:rPr>
              <w:t>While most of the paragraphs and sub-paragraphs are common to the two different settings and have to be applied for both 23</w:t>
            </w:r>
            <w:r w:rsidR="00F45C5A">
              <w:rPr>
                <w:sz w:val="18"/>
              </w:rPr>
              <w:t> </w:t>
            </w:r>
            <w:r w:rsidRPr="001D1C7C">
              <w:rPr>
                <w:sz w:val="18"/>
              </w:rPr>
              <w:t>nm and 10</w:t>
            </w:r>
            <w:r w:rsidR="00F45C5A">
              <w:rPr>
                <w:sz w:val="18"/>
              </w:rPr>
              <w:t> </w:t>
            </w:r>
            <w:r w:rsidRPr="001D1C7C">
              <w:rPr>
                <w:sz w:val="18"/>
              </w:rPr>
              <w:t xml:space="preserve">nm PN measurement, some contain two different options </w:t>
            </w:r>
            <w:r w:rsidRPr="001D1C7C">
              <w:rPr>
                <w:sz w:val="18"/>
              </w:rPr>
              <w:lastRenderedPageBreak/>
              <w:t xml:space="preserve">starting respectively with the markings “SPN23” and “SPN10”. </w:t>
            </w:r>
          </w:p>
          <w:p w14:paraId="206E5FBB" w14:textId="62D2A842" w:rsidR="001D1C7C" w:rsidRPr="00293FEE" w:rsidRDefault="001D1C7C" w:rsidP="001D1C7C">
            <w:pPr>
              <w:rPr>
                <w:sz w:val="18"/>
              </w:rPr>
            </w:pPr>
            <w:r w:rsidRPr="001D1C7C">
              <w:rPr>
                <w:sz w:val="18"/>
              </w:rPr>
              <w:t>Where such options exist, a Contracting Party wishing to apply the 23</w:t>
            </w:r>
            <w:r w:rsidR="005E579A">
              <w:rPr>
                <w:sz w:val="18"/>
              </w:rPr>
              <w:t> </w:t>
            </w:r>
            <w:r w:rsidRPr="001D1C7C">
              <w:rPr>
                <w:sz w:val="18"/>
              </w:rPr>
              <w:t>nm value should select the requirements starting with the marking “SPN23” whereas a Contracting Party wishing to apply the 10</w:t>
            </w:r>
            <w:r w:rsidR="005E579A">
              <w:rPr>
                <w:sz w:val="18"/>
              </w:rPr>
              <w:t> </w:t>
            </w:r>
            <w:r w:rsidRPr="001D1C7C">
              <w:rPr>
                <w:sz w:val="18"/>
              </w:rPr>
              <w:t>nm value should select the requirements starting with the marking “SPN10”.</w:t>
            </w:r>
          </w:p>
        </w:tc>
        <w:tc>
          <w:tcPr>
            <w:tcW w:w="1999" w:type="dxa"/>
          </w:tcPr>
          <w:p w14:paraId="06E44499" w14:textId="5EF3F592" w:rsidR="000F33B8" w:rsidRPr="00293FEE" w:rsidRDefault="00293FEE" w:rsidP="00BA6682">
            <w:pPr>
              <w:rPr>
                <w:sz w:val="18"/>
              </w:rPr>
            </w:pPr>
            <w:r w:rsidRPr="00293FEE">
              <w:rPr>
                <w:sz w:val="18"/>
              </w:rPr>
              <w:lastRenderedPageBreak/>
              <w:t xml:space="preserve">The text explains how to read the </w:t>
            </w:r>
            <w:r w:rsidR="001262DF">
              <w:rPr>
                <w:sz w:val="18"/>
              </w:rPr>
              <w:t>annex in th</w:t>
            </w:r>
            <w:r w:rsidR="00234FC8">
              <w:rPr>
                <w:sz w:val="18"/>
              </w:rPr>
              <w:t>e context of having common text, SPN10 specific text and SP23 specific text</w:t>
            </w:r>
            <w:r w:rsidR="009C0592">
              <w:rPr>
                <w:sz w:val="18"/>
              </w:rPr>
              <w:t xml:space="preserve">- as introduced by the </w:t>
            </w:r>
            <w:r w:rsidRPr="00293FEE">
              <w:rPr>
                <w:sz w:val="18"/>
              </w:rPr>
              <w:t xml:space="preserve">new </w:t>
            </w:r>
            <w:r w:rsidR="009C0592">
              <w:rPr>
                <w:sz w:val="18"/>
              </w:rPr>
              <w:t xml:space="preserve">and the amended </w:t>
            </w:r>
            <w:r w:rsidRPr="00293FEE">
              <w:rPr>
                <w:sz w:val="18"/>
              </w:rPr>
              <w:t xml:space="preserve">test procedure. </w:t>
            </w:r>
          </w:p>
        </w:tc>
      </w:tr>
      <w:tr w:rsidR="000F33B8" w14:paraId="699E979D" w14:textId="7E286730" w:rsidTr="00293FEE">
        <w:tc>
          <w:tcPr>
            <w:tcW w:w="1555" w:type="dxa"/>
          </w:tcPr>
          <w:p w14:paraId="5C006D96" w14:textId="29CB873C" w:rsidR="000F33B8" w:rsidRPr="00293FEE" w:rsidRDefault="00293FEE" w:rsidP="00BA6682">
            <w:pPr>
              <w:rPr>
                <w:sz w:val="18"/>
              </w:rPr>
            </w:pPr>
            <w:r w:rsidRPr="00266027">
              <w:t>4.3.</w:t>
            </w:r>
            <w:r w:rsidRPr="00266027">
              <w:rPr>
                <w:szCs w:val="24"/>
              </w:rPr>
              <w:t>1.2.3.</w:t>
            </w:r>
          </w:p>
        </w:tc>
        <w:tc>
          <w:tcPr>
            <w:tcW w:w="2409" w:type="dxa"/>
          </w:tcPr>
          <w:p w14:paraId="1778F6ED" w14:textId="0B62C71E" w:rsidR="000F33B8" w:rsidRPr="00293FEE" w:rsidRDefault="00293FEE" w:rsidP="00BA6682">
            <w:pPr>
              <w:rPr>
                <w:sz w:val="18"/>
              </w:rPr>
            </w:pPr>
            <w:r w:rsidRPr="00293FEE">
              <w:rPr>
                <w:sz w:val="18"/>
              </w:rPr>
              <w:t>All parts of the dilution system and the sampling system from the exhaust pipe up to the PNC, which are in contact with raw and diluted exhaust gas, shall be designed to minimize deposition of the particles. All parts shall be made of electrically conductive materials that do not react with exhaust gas components, and shall be electrically grounded to prevent electrostatic effects.</w:t>
            </w:r>
          </w:p>
        </w:tc>
        <w:tc>
          <w:tcPr>
            <w:tcW w:w="2552" w:type="dxa"/>
          </w:tcPr>
          <w:p w14:paraId="16A59700" w14:textId="6EE327C4" w:rsidR="000F33B8" w:rsidRPr="00293FEE" w:rsidRDefault="00886BF0" w:rsidP="00BA6682">
            <w:pPr>
              <w:rPr>
                <w:sz w:val="18"/>
              </w:rPr>
            </w:pPr>
            <w:r w:rsidRPr="00886BF0">
              <w:rPr>
                <w:sz w:val="18"/>
              </w:rPr>
              <w:t>All parts of the dilution system and the sampling system from the exhaust pipe up to the PNC, which are in contact with raw and diluted exhaust gas, shall be made of electrically conductive materials, shall be electrically grounded to prevent electrostatic effects and designed to minimize deposition of the particles</w:t>
            </w:r>
            <w:r>
              <w:rPr>
                <w:sz w:val="18"/>
              </w:rPr>
              <w:t>.</w:t>
            </w:r>
          </w:p>
        </w:tc>
        <w:tc>
          <w:tcPr>
            <w:tcW w:w="1999" w:type="dxa"/>
          </w:tcPr>
          <w:p w14:paraId="6F0B92D2" w14:textId="233136D4" w:rsidR="000F33B8" w:rsidRPr="00293FEE" w:rsidRDefault="00293FEE" w:rsidP="00BA6682">
            <w:pPr>
              <w:rPr>
                <w:sz w:val="18"/>
              </w:rPr>
            </w:pPr>
            <w:r>
              <w:rPr>
                <w:sz w:val="18"/>
              </w:rPr>
              <w:t>This change allows the use of a catalytic stripper in the sampling system used for SPN23 measurement</w:t>
            </w:r>
          </w:p>
        </w:tc>
      </w:tr>
      <w:tr w:rsidR="000F33B8" w14:paraId="4B005951" w14:textId="2A0C8231" w:rsidTr="00293FEE">
        <w:tc>
          <w:tcPr>
            <w:tcW w:w="1555" w:type="dxa"/>
          </w:tcPr>
          <w:p w14:paraId="042B6038" w14:textId="26542DB3" w:rsidR="000F33B8" w:rsidRPr="00293FEE" w:rsidRDefault="00293FEE" w:rsidP="00BA6682">
            <w:pPr>
              <w:rPr>
                <w:sz w:val="18"/>
              </w:rPr>
            </w:pPr>
            <w:r w:rsidRPr="00266027">
              <w:t>4.3.</w:t>
            </w:r>
            <w:r w:rsidRPr="00266027">
              <w:rPr>
                <w:szCs w:val="24"/>
              </w:rPr>
              <w:t>1.3.3.</w:t>
            </w:r>
          </w:p>
        </w:tc>
        <w:tc>
          <w:tcPr>
            <w:tcW w:w="2409" w:type="dxa"/>
          </w:tcPr>
          <w:p w14:paraId="6177270B" w14:textId="77777777" w:rsidR="00293FEE" w:rsidRPr="00293FEE" w:rsidRDefault="00293FEE" w:rsidP="00293FEE">
            <w:pPr>
              <w:rPr>
                <w:sz w:val="18"/>
              </w:rPr>
            </w:pPr>
            <w:r w:rsidRPr="00293FEE">
              <w:rPr>
                <w:sz w:val="18"/>
              </w:rPr>
              <w:t>The sample preconditioning unit shall:</w:t>
            </w:r>
          </w:p>
          <w:p w14:paraId="0F16F354" w14:textId="3321CCEE" w:rsidR="000F33B8" w:rsidRPr="00293FEE" w:rsidRDefault="00293FEE" w:rsidP="00293FEE">
            <w:pPr>
              <w:rPr>
                <w:sz w:val="18"/>
              </w:rPr>
            </w:pPr>
            <w:r w:rsidRPr="00293FEE">
              <w:rPr>
                <w:sz w:val="18"/>
              </w:rPr>
              <w:t>(a)</w:t>
            </w:r>
            <w:r w:rsidRPr="00293FEE">
              <w:rPr>
                <w:sz w:val="18"/>
              </w:rPr>
              <w:tab/>
              <w:t>Be capable of diluting the sample in one or more stages to achieve a particle number concentration below the upper threshold of the single particle count mode of the PNC and a gas temperature below 35 °C at the inlet to the PNC;</w:t>
            </w:r>
          </w:p>
        </w:tc>
        <w:tc>
          <w:tcPr>
            <w:tcW w:w="2552" w:type="dxa"/>
          </w:tcPr>
          <w:p w14:paraId="4EE75844" w14:textId="77777777" w:rsidR="00293FEE" w:rsidRPr="00293FEE" w:rsidRDefault="00293FEE" w:rsidP="00293FEE">
            <w:pPr>
              <w:rPr>
                <w:sz w:val="18"/>
              </w:rPr>
            </w:pPr>
            <w:r w:rsidRPr="00293FEE">
              <w:rPr>
                <w:sz w:val="18"/>
              </w:rPr>
              <w:t>The sample preconditioning unit shall:</w:t>
            </w:r>
          </w:p>
          <w:p w14:paraId="39A8148B" w14:textId="5AAF6860" w:rsidR="00886BF0" w:rsidRPr="00886BF0" w:rsidRDefault="00886BF0" w:rsidP="00886BF0">
            <w:pPr>
              <w:rPr>
                <w:sz w:val="18"/>
              </w:rPr>
            </w:pPr>
            <w:r w:rsidRPr="00886BF0">
              <w:rPr>
                <w:sz w:val="18"/>
              </w:rPr>
              <w:t>(a)</w:t>
            </w:r>
            <w:r w:rsidRPr="00886BF0">
              <w:rPr>
                <w:sz w:val="18"/>
              </w:rPr>
              <w:tab/>
              <w:t xml:space="preserve">Be capable of diluting the sample in one or more stages to achieve a particle number concentration below the upper threshold of the single particle count mode of the PNC; </w:t>
            </w:r>
          </w:p>
          <w:p w14:paraId="7E818CB8" w14:textId="0028D81D" w:rsidR="000F33B8" w:rsidRPr="00293FEE" w:rsidRDefault="00886BF0" w:rsidP="00886BF0">
            <w:pPr>
              <w:rPr>
                <w:sz w:val="18"/>
              </w:rPr>
            </w:pPr>
            <w:r w:rsidRPr="00886BF0">
              <w:rPr>
                <w:sz w:val="18"/>
              </w:rPr>
              <w:t>(b)</w:t>
            </w:r>
            <w:r w:rsidRPr="00886BF0">
              <w:rPr>
                <w:sz w:val="18"/>
              </w:rPr>
              <w:tab/>
              <w:t>Have a gas temperature at the inlet to the PNC below the maximum allowed inlet temperature specified by the PNC manufacturer;</w:t>
            </w:r>
          </w:p>
        </w:tc>
        <w:tc>
          <w:tcPr>
            <w:tcW w:w="1999" w:type="dxa"/>
          </w:tcPr>
          <w:p w14:paraId="14818AFB" w14:textId="77777777" w:rsidR="004519A8" w:rsidRDefault="004519A8" w:rsidP="00BA6682">
            <w:pPr>
              <w:rPr>
                <w:sz w:val="18"/>
              </w:rPr>
            </w:pPr>
          </w:p>
          <w:p w14:paraId="344DFF64" w14:textId="77777777" w:rsidR="004519A8" w:rsidRDefault="004519A8" w:rsidP="004519A8">
            <w:pPr>
              <w:pStyle w:val="CommentText"/>
            </w:pPr>
            <w:r>
              <w:t>Permits the use of systems that can control the inlet temperature</w:t>
            </w:r>
          </w:p>
          <w:p w14:paraId="3CEB6E0A" w14:textId="48D5CC45" w:rsidR="000F33B8" w:rsidRPr="00293FEE" w:rsidRDefault="00293FEE" w:rsidP="00886BF0">
            <w:pPr>
              <w:rPr>
                <w:sz w:val="18"/>
              </w:rPr>
            </w:pPr>
            <w:r>
              <w:rPr>
                <w:sz w:val="18"/>
              </w:rPr>
              <w:t xml:space="preserve"> </w:t>
            </w:r>
          </w:p>
        </w:tc>
      </w:tr>
      <w:tr w:rsidR="000F33B8" w14:paraId="10F522B1" w14:textId="2EE9401D" w:rsidTr="00293FEE">
        <w:tc>
          <w:tcPr>
            <w:tcW w:w="1555" w:type="dxa"/>
          </w:tcPr>
          <w:p w14:paraId="676F569C" w14:textId="4974CB4E" w:rsidR="000F33B8" w:rsidRPr="00293FEE" w:rsidRDefault="00293FEE" w:rsidP="00BA6682">
            <w:pPr>
              <w:rPr>
                <w:sz w:val="18"/>
              </w:rPr>
            </w:pPr>
            <w:r w:rsidRPr="00266027">
              <w:t>4.3.</w:t>
            </w:r>
            <w:r w:rsidRPr="00266027">
              <w:rPr>
                <w:szCs w:val="24"/>
              </w:rPr>
              <w:t>1.3.3.</w:t>
            </w:r>
          </w:p>
        </w:tc>
        <w:tc>
          <w:tcPr>
            <w:tcW w:w="2409" w:type="dxa"/>
          </w:tcPr>
          <w:p w14:paraId="14494573" w14:textId="77777777" w:rsidR="00293FEE" w:rsidRPr="00293FEE" w:rsidRDefault="00293FEE" w:rsidP="00293FEE">
            <w:pPr>
              <w:rPr>
                <w:sz w:val="18"/>
              </w:rPr>
            </w:pPr>
            <w:r w:rsidRPr="00293FEE">
              <w:rPr>
                <w:sz w:val="18"/>
              </w:rPr>
              <w:t>The sample preconditioning unit shall:</w:t>
            </w:r>
          </w:p>
          <w:p w14:paraId="355A84E0" w14:textId="3FAFC162" w:rsidR="000F33B8" w:rsidRPr="00293FEE" w:rsidRDefault="00293FEE" w:rsidP="00BA6682">
            <w:pPr>
              <w:rPr>
                <w:sz w:val="18"/>
              </w:rPr>
            </w:pPr>
            <w:r>
              <w:rPr>
                <w:sz w:val="18"/>
              </w:rPr>
              <w:t>(e)</w:t>
            </w:r>
            <w:r>
              <w:rPr>
                <w:sz w:val="18"/>
              </w:rPr>
              <w:tab/>
              <w:t xml:space="preserve">Be designed to </w:t>
            </w:r>
            <w:r w:rsidRPr="00293FEE">
              <w:rPr>
                <w:sz w:val="18"/>
              </w:rPr>
              <w:t>achieve a solid particle penetration efficiency  of at least 70 per cent for particles of 100 nm electrical mobility diameter;</w:t>
            </w:r>
          </w:p>
        </w:tc>
        <w:tc>
          <w:tcPr>
            <w:tcW w:w="2552" w:type="dxa"/>
          </w:tcPr>
          <w:p w14:paraId="2A6C0894" w14:textId="77777777" w:rsidR="00293FEE" w:rsidRPr="00293FEE" w:rsidRDefault="00293FEE" w:rsidP="00293FEE">
            <w:pPr>
              <w:rPr>
                <w:sz w:val="18"/>
              </w:rPr>
            </w:pPr>
            <w:r w:rsidRPr="00293FEE">
              <w:rPr>
                <w:sz w:val="18"/>
              </w:rPr>
              <w:t>The sample preconditioning unit shall:</w:t>
            </w:r>
          </w:p>
          <w:p w14:paraId="6CA855EC" w14:textId="46FDFA73" w:rsidR="000F33B8" w:rsidRPr="00293FEE" w:rsidRDefault="00886BF0" w:rsidP="00293FEE">
            <w:pPr>
              <w:rPr>
                <w:sz w:val="18"/>
              </w:rPr>
            </w:pPr>
            <w:r>
              <w:rPr>
                <w:sz w:val="18"/>
              </w:rPr>
              <w:t>(f</w:t>
            </w:r>
            <w:r w:rsidR="00293FEE">
              <w:rPr>
                <w:sz w:val="18"/>
              </w:rPr>
              <w:t>)</w:t>
            </w:r>
            <w:r w:rsidR="00293FEE">
              <w:rPr>
                <w:sz w:val="18"/>
              </w:rPr>
              <w:tab/>
              <w:t>A</w:t>
            </w:r>
            <w:r w:rsidR="00293FEE" w:rsidRPr="00293FEE">
              <w:rPr>
                <w:sz w:val="18"/>
              </w:rPr>
              <w:t>chieve a solid particle penetration efficiency  of at least 70 per cent for particles of 100 nm electrical mobility diameter;</w:t>
            </w:r>
          </w:p>
        </w:tc>
        <w:tc>
          <w:tcPr>
            <w:tcW w:w="1999" w:type="dxa"/>
          </w:tcPr>
          <w:p w14:paraId="454D6124" w14:textId="09A9DADD" w:rsidR="000F33B8" w:rsidRPr="00293FEE" w:rsidRDefault="00206351" w:rsidP="00BA6682">
            <w:pPr>
              <w:rPr>
                <w:sz w:val="18"/>
              </w:rPr>
            </w:pPr>
            <w:r>
              <w:rPr>
                <w:sz w:val="18"/>
              </w:rPr>
              <w:t>Only editorial change</w:t>
            </w:r>
          </w:p>
        </w:tc>
      </w:tr>
      <w:tr w:rsidR="00886BF0" w14:paraId="1DD3D471" w14:textId="77777777" w:rsidTr="00293FEE">
        <w:tc>
          <w:tcPr>
            <w:tcW w:w="1555" w:type="dxa"/>
          </w:tcPr>
          <w:p w14:paraId="04A1AAAE" w14:textId="464233BD" w:rsidR="00886BF0" w:rsidRPr="00266027" w:rsidRDefault="00886BF0" w:rsidP="00BA6682">
            <w:r w:rsidRPr="00266027">
              <w:t>4.3.</w:t>
            </w:r>
            <w:r w:rsidRPr="00266027">
              <w:rPr>
                <w:szCs w:val="24"/>
              </w:rPr>
              <w:t>1.3.3.</w:t>
            </w:r>
          </w:p>
        </w:tc>
        <w:tc>
          <w:tcPr>
            <w:tcW w:w="2409" w:type="dxa"/>
          </w:tcPr>
          <w:p w14:paraId="74CDE84A" w14:textId="77777777" w:rsidR="00886BF0" w:rsidRPr="00293FEE" w:rsidRDefault="00886BF0" w:rsidP="00886BF0">
            <w:pPr>
              <w:rPr>
                <w:sz w:val="18"/>
              </w:rPr>
            </w:pPr>
            <w:r w:rsidRPr="00293FEE">
              <w:rPr>
                <w:sz w:val="18"/>
              </w:rPr>
              <w:t>The sample preconditioning unit shall:</w:t>
            </w:r>
          </w:p>
          <w:p w14:paraId="491D938D" w14:textId="5722040A" w:rsidR="00886BF0" w:rsidRPr="00293FEE" w:rsidRDefault="00886BF0" w:rsidP="00886BF0">
            <w:pPr>
              <w:rPr>
                <w:sz w:val="18"/>
              </w:rPr>
            </w:pPr>
            <w:r>
              <w:rPr>
                <w:sz w:val="18"/>
              </w:rPr>
              <w:t>(</w:t>
            </w:r>
            <w:r w:rsidRPr="00886BF0">
              <w:rPr>
                <w:sz w:val="18"/>
              </w:rPr>
              <w:t>h)</w:t>
            </w:r>
            <w:r w:rsidRPr="00886BF0">
              <w:rPr>
                <w:sz w:val="18"/>
              </w:rPr>
              <w:tab/>
              <w:t xml:space="preserve">Also achieve more than 99.0 per cent vaporization of 30 nm tetracontane (CH3(CH2)38CH3) particles, with an inlet concentration of ≥ 10,000 per cm³, by means of </w:t>
            </w:r>
            <w:r w:rsidRPr="00886BF0">
              <w:rPr>
                <w:sz w:val="18"/>
              </w:rPr>
              <w:lastRenderedPageBreak/>
              <w:t>heating and reduction of partial pressures of the tetracontane.</w:t>
            </w:r>
          </w:p>
        </w:tc>
        <w:tc>
          <w:tcPr>
            <w:tcW w:w="2552" w:type="dxa"/>
          </w:tcPr>
          <w:p w14:paraId="33EAA115" w14:textId="77777777" w:rsidR="00886BF0" w:rsidRPr="00293FEE" w:rsidRDefault="00886BF0" w:rsidP="00886BF0">
            <w:pPr>
              <w:rPr>
                <w:sz w:val="18"/>
              </w:rPr>
            </w:pPr>
            <w:r w:rsidRPr="00293FEE">
              <w:rPr>
                <w:sz w:val="18"/>
              </w:rPr>
              <w:lastRenderedPageBreak/>
              <w:t>The sample preconditioning unit shall:</w:t>
            </w:r>
          </w:p>
          <w:p w14:paraId="5CDEB298" w14:textId="77777777" w:rsidR="00886BF0" w:rsidRDefault="00886BF0" w:rsidP="00886BF0">
            <w:pPr>
              <w:rPr>
                <w:sz w:val="18"/>
              </w:rPr>
            </w:pPr>
            <w:r>
              <w:rPr>
                <w:sz w:val="18"/>
              </w:rPr>
              <w:t>(</w:t>
            </w:r>
            <w:r w:rsidRPr="00886BF0">
              <w:rPr>
                <w:sz w:val="18"/>
              </w:rPr>
              <w:t>h)</w:t>
            </w:r>
            <w:r w:rsidRPr="00886BF0">
              <w:rPr>
                <w:sz w:val="18"/>
              </w:rPr>
              <w:tab/>
            </w:r>
            <w:r>
              <w:rPr>
                <w:sz w:val="18"/>
              </w:rPr>
              <w:t xml:space="preserve">SPN23: </w:t>
            </w:r>
          </w:p>
          <w:p w14:paraId="0EB266DC" w14:textId="66764C41" w:rsidR="00886BF0" w:rsidRPr="00293FEE" w:rsidRDefault="00886BF0" w:rsidP="00886BF0">
            <w:pPr>
              <w:rPr>
                <w:sz w:val="18"/>
              </w:rPr>
            </w:pPr>
            <w:r w:rsidRPr="00886BF0">
              <w:rPr>
                <w:sz w:val="18"/>
              </w:rPr>
              <w:t xml:space="preserve">Achieve more than 99.0 per cent vaporization of 30 nm tetracontane (CH3(CH2)38CH3) particles, with an inlet concentration of ≥ 10,000 per cm³, by means of heating and </w:t>
            </w:r>
            <w:r w:rsidRPr="00886BF0">
              <w:rPr>
                <w:sz w:val="18"/>
              </w:rPr>
              <w:lastRenderedPageBreak/>
              <w:t>reduction of partial pressures of the tetracontane.</w:t>
            </w:r>
          </w:p>
        </w:tc>
        <w:tc>
          <w:tcPr>
            <w:tcW w:w="1999" w:type="dxa"/>
          </w:tcPr>
          <w:p w14:paraId="6D20C934" w14:textId="7D22A165" w:rsidR="00886BF0" w:rsidRDefault="00886BF0" w:rsidP="00BA6682">
            <w:pPr>
              <w:rPr>
                <w:sz w:val="18"/>
              </w:rPr>
            </w:pPr>
            <w:r>
              <w:rPr>
                <w:sz w:val="18"/>
              </w:rPr>
              <w:lastRenderedPageBreak/>
              <w:t>Only editorial change</w:t>
            </w:r>
          </w:p>
        </w:tc>
      </w:tr>
      <w:tr w:rsidR="004B7A04" w14:paraId="5E342AFB" w14:textId="77777777" w:rsidTr="00293FEE">
        <w:tc>
          <w:tcPr>
            <w:tcW w:w="1555" w:type="dxa"/>
          </w:tcPr>
          <w:p w14:paraId="7867BE8E" w14:textId="45AD0E7D" w:rsidR="004B7A04" w:rsidRPr="00266027" w:rsidRDefault="004B7A04" w:rsidP="00BA6682">
            <w:r>
              <w:t>New 4.3.1.3.3.1</w:t>
            </w:r>
          </w:p>
        </w:tc>
        <w:tc>
          <w:tcPr>
            <w:tcW w:w="2409" w:type="dxa"/>
          </w:tcPr>
          <w:p w14:paraId="3F06561B" w14:textId="1B11A3AF" w:rsidR="004B7A04" w:rsidRPr="00293FEE" w:rsidRDefault="004B7A04" w:rsidP="00293FEE">
            <w:pPr>
              <w:rPr>
                <w:sz w:val="18"/>
              </w:rPr>
            </w:pPr>
            <w:r>
              <w:rPr>
                <w:sz w:val="18"/>
              </w:rPr>
              <w:t>None</w:t>
            </w:r>
          </w:p>
        </w:tc>
        <w:tc>
          <w:tcPr>
            <w:tcW w:w="2552" w:type="dxa"/>
          </w:tcPr>
          <w:p w14:paraId="49DAFF48" w14:textId="61162880" w:rsidR="004B7A04" w:rsidRPr="004B7A04" w:rsidRDefault="004B7A04" w:rsidP="004B7A04">
            <w:pPr>
              <w:rPr>
                <w:sz w:val="18"/>
              </w:rPr>
            </w:pPr>
            <w:r w:rsidRPr="004B7A04">
              <w:rPr>
                <w:sz w:val="18"/>
              </w:rPr>
              <w:t xml:space="preserve">The solid particle penetration </w:t>
            </w:r>
            <m:oMath>
              <m:sSub>
                <m:sSubPr>
                  <m:ctrlPr>
                    <w:rPr>
                      <w:rFonts w:ascii="Cambria Math" w:hAnsi="Cambria Math"/>
                      <w:sz w:val="18"/>
                    </w:rPr>
                  </m:ctrlPr>
                </m:sSubPr>
                <m:e>
                  <m:r>
                    <m:rPr>
                      <m:sty m:val="p"/>
                    </m:rPr>
                    <w:rPr>
                      <w:rFonts w:ascii="Cambria Math" w:hAnsi="Cambria Math"/>
                      <w:sz w:val="18"/>
                    </w:rPr>
                    <m:t>P</m:t>
                  </m:r>
                </m:e>
                <m:sub>
                  <m:r>
                    <m:rPr>
                      <m:sty m:val="p"/>
                    </m:rPr>
                    <w:rPr>
                      <w:rFonts w:ascii="Cambria Math" w:hAnsi="Cambria Math"/>
                      <w:sz w:val="18"/>
                    </w:rPr>
                    <m:t>r</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oMath>
            <w:r w:rsidRPr="004B7A04">
              <w:rPr>
                <w:sz w:val="18"/>
              </w:rPr>
              <w:t xml:space="preserve"> at a particle size, </w:t>
            </w:r>
            <m:oMath>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oMath>
            <w:r w:rsidRPr="004B7A04">
              <w:rPr>
                <w:sz w:val="18"/>
              </w:rPr>
              <w:t xml:space="preserve">, shall be calculated </w:t>
            </w:r>
            <w:r w:rsidRPr="004B7A04">
              <w:rPr>
                <w:bCs/>
                <w:sz w:val="18"/>
              </w:rPr>
              <w:t>using the following equation:</w:t>
            </w:r>
          </w:p>
          <w:p w14:paraId="7180396E" w14:textId="38C1D19D" w:rsidR="004B7A04" w:rsidRPr="004B7A04" w:rsidRDefault="00C45E9C" w:rsidP="004B7A04">
            <w:pPr>
              <w:rPr>
                <w:sz w:val="18"/>
              </w:rPr>
            </w:pPr>
            <m:oMathPara>
              <m:oMath>
                <m:sSub>
                  <m:sSubPr>
                    <m:ctrlPr>
                      <w:rPr>
                        <w:rFonts w:ascii="Cambria Math" w:hAnsi="Cambria Math"/>
                        <w:sz w:val="18"/>
                      </w:rPr>
                    </m:ctrlPr>
                  </m:sSubPr>
                  <m:e>
                    <m:r>
                      <m:rPr>
                        <m:sty m:val="p"/>
                      </m:rPr>
                      <w:rPr>
                        <w:rFonts w:ascii="Cambria Math" w:hAnsi="Cambria Math"/>
                        <w:sz w:val="18"/>
                      </w:rPr>
                      <m:t>P</m:t>
                    </m:r>
                  </m:e>
                  <m:sub>
                    <m:r>
                      <m:rPr>
                        <m:sty m:val="p"/>
                      </m:rPr>
                      <w:rPr>
                        <w:rFonts w:ascii="Cambria Math" w:hAnsi="Cambria Math"/>
                        <w:sz w:val="18"/>
                      </w:rPr>
                      <m:t>r</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r>
                  <m:rPr>
                    <m:nor/>
                  </m:rPr>
                  <w:rPr>
                    <w:sz w:val="18"/>
                  </w:rPr>
                  <m:t xml:space="preserve"> = DF</m:t>
                </m:r>
                <m:r>
                  <m:rPr>
                    <m:nor/>
                  </m:rPr>
                  <w:rPr>
                    <w:rFonts w:ascii="Cambria Math" w:hAnsi="Cambria Math" w:cs="Cambria Math"/>
                    <w:sz w:val="18"/>
                  </w:rPr>
                  <m:t>⋅</m:t>
                </m:r>
                <m:f>
                  <m:fPr>
                    <m:type m:val="lin"/>
                    <m:ctrlPr>
                      <w:rPr>
                        <w:rFonts w:ascii="Cambria Math" w:hAnsi="Cambria Math"/>
                        <w:sz w:val="18"/>
                      </w:rPr>
                    </m:ctrlPr>
                  </m:fPr>
                  <m:num>
                    <m:sSub>
                      <m:sSubPr>
                        <m:ctrlPr>
                          <w:rPr>
                            <w:rFonts w:ascii="Cambria Math" w:hAnsi="Cambria Math"/>
                            <w:sz w:val="18"/>
                          </w:rPr>
                        </m:ctrlPr>
                      </m:sSubPr>
                      <m:e>
                        <m:r>
                          <m:rPr>
                            <m:sty m:val="p"/>
                          </m:rPr>
                          <w:rPr>
                            <w:rFonts w:ascii="Cambria Math" w:hAnsi="Cambria Math"/>
                            <w:sz w:val="18"/>
                          </w:rPr>
                          <m:t>N</m:t>
                        </m:r>
                      </m:e>
                      <m:sub>
                        <m:r>
                          <m:rPr>
                            <m:sty m:val="p"/>
                          </m:rPr>
                          <w:rPr>
                            <w:rFonts w:ascii="Cambria Math" w:hAnsi="Cambria Math"/>
                            <w:sz w:val="18"/>
                          </w:rPr>
                          <m:t>out</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num>
                  <m:den>
                    <m:sSub>
                      <m:sSubPr>
                        <m:ctrlPr>
                          <w:rPr>
                            <w:rFonts w:ascii="Cambria Math" w:hAnsi="Cambria Math"/>
                            <w:sz w:val="18"/>
                          </w:rPr>
                        </m:ctrlPr>
                      </m:sSubPr>
                      <m:e>
                        <m:r>
                          <m:rPr>
                            <m:sty m:val="p"/>
                          </m:rPr>
                          <w:rPr>
                            <w:rFonts w:ascii="Cambria Math" w:hAnsi="Cambria Math"/>
                            <w:sz w:val="18"/>
                          </w:rPr>
                          <m:t>N</m:t>
                        </m:r>
                      </m:e>
                      <m:sub>
                        <m:r>
                          <m:rPr>
                            <m:sty m:val="p"/>
                          </m:rPr>
                          <w:rPr>
                            <w:rFonts w:ascii="Cambria Math" w:hAnsi="Cambria Math"/>
                            <w:sz w:val="18"/>
                          </w:rPr>
                          <m:t>in</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den>
                </m:f>
              </m:oMath>
            </m:oMathPara>
          </w:p>
          <w:p w14:paraId="5F282DB7" w14:textId="77777777" w:rsidR="004B7A04" w:rsidRPr="004B7A04" w:rsidRDefault="004B7A04" w:rsidP="004B7A04">
            <w:pPr>
              <w:rPr>
                <w:sz w:val="18"/>
              </w:rPr>
            </w:pPr>
            <w:r w:rsidRPr="004B7A04">
              <w:rPr>
                <w:sz w:val="18"/>
              </w:rPr>
              <w:t>Where</w:t>
            </w:r>
          </w:p>
          <w:p w14:paraId="236EAFF5" w14:textId="61341853" w:rsidR="004B7A04" w:rsidRPr="004B7A04" w:rsidRDefault="00C45E9C" w:rsidP="004B7A04">
            <w:pPr>
              <w:rPr>
                <w:sz w:val="18"/>
              </w:rPr>
            </w:pPr>
            <m:oMath>
              <m:sSub>
                <m:sSubPr>
                  <m:ctrlPr>
                    <w:rPr>
                      <w:rFonts w:ascii="Cambria Math" w:hAnsi="Cambria Math"/>
                      <w:sz w:val="18"/>
                    </w:rPr>
                  </m:ctrlPr>
                </m:sSubPr>
                <m:e>
                  <m:r>
                    <m:rPr>
                      <m:sty m:val="p"/>
                    </m:rPr>
                    <w:rPr>
                      <w:rFonts w:ascii="Cambria Math" w:hAnsi="Cambria Math"/>
                      <w:sz w:val="18"/>
                    </w:rPr>
                    <m:t>N</m:t>
                  </m:r>
                </m:e>
                <m:sub>
                  <m:r>
                    <m:rPr>
                      <m:sty m:val="p"/>
                    </m:rPr>
                    <w:rPr>
                      <w:rFonts w:ascii="Cambria Math" w:hAnsi="Cambria Math"/>
                      <w:sz w:val="18"/>
                    </w:rPr>
                    <m:t>in</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oMath>
            <w:r w:rsidR="004B7A04" w:rsidRPr="004B7A04">
              <w:rPr>
                <w:iCs/>
                <w:sz w:val="18"/>
              </w:rPr>
              <w:tab/>
            </w:r>
            <w:r w:rsidR="004B7A04" w:rsidRPr="004B7A04">
              <w:rPr>
                <w:iCs/>
                <w:sz w:val="18"/>
              </w:rPr>
              <w:tab/>
              <w:t>is the</w:t>
            </w:r>
            <w:r w:rsidR="004B7A04" w:rsidRPr="004B7A04">
              <w:rPr>
                <w:sz w:val="18"/>
              </w:rPr>
              <w:t xml:space="preserve"> upstream particle number concentration for particles of diameter </w:t>
            </w:r>
            <m:oMath>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oMath>
            <w:r w:rsidR="004B7A04" w:rsidRPr="004B7A04">
              <w:rPr>
                <w:sz w:val="18"/>
              </w:rPr>
              <w:t>;</w:t>
            </w:r>
          </w:p>
          <w:p w14:paraId="686101C0" w14:textId="4FFD3FA7" w:rsidR="004B7A04" w:rsidRPr="004B7A04" w:rsidRDefault="00C45E9C" w:rsidP="004B7A04">
            <w:pPr>
              <w:rPr>
                <w:sz w:val="18"/>
              </w:rPr>
            </w:pPr>
            <m:oMath>
              <m:sSub>
                <m:sSubPr>
                  <m:ctrlPr>
                    <w:rPr>
                      <w:rFonts w:ascii="Cambria Math" w:hAnsi="Cambria Math"/>
                      <w:sz w:val="18"/>
                    </w:rPr>
                  </m:ctrlPr>
                </m:sSubPr>
                <m:e>
                  <m:r>
                    <m:rPr>
                      <m:sty m:val="p"/>
                    </m:rPr>
                    <w:rPr>
                      <w:rFonts w:ascii="Cambria Math" w:hAnsi="Cambria Math"/>
                      <w:sz w:val="18"/>
                    </w:rPr>
                    <m:t>N</m:t>
                  </m:r>
                </m:e>
                <m:sub>
                  <m:r>
                    <m:rPr>
                      <m:sty m:val="p"/>
                    </m:rPr>
                    <w:rPr>
                      <w:rFonts w:ascii="Cambria Math" w:hAnsi="Cambria Math"/>
                      <w:sz w:val="18"/>
                    </w:rPr>
                    <m:t>out</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oMath>
            <w:r w:rsidR="004B7A04" w:rsidRPr="004B7A04">
              <w:rPr>
                <w:iCs/>
                <w:sz w:val="18"/>
              </w:rPr>
              <w:tab/>
              <w:t xml:space="preserve">is the </w:t>
            </w:r>
            <w:r w:rsidR="004B7A04" w:rsidRPr="004B7A04">
              <w:rPr>
                <w:sz w:val="18"/>
              </w:rPr>
              <w:t xml:space="preserve">downstream particle number concentration for particles of diameter </w:t>
            </w:r>
            <m:oMath>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oMath>
            <w:r w:rsidR="004B7A04" w:rsidRPr="004B7A04">
              <w:rPr>
                <w:sz w:val="18"/>
              </w:rPr>
              <w:t xml:space="preserve">; </w:t>
            </w:r>
          </w:p>
          <w:p w14:paraId="6C8D01FB" w14:textId="68118E47" w:rsidR="004B7A04" w:rsidRPr="004B7A04" w:rsidRDefault="00C45E9C" w:rsidP="004B7A04">
            <w:pPr>
              <w:rPr>
                <w:sz w:val="18"/>
              </w:rPr>
            </w:pPr>
            <m:oMath>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oMath>
            <w:r w:rsidR="004B7A04" w:rsidRPr="004B7A04">
              <w:rPr>
                <w:iCs/>
                <w:sz w:val="18"/>
                <w:vertAlign w:val="subscript"/>
              </w:rPr>
              <w:tab/>
            </w:r>
            <w:r w:rsidR="004B7A04" w:rsidRPr="004B7A04">
              <w:rPr>
                <w:iCs/>
                <w:sz w:val="18"/>
              </w:rPr>
              <w:t xml:space="preserve">is the </w:t>
            </w:r>
            <w:r w:rsidR="004B7A04" w:rsidRPr="004B7A04">
              <w:rPr>
                <w:sz w:val="18"/>
              </w:rPr>
              <w:t>particle electrical mobility diameter</w:t>
            </w:r>
          </w:p>
          <w:p w14:paraId="7891F536" w14:textId="350DD7D3" w:rsidR="004B7A04" w:rsidRPr="004B7A04" w:rsidRDefault="004B7A04" w:rsidP="004B7A04">
            <w:pPr>
              <w:rPr>
                <w:sz w:val="18"/>
              </w:rPr>
            </w:pPr>
            <w:r w:rsidRPr="004B7A04">
              <w:rPr>
                <w:sz w:val="18"/>
              </w:rPr>
              <w:t>DF</w:t>
            </w:r>
            <w:r w:rsidRPr="004B7A04">
              <w:rPr>
                <w:sz w:val="18"/>
              </w:rPr>
              <w:tab/>
              <w:t xml:space="preserve">is the dilution factor between measurement positions of </w:t>
            </w:r>
            <m:oMath>
              <m:sSub>
                <m:sSubPr>
                  <m:ctrlPr>
                    <w:rPr>
                      <w:rFonts w:ascii="Cambria Math" w:hAnsi="Cambria Math"/>
                      <w:sz w:val="18"/>
                    </w:rPr>
                  </m:ctrlPr>
                </m:sSubPr>
                <m:e>
                  <m:r>
                    <m:rPr>
                      <m:sty m:val="p"/>
                    </m:rPr>
                    <w:rPr>
                      <w:rFonts w:ascii="Cambria Math" w:hAnsi="Cambria Math"/>
                      <w:sz w:val="18"/>
                    </w:rPr>
                    <m:t>N</m:t>
                  </m:r>
                </m:e>
                <m:sub>
                  <m:r>
                    <m:rPr>
                      <m:sty m:val="p"/>
                    </m:rPr>
                    <w:rPr>
                      <w:rFonts w:ascii="Cambria Math" w:hAnsi="Cambria Math"/>
                      <w:sz w:val="18"/>
                    </w:rPr>
                    <m:t>in</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oMath>
            <w:r w:rsidRPr="004B7A04">
              <w:rPr>
                <w:sz w:val="18"/>
              </w:rPr>
              <w:t xml:space="preserve"> and </w:t>
            </w:r>
            <m:oMath>
              <m:sSub>
                <m:sSubPr>
                  <m:ctrlPr>
                    <w:rPr>
                      <w:rFonts w:ascii="Cambria Math" w:hAnsi="Cambria Math"/>
                      <w:sz w:val="18"/>
                    </w:rPr>
                  </m:ctrlPr>
                </m:sSubPr>
                <m:e>
                  <m:r>
                    <m:rPr>
                      <m:sty m:val="p"/>
                    </m:rPr>
                    <w:rPr>
                      <w:rFonts w:ascii="Cambria Math" w:hAnsi="Cambria Math"/>
                      <w:sz w:val="18"/>
                    </w:rPr>
                    <m:t>N</m:t>
                  </m:r>
                </m:e>
                <m:sub>
                  <m:r>
                    <m:rPr>
                      <m:sty m:val="p"/>
                    </m:rPr>
                    <w:rPr>
                      <w:rFonts w:ascii="Cambria Math" w:hAnsi="Cambria Math"/>
                      <w:sz w:val="18"/>
                    </w:rPr>
                    <m:t>out</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oMath>
            <w:r w:rsidRPr="004B7A04">
              <w:rPr>
                <w:sz w:val="18"/>
              </w:rPr>
              <w:t xml:space="preserve"> determined either with trace gases, or flow measurements.</w:t>
            </w:r>
          </w:p>
          <w:p w14:paraId="712221D9" w14:textId="77777777" w:rsidR="004B7A04" w:rsidRPr="00293FEE" w:rsidRDefault="004B7A04" w:rsidP="00293FEE">
            <w:pPr>
              <w:rPr>
                <w:sz w:val="18"/>
              </w:rPr>
            </w:pPr>
          </w:p>
        </w:tc>
        <w:tc>
          <w:tcPr>
            <w:tcW w:w="1999" w:type="dxa"/>
          </w:tcPr>
          <w:p w14:paraId="45796C15" w14:textId="0021A81F" w:rsidR="004B7A04" w:rsidRDefault="004B7A04" w:rsidP="00BA6682">
            <w:pPr>
              <w:rPr>
                <w:sz w:val="18"/>
              </w:rPr>
            </w:pPr>
            <w:r>
              <w:rPr>
                <w:sz w:val="18"/>
              </w:rPr>
              <w:t>Definition of penetration</w:t>
            </w:r>
            <w:r w:rsidR="00FA2B41">
              <w:rPr>
                <w:sz w:val="18"/>
              </w:rPr>
              <w:t>. It was not defined</w:t>
            </w:r>
          </w:p>
        </w:tc>
      </w:tr>
      <w:tr w:rsidR="000F33B8" w14:paraId="3E9AB701" w14:textId="44947C4B" w:rsidTr="00293FEE">
        <w:tc>
          <w:tcPr>
            <w:tcW w:w="1555" w:type="dxa"/>
          </w:tcPr>
          <w:p w14:paraId="27409FC4" w14:textId="52158484" w:rsidR="000F33B8" w:rsidRPr="00293FEE" w:rsidRDefault="00F35E30" w:rsidP="00BA6682">
            <w:pPr>
              <w:rPr>
                <w:sz w:val="18"/>
              </w:rPr>
            </w:pPr>
            <w:r w:rsidRPr="00266027">
              <w:t>4.3.</w:t>
            </w:r>
            <w:r w:rsidRPr="00266027">
              <w:rPr>
                <w:szCs w:val="24"/>
              </w:rPr>
              <w:t>1.3.4.</w:t>
            </w:r>
          </w:p>
        </w:tc>
        <w:tc>
          <w:tcPr>
            <w:tcW w:w="2409" w:type="dxa"/>
          </w:tcPr>
          <w:p w14:paraId="1813B782" w14:textId="77777777" w:rsidR="000F33B8" w:rsidRDefault="00F35E30" w:rsidP="00BA6682">
            <w:pPr>
              <w:rPr>
                <w:sz w:val="18"/>
              </w:rPr>
            </w:pPr>
            <w:r w:rsidRPr="00F35E30">
              <w:rPr>
                <w:sz w:val="18"/>
              </w:rPr>
              <w:t>The PNC shall</w:t>
            </w:r>
            <w:r>
              <w:rPr>
                <w:sz w:val="18"/>
              </w:rPr>
              <w:t>:</w:t>
            </w:r>
          </w:p>
          <w:p w14:paraId="753DF645" w14:textId="3F1A29CA" w:rsidR="00F35E30" w:rsidRPr="00293FEE" w:rsidRDefault="00F35E30" w:rsidP="00BA6682">
            <w:pPr>
              <w:rPr>
                <w:sz w:val="18"/>
              </w:rPr>
            </w:pPr>
            <w:r w:rsidRPr="00F35E30">
              <w:rPr>
                <w:sz w:val="18"/>
              </w:rPr>
              <w:t>(d)</w:t>
            </w:r>
            <w:r w:rsidRPr="00F35E30">
              <w:rPr>
                <w:sz w:val="18"/>
              </w:rPr>
              <w:tab/>
              <w:t>Have a linear response to particle number concentrat</w:t>
            </w:r>
            <w:r>
              <w:rPr>
                <w:sz w:val="18"/>
              </w:rPr>
              <w:t xml:space="preserve">ions over the full measurement </w:t>
            </w:r>
            <w:r w:rsidRPr="00F35E30">
              <w:rPr>
                <w:sz w:val="18"/>
              </w:rPr>
              <w:t>range in single particle count mode;</w:t>
            </w:r>
          </w:p>
        </w:tc>
        <w:tc>
          <w:tcPr>
            <w:tcW w:w="2552" w:type="dxa"/>
          </w:tcPr>
          <w:p w14:paraId="5BECA749" w14:textId="77777777" w:rsidR="00F35E30" w:rsidRDefault="00F35E30" w:rsidP="00F35E30">
            <w:pPr>
              <w:rPr>
                <w:sz w:val="18"/>
              </w:rPr>
            </w:pPr>
            <w:r w:rsidRPr="00F35E30">
              <w:rPr>
                <w:sz w:val="18"/>
              </w:rPr>
              <w:t>The PNC shall</w:t>
            </w:r>
            <w:r>
              <w:rPr>
                <w:sz w:val="18"/>
              </w:rPr>
              <w:t>:</w:t>
            </w:r>
          </w:p>
          <w:p w14:paraId="651DADA0" w14:textId="79C00868" w:rsidR="000F33B8" w:rsidRPr="00293FEE" w:rsidRDefault="00F35E30" w:rsidP="00F35E30">
            <w:pPr>
              <w:rPr>
                <w:sz w:val="18"/>
              </w:rPr>
            </w:pPr>
            <w:r w:rsidRPr="00F35E30">
              <w:rPr>
                <w:sz w:val="18"/>
              </w:rPr>
              <w:t>(d)</w:t>
            </w:r>
            <w:r w:rsidRPr="00F35E30">
              <w:rPr>
                <w:sz w:val="18"/>
              </w:rPr>
              <w:tab/>
            </w:r>
            <w:r w:rsidR="00886BF0" w:rsidRPr="00886BF0">
              <w:rPr>
                <w:sz w:val="18"/>
              </w:rPr>
              <w:t>Operate under single counting mode only and have a linear response to particle number concentrations within the instrument’s specified measurement range;</w:t>
            </w:r>
          </w:p>
        </w:tc>
        <w:tc>
          <w:tcPr>
            <w:tcW w:w="1999" w:type="dxa"/>
          </w:tcPr>
          <w:p w14:paraId="0F711766" w14:textId="3CD0A72E" w:rsidR="000F33B8" w:rsidRPr="00293FEE" w:rsidRDefault="004519A8" w:rsidP="00BA6682">
            <w:pPr>
              <w:rPr>
                <w:sz w:val="18"/>
              </w:rPr>
            </w:pPr>
            <w:r>
              <w:t>Clarification of the already existing requirement of single counting mode</w:t>
            </w:r>
          </w:p>
        </w:tc>
      </w:tr>
      <w:tr w:rsidR="000F33B8" w14:paraId="32C3A0CC" w14:textId="009B68D8" w:rsidTr="00293FEE">
        <w:tc>
          <w:tcPr>
            <w:tcW w:w="1555" w:type="dxa"/>
          </w:tcPr>
          <w:p w14:paraId="506B8012" w14:textId="20E44843" w:rsidR="000F33B8" w:rsidRPr="00293FEE" w:rsidRDefault="00F35E30" w:rsidP="00BA6682">
            <w:pPr>
              <w:rPr>
                <w:sz w:val="18"/>
              </w:rPr>
            </w:pPr>
            <w:r w:rsidRPr="00266027">
              <w:t>4.3.</w:t>
            </w:r>
            <w:r w:rsidRPr="00266027">
              <w:rPr>
                <w:szCs w:val="24"/>
              </w:rPr>
              <w:t>1.3.4.</w:t>
            </w:r>
          </w:p>
        </w:tc>
        <w:tc>
          <w:tcPr>
            <w:tcW w:w="2409" w:type="dxa"/>
          </w:tcPr>
          <w:p w14:paraId="3F1081F0" w14:textId="77777777" w:rsidR="00F35E30" w:rsidRDefault="00F35E30" w:rsidP="00F35E30">
            <w:pPr>
              <w:rPr>
                <w:sz w:val="18"/>
              </w:rPr>
            </w:pPr>
            <w:r w:rsidRPr="00F35E30">
              <w:rPr>
                <w:sz w:val="18"/>
              </w:rPr>
              <w:t>The PNC shall</w:t>
            </w:r>
            <w:r>
              <w:rPr>
                <w:sz w:val="18"/>
              </w:rPr>
              <w:t>:</w:t>
            </w:r>
          </w:p>
          <w:p w14:paraId="471D2328" w14:textId="2959261E" w:rsidR="000F33B8" w:rsidRPr="00293FEE" w:rsidRDefault="00F35E30" w:rsidP="00BA6682">
            <w:pPr>
              <w:rPr>
                <w:sz w:val="18"/>
              </w:rPr>
            </w:pPr>
            <w:r w:rsidRPr="00F35E30">
              <w:rPr>
                <w:sz w:val="18"/>
              </w:rPr>
              <w:t>(g)</w:t>
            </w:r>
            <w:r w:rsidRPr="00F35E30">
              <w:rPr>
                <w:sz w:val="18"/>
              </w:rPr>
              <w:tab/>
              <w:t>Incorporate a coincidence correction function up to a maximum 10 per cent correction, and may make use of an internal calibration factor as determined in paragraph 5.7.1.3. of this annex but shall not make use of any other algorithm to correct for or define the counting efficiency;</w:t>
            </w:r>
          </w:p>
        </w:tc>
        <w:tc>
          <w:tcPr>
            <w:tcW w:w="2552" w:type="dxa"/>
          </w:tcPr>
          <w:p w14:paraId="7755AA0D" w14:textId="77777777" w:rsidR="00F35E30" w:rsidRDefault="00F35E30" w:rsidP="00F35E30">
            <w:pPr>
              <w:rPr>
                <w:sz w:val="18"/>
              </w:rPr>
            </w:pPr>
            <w:r w:rsidRPr="00F35E30">
              <w:rPr>
                <w:sz w:val="18"/>
              </w:rPr>
              <w:t>The PNC shall</w:t>
            </w:r>
            <w:r>
              <w:rPr>
                <w:sz w:val="18"/>
              </w:rPr>
              <w:t>:</w:t>
            </w:r>
          </w:p>
          <w:p w14:paraId="43DA8F98" w14:textId="0B87A61D" w:rsidR="000F33B8" w:rsidRPr="00293FEE" w:rsidRDefault="00F35E30" w:rsidP="00F35E30">
            <w:pPr>
              <w:rPr>
                <w:sz w:val="18"/>
              </w:rPr>
            </w:pPr>
            <w:r w:rsidRPr="00F35E30">
              <w:rPr>
                <w:sz w:val="18"/>
              </w:rPr>
              <w:t>(g)</w:t>
            </w:r>
            <w:r w:rsidRPr="00F35E30">
              <w:rPr>
                <w:sz w:val="18"/>
              </w:rPr>
              <w:tab/>
              <w:t>Introduce a correction with an internal calibration factor as determined in paragraph 5.7.1.3.</w:t>
            </w:r>
          </w:p>
        </w:tc>
        <w:tc>
          <w:tcPr>
            <w:tcW w:w="1999" w:type="dxa"/>
          </w:tcPr>
          <w:p w14:paraId="64B47CFC" w14:textId="3F99ACC9" w:rsidR="004519A8" w:rsidRDefault="004519A8" w:rsidP="004519A8">
            <w:pPr>
              <w:pStyle w:val="CommentText"/>
            </w:pPr>
            <w:r>
              <w:t>The coincidence correction is outdated. New counters have more sophisticated algorithms</w:t>
            </w:r>
          </w:p>
          <w:p w14:paraId="6511D034" w14:textId="77777777" w:rsidR="000F33B8" w:rsidRPr="00293FEE" w:rsidRDefault="000F33B8" w:rsidP="00BA6682">
            <w:pPr>
              <w:rPr>
                <w:sz w:val="18"/>
              </w:rPr>
            </w:pPr>
          </w:p>
        </w:tc>
      </w:tr>
      <w:tr w:rsidR="000F33B8" w14:paraId="1AC13CAD" w14:textId="776D3B65" w:rsidTr="00293FEE">
        <w:tc>
          <w:tcPr>
            <w:tcW w:w="1555" w:type="dxa"/>
          </w:tcPr>
          <w:p w14:paraId="15FC7F23" w14:textId="465E14E5" w:rsidR="000F33B8" w:rsidRPr="00293FEE" w:rsidRDefault="00B6782E" w:rsidP="00BA6682">
            <w:pPr>
              <w:rPr>
                <w:sz w:val="18"/>
              </w:rPr>
            </w:pPr>
            <w:r w:rsidRPr="00266027">
              <w:t>4.3.</w:t>
            </w:r>
            <w:r w:rsidRPr="00266027">
              <w:rPr>
                <w:szCs w:val="24"/>
              </w:rPr>
              <w:t>1.3.4.</w:t>
            </w:r>
          </w:p>
        </w:tc>
        <w:tc>
          <w:tcPr>
            <w:tcW w:w="2409" w:type="dxa"/>
          </w:tcPr>
          <w:p w14:paraId="12A63111" w14:textId="1BB01D88" w:rsidR="000F33B8" w:rsidRPr="00293FEE" w:rsidRDefault="00B6782E" w:rsidP="00BA6682">
            <w:pPr>
              <w:rPr>
                <w:sz w:val="18"/>
              </w:rPr>
            </w:pPr>
            <w:r>
              <w:rPr>
                <w:sz w:val="18"/>
              </w:rPr>
              <w:t>None</w:t>
            </w:r>
          </w:p>
        </w:tc>
        <w:tc>
          <w:tcPr>
            <w:tcW w:w="2552" w:type="dxa"/>
          </w:tcPr>
          <w:p w14:paraId="242099B7" w14:textId="77777777" w:rsidR="00B6782E" w:rsidRDefault="00B6782E" w:rsidP="00B6782E">
            <w:pPr>
              <w:rPr>
                <w:sz w:val="18"/>
              </w:rPr>
            </w:pPr>
            <w:r w:rsidRPr="00F35E30">
              <w:rPr>
                <w:sz w:val="18"/>
              </w:rPr>
              <w:t>The PNC shall</w:t>
            </w:r>
            <w:r>
              <w:rPr>
                <w:sz w:val="18"/>
              </w:rPr>
              <w:t>:</w:t>
            </w:r>
          </w:p>
          <w:p w14:paraId="0CB51A5E" w14:textId="4FEEA1C0" w:rsidR="000F33B8" w:rsidRPr="00293FEE" w:rsidRDefault="00B6782E" w:rsidP="00BA6682">
            <w:pPr>
              <w:rPr>
                <w:sz w:val="18"/>
              </w:rPr>
            </w:pPr>
            <w:r w:rsidRPr="00B6782E">
              <w:rPr>
                <w:sz w:val="18"/>
              </w:rPr>
              <w:t>(i)</w:t>
            </w:r>
            <w:r w:rsidRPr="00B6782E">
              <w:rPr>
                <w:sz w:val="18"/>
              </w:rPr>
              <w:tab/>
              <w:t>SPN23: The PNC calibration factor from</w:t>
            </w:r>
            <w:r w:rsidR="00886BF0">
              <w:rPr>
                <w:sz w:val="18"/>
              </w:rPr>
              <w:t xml:space="preserve"> the</w:t>
            </w:r>
            <w:r w:rsidRPr="00B6782E">
              <w:rPr>
                <w:sz w:val="18"/>
              </w:rPr>
              <w:t xml:space="preserve"> linearity calibration against a traceable reference shall be applied to determine PNC counting efficiency. The counting efficiency shall be reported including the calibration factor from</w:t>
            </w:r>
            <w:r w:rsidR="00886BF0">
              <w:rPr>
                <w:sz w:val="18"/>
              </w:rPr>
              <w:t xml:space="preserve"> the</w:t>
            </w:r>
            <w:r w:rsidRPr="00B6782E">
              <w:rPr>
                <w:sz w:val="18"/>
              </w:rPr>
              <w:t xml:space="preserve"> linearity calibration against a traceable reference.</w:t>
            </w:r>
          </w:p>
        </w:tc>
        <w:tc>
          <w:tcPr>
            <w:tcW w:w="1999" w:type="dxa"/>
          </w:tcPr>
          <w:p w14:paraId="034370C9" w14:textId="77777777" w:rsidR="004519A8" w:rsidRDefault="004519A8" w:rsidP="004519A8">
            <w:pPr>
              <w:pStyle w:val="CommentText"/>
            </w:pPr>
            <w:r>
              <w:t>Clarification that the calibration factor has to be applied when checking the efficiencies at the cut-off curve sizes</w:t>
            </w:r>
          </w:p>
          <w:p w14:paraId="348C9B8F" w14:textId="77777777" w:rsidR="000F33B8" w:rsidRPr="00293FEE" w:rsidRDefault="000F33B8" w:rsidP="00BA6682">
            <w:pPr>
              <w:rPr>
                <w:sz w:val="18"/>
              </w:rPr>
            </w:pPr>
          </w:p>
        </w:tc>
      </w:tr>
      <w:tr w:rsidR="00B6782E" w14:paraId="27A879AB" w14:textId="77777777" w:rsidTr="00293FEE">
        <w:tc>
          <w:tcPr>
            <w:tcW w:w="1555" w:type="dxa"/>
          </w:tcPr>
          <w:p w14:paraId="302F6ED6" w14:textId="21994AF5" w:rsidR="00B6782E" w:rsidRPr="00266027" w:rsidRDefault="00B6782E" w:rsidP="00BA6682">
            <w:r w:rsidRPr="00266027">
              <w:lastRenderedPageBreak/>
              <w:t>4.3.</w:t>
            </w:r>
            <w:r w:rsidRPr="00B6782E">
              <w:t>1.3.4.</w:t>
            </w:r>
          </w:p>
        </w:tc>
        <w:tc>
          <w:tcPr>
            <w:tcW w:w="2409" w:type="dxa"/>
          </w:tcPr>
          <w:p w14:paraId="26BBDAFD" w14:textId="2E14C877" w:rsidR="00B6782E" w:rsidRDefault="00B6782E" w:rsidP="00BA6682">
            <w:pPr>
              <w:rPr>
                <w:sz w:val="18"/>
              </w:rPr>
            </w:pPr>
            <w:r>
              <w:rPr>
                <w:sz w:val="18"/>
              </w:rPr>
              <w:t>None</w:t>
            </w:r>
          </w:p>
        </w:tc>
        <w:tc>
          <w:tcPr>
            <w:tcW w:w="2552" w:type="dxa"/>
          </w:tcPr>
          <w:p w14:paraId="3D652A89" w14:textId="6D1DA2B5" w:rsidR="00B6782E" w:rsidRDefault="00B6782E" w:rsidP="00B6782E">
            <w:pPr>
              <w:rPr>
                <w:sz w:val="18"/>
              </w:rPr>
            </w:pPr>
            <w:r w:rsidRPr="00F35E30">
              <w:rPr>
                <w:sz w:val="18"/>
              </w:rPr>
              <w:t>The PNC shall</w:t>
            </w:r>
            <w:r>
              <w:rPr>
                <w:sz w:val="18"/>
              </w:rPr>
              <w:t>:</w:t>
            </w:r>
          </w:p>
          <w:p w14:paraId="0FCCEE2F" w14:textId="0CA51EF9" w:rsidR="00B6782E" w:rsidRPr="00F35E30" w:rsidRDefault="00B6782E" w:rsidP="00B6782E">
            <w:pPr>
              <w:rPr>
                <w:sz w:val="18"/>
              </w:rPr>
            </w:pPr>
            <w:r w:rsidRPr="00B6782E">
              <w:rPr>
                <w:sz w:val="18"/>
              </w:rPr>
              <w:t>(j)</w:t>
            </w:r>
            <w:r w:rsidRPr="00B6782E">
              <w:rPr>
                <w:sz w:val="18"/>
              </w:rPr>
              <w:tab/>
              <w:t>If the PNC applies some other working liquid besides n-butyl alcohol or isopropyl alcohol, the counting efficiency of the PNC shall be demonstrated with 4cSt polyalphaolefin and soot-like particles.</w:t>
            </w:r>
          </w:p>
        </w:tc>
        <w:tc>
          <w:tcPr>
            <w:tcW w:w="1999" w:type="dxa"/>
          </w:tcPr>
          <w:p w14:paraId="5560CA53" w14:textId="2BDB307C" w:rsidR="004519A8" w:rsidRDefault="004519A8" w:rsidP="004519A8">
            <w:pPr>
              <w:pStyle w:val="CommentText"/>
            </w:pPr>
            <w:r>
              <w:t xml:space="preserve">To confirm that </w:t>
            </w:r>
            <w:r w:rsidR="00095275">
              <w:t>PNC</w:t>
            </w:r>
            <w:r>
              <w:t xml:space="preserve"> working fluid does not behave differently with soot particles, i.e. soot is somewhat hydrophobic</w:t>
            </w:r>
            <w:r w:rsidR="00095275">
              <w:t xml:space="preserve"> and PNCs applying water as working fluid should be avoided</w:t>
            </w:r>
            <w:r>
              <w:t xml:space="preserve"> </w:t>
            </w:r>
          </w:p>
          <w:p w14:paraId="43DA457C" w14:textId="77777777" w:rsidR="00B6782E" w:rsidRPr="00293FEE" w:rsidRDefault="00B6782E" w:rsidP="00BA6682">
            <w:pPr>
              <w:rPr>
                <w:sz w:val="18"/>
              </w:rPr>
            </w:pPr>
          </w:p>
        </w:tc>
      </w:tr>
      <w:tr w:rsidR="00B6782E" w14:paraId="06A55B07" w14:textId="77777777" w:rsidTr="00293FEE">
        <w:tc>
          <w:tcPr>
            <w:tcW w:w="1555" w:type="dxa"/>
          </w:tcPr>
          <w:p w14:paraId="0E6E4F02" w14:textId="07C96CCF" w:rsidR="00B6782E" w:rsidRPr="00B6782E" w:rsidRDefault="00B6782E" w:rsidP="00B6782E">
            <w:r w:rsidRPr="00B6782E">
              <w:t>Table A5/2a</w:t>
            </w:r>
          </w:p>
          <w:p w14:paraId="38D9BD3E" w14:textId="77777777" w:rsidR="00B6782E" w:rsidRPr="00B6782E" w:rsidRDefault="00B6782E" w:rsidP="00B6782E">
            <w:r w:rsidRPr="00B6782E">
              <w:t>PNC counting efficiency</w:t>
            </w:r>
          </w:p>
          <w:p w14:paraId="26C50446" w14:textId="77777777" w:rsidR="00B6782E" w:rsidRPr="00266027" w:rsidRDefault="00B6782E" w:rsidP="00BA6682"/>
        </w:tc>
        <w:tc>
          <w:tcPr>
            <w:tcW w:w="2409" w:type="dxa"/>
          </w:tcPr>
          <w:p w14:paraId="09D82603" w14:textId="0CADAF1E" w:rsidR="00B6782E" w:rsidRPr="00B6782E" w:rsidRDefault="00B6782E" w:rsidP="00B6782E">
            <w:pPr>
              <w:rPr>
                <w:sz w:val="18"/>
              </w:rPr>
            </w:pPr>
            <w:r w:rsidRPr="00B6782E">
              <w:rPr>
                <w:sz w:val="18"/>
              </w:rPr>
              <w:t>23</w:t>
            </w:r>
            <w:r>
              <w:rPr>
                <w:sz w:val="18"/>
              </w:rPr>
              <w:t>±1</w:t>
            </w:r>
          </w:p>
          <w:p w14:paraId="6F41A773" w14:textId="3E0FBD45" w:rsidR="00B6782E" w:rsidRDefault="00B6782E" w:rsidP="00B6782E">
            <w:pPr>
              <w:rPr>
                <w:sz w:val="18"/>
              </w:rPr>
            </w:pPr>
            <w:r w:rsidRPr="00B6782E">
              <w:rPr>
                <w:sz w:val="18"/>
              </w:rPr>
              <w:t>41</w:t>
            </w:r>
            <w:r>
              <w:rPr>
                <w:sz w:val="18"/>
              </w:rPr>
              <w:t>±1</w:t>
            </w:r>
          </w:p>
        </w:tc>
        <w:tc>
          <w:tcPr>
            <w:tcW w:w="2552" w:type="dxa"/>
          </w:tcPr>
          <w:p w14:paraId="404CE332" w14:textId="77777777" w:rsidR="00B6782E" w:rsidRDefault="00B6782E" w:rsidP="00B6782E">
            <w:pPr>
              <w:rPr>
                <w:sz w:val="18"/>
              </w:rPr>
            </w:pPr>
            <w:r>
              <w:rPr>
                <w:sz w:val="18"/>
              </w:rPr>
              <w:t>23</w:t>
            </w:r>
          </w:p>
          <w:p w14:paraId="44C1E58E" w14:textId="478DDB06" w:rsidR="00B6782E" w:rsidRPr="00F35E30" w:rsidRDefault="00B6782E" w:rsidP="00B6782E">
            <w:pPr>
              <w:rPr>
                <w:sz w:val="18"/>
              </w:rPr>
            </w:pPr>
            <w:r>
              <w:rPr>
                <w:sz w:val="18"/>
              </w:rPr>
              <w:t>41</w:t>
            </w:r>
          </w:p>
        </w:tc>
        <w:tc>
          <w:tcPr>
            <w:tcW w:w="1999" w:type="dxa"/>
          </w:tcPr>
          <w:p w14:paraId="5D905F50" w14:textId="36E9493F" w:rsidR="00B6782E" w:rsidRPr="00293FEE" w:rsidRDefault="00B6782E" w:rsidP="00BA6682">
            <w:pPr>
              <w:rPr>
                <w:sz w:val="18"/>
              </w:rPr>
            </w:pPr>
            <w:r>
              <w:rPr>
                <w:sz w:val="18"/>
              </w:rPr>
              <w:t>Reference to “nominal” particle size</w:t>
            </w:r>
          </w:p>
        </w:tc>
      </w:tr>
      <w:tr w:rsidR="00B6782E" w14:paraId="04F4F0EA" w14:textId="77777777" w:rsidTr="00293FEE">
        <w:tc>
          <w:tcPr>
            <w:tcW w:w="1555" w:type="dxa"/>
          </w:tcPr>
          <w:p w14:paraId="408BE4E4" w14:textId="79B4DBBC" w:rsidR="00B6782E" w:rsidRPr="00266027" w:rsidRDefault="00B6782E" w:rsidP="00BA6682">
            <w:r w:rsidRPr="00B6782E">
              <w:t>4.3.1.3.6.</w:t>
            </w:r>
          </w:p>
        </w:tc>
        <w:tc>
          <w:tcPr>
            <w:tcW w:w="2409" w:type="dxa"/>
          </w:tcPr>
          <w:p w14:paraId="51D8C7A8" w14:textId="0F191A46" w:rsidR="00B6782E" w:rsidRDefault="00B6782E" w:rsidP="00BA6682">
            <w:pPr>
              <w:rPr>
                <w:sz w:val="18"/>
              </w:rPr>
            </w:pPr>
            <w:r w:rsidRPr="00B6782E">
              <w:rPr>
                <w:sz w:val="18"/>
              </w:rPr>
              <w:t>Where not held at a known constant level at the point at which PNC flow rate is controlled, the pressure and/or temperature at the PNC inlet shall be measured for the purposes of correcting particle number concentration measurements to standard conditions</w:t>
            </w:r>
          </w:p>
        </w:tc>
        <w:tc>
          <w:tcPr>
            <w:tcW w:w="2552" w:type="dxa"/>
          </w:tcPr>
          <w:p w14:paraId="04706727" w14:textId="2D943190" w:rsidR="00B6782E" w:rsidRPr="00F35E30" w:rsidRDefault="00B6782E" w:rsidP="00B6782E">
            <w:pPr>
              <w:rPr>
                <w:sz w:val="18"/>
              </w:rPr>
            </w:pPr>
            <w:r w:rsidRPr="00B6782E">
              <w:rPr>
                <w:sz w:val="18"/>
              </w:rPr>
              <w:t>Where not held at a known constant level at the point at which PNC flow rate is controlled, the pressure and/or temperature at the PNC inlet shall be measured for the purposes of correcting particle number concentration measurements to standard conditions. The standard conditions are 101.325 kPa pressure and 0°C temperature.</w:t>
            </w:r>
          </w:p>
        </w:tc>
        <w:tc>
          <w:tcPr>
            <w:tcW w:w="1999" w:type="dxa"/>
          </w:tcPr>
          <w:p w14:paraId="673204F4" w14:textId="580CF7C9" w:rsidR="00B6782E" w:rsidRPr="00293FEE" w:rsidRDefault="00D07D46" w:rsidP="00BA6682">
            <w:pPr>
              <w:rPr>
                <w:sz w:val="18"/>
              </w:rPr>
            </w:pPr>
            <w:r>
              <w:rPr>
                <w:sz w:val="18"/>
              </w:rPr>
              <w:t>Standard conditions defined to avoid ambiguity.</w:t>
            </w:r>
          </w:p>
        </w:tc>
      </w:tr>
      <w:tr w:rsidR="00B6782E" w14:paraId="017BC72C" w14:textId="77777777" w:rsidTr="00293FEE">
        <w:tc>
          <w:tcPr>
            <w:tcW w:w="1555" w:type="dxa"/>
          </w:tcPr>
          <w:p w14:paraId="3B20C617" w14:textId="014DA798" w:rsidR="00B6782E" w:rsidRPr="00266027" w:rsidRDefault="00D07D46" w:rsidP="00BA6682">
            <w:r w:rsidRPr="00D07D46">
              <w:t xml:space="preserve">4.3.1.4.1.3.   </w:t>
            </w:r>
          </w:p>
        </w:tc>
        <w:tc>
          <w:tcPr>
            <w:tcW w:w="2409" w:type="dxa"/>
          </w:tcPr>
          <w:p w14:paraId="735C3D6A" w14:textId="70F327C3" w:rsidR="00B6782E" w:rsidRDefault="00D07D46" w:rsidP="00BA6682">
            <w:pPr>
              <w:rPr>
                <w:sz w:val="18"/>
              </w:rPr>
            </w:pPr>
            <w:r w:rsidRPr="00D07D46">
              <w:rPr>
                <w:sz w:val="18"/>
              </w:rPr>
              <w:t>The sampling probe or sampling point for the test gas flow shall be arranged within the dilution tunnel so that a representative sample gas flow is taken from a homogeneous diluent/exhaust mixture.</w:t>
            </w:r>
          </w:p>
        </w:tc>
        <w:tc>
          <w:tcPr>
            <w:tcW w:w="2552" w:type="dxa"/>
          </w:tcPr>
          <w:p w14:paraId="34ACFC47" w14:textId="30BC4088" w:rsidR="00B6782E" w:rsidRPr="00F35E30" w:rsidRDefault="00D07D46" w:rsidP="00B6782E">
            <w:pPr>
              <w:rPr>
                <w:sz w:val="18"/>
              </w:rPr>
            </w:pPr>
            <w:r>
              <w:rPr>
                <w:sz w:val="18"/>
              </w:rPr>
              <w:t>Becomes 4.3.1.4.1.4 and a new provision is inserted in 4.3.1.4.1.3</w:t>
            </w:r>
          </w:p>
        </w:tc>
        <w:tc>
          <w:tcPr>
            <w:tcW w:w="1999" w:type="dxa"/>
          </w:tcPr>
          <w:p w14:paraId="6B56F181" w14:textId="4B0082D4" w:rsidR="00B6782E" w:rsidRPr="00293FEE" w:rsidRDefault="00B722F6" w:rsidP="00BA6682">
            <w:pPr>
              <w:rPr>
                <w:sz w:val="18"/>
              </w:rPr>
            </w:pPr>
            <w:r>
              <w:rPr>
                <w:sz w:val="18"/>
              </w:rPr>
              <w:t>Change on indexing</w:t>
            </w:r>
          </w:p>
        </w:tc>
      </w:tr>
      <w:tr w:rsidR="00B6782E" w14:paraId="35560F6F" w14:textId="77777777" w:rsidTr="00293FEE">
        <w:tc>
          <w:tcPr>
            <w:tcW w:w="1555" w:type="dxa"/>
          </w:tcPr>
          <w:p w14:paraId="7C18941D" w14:textId="749809EE" w:rsidR="00B6782E" w:rsidRPr="00266027" w:rsidRDefault="00D07D46" w:rsidP="00BA6682">
            <w:r>
              <w:t>New 4.3.1.4.1.3</w:t>
            </w:r>
          </w:p>
        </w:tc>
        <w:tc>
          <w:tcPr>
            <w:tcW w:w="2409" w:type="dxa"/>
          </w:tcPr>
          <w:p w14:paraId="55F7237B" w14:textId="0DA82955" w:rsidR="00B6782E" w:rsidRDefault="00D07D46" w:rsidP="00BA6682">
            <w:pPr>
              <w:rPr>
                <w:sz w:val="18"/>
              </w:rPr>
            </w:pPr>
            <w:r>
              <w:rPr>
                <w:sz w:val="18"/>
              </w:rPr>
              <w:t>None</w:t>
            </w:r>
          </w:p>
        </w:tc>
        <w:tc>
          <w:tcPr>
            <w:tcW w:w="2552" w:type="dxa"/>
          </w:tcPr>
          <w:p w14:paraId="57EAD2E5" w14:textId="77777777" w:rsidR="00D07D46" w:rsidRPr="00D07D46" w:rsidRDefault="00D07D46" w:rsidP="00D07D46">
            <w:pPr>
              <w:rPr>
                <w:sz w:val="18"/>
              </w:rPr>
            </w:pPr>
            <w:r w:rsidRPr="00D07D46">
              <w:rPr>
                <w:sz w:val="18"/>
              </w:rPr>
              <w:t>SPN23:</w:t>
            </w:r>
          </w:p>
          <w:p w14:paraId="051904C6" w14:textId="07465954" w:rsidR="00B6782E" w:rsidRPr="00F35E30" w:rsidRDefault="00D07D46" w:rsidP="00D07D46">
            <w:pPr>
              <w:rPr>
                <w:sz w:val="18"/>
              </w:rPr>
            </w:pPr>
            <w:r w:rsidRPr="00D07D46">
              <w:rPr>
                <w:sz w:val="18"/>
              </w:rPr>
              <w:t>The evaporation tube, ET, may be catalytically active.</w:t>
            </w:r>
          </w:p>
        </w:tc>
        <w:tc>
          <w:tcPr>
            <w:tcW w:w="1999" w:type="dxa"/>
          </w:tcPr>
          <w:p w14:paraId="385B51FC" w14:textId="14363C80" w:rsidR="00B722F6" w:rsidRDefault="00B722F6" w:rsidP="00B722F6">
            <w:pPr>
              <w:pStyle w:val="CommentText"/>
            </w:pPr>
            <w:r>
              <w:t>Clarification that catalytically active evaporation tube is permitted</w:t>
            </w:r>
          </w:p>
          <w:p w14:paraId="2BD8C04D" w14:textId="7FEB2458" w:rsidR="00B6782E" w:rsidRPr="00293FEE" w:rsidRDefault="00B6782E" w:rsidP="00BA6682">
            <w:pPr>
              <w:rPr>
                <w:sz w:val="18"/>
              </w:rPr>
            </w:pPr>
          </w:p>
        </w:tc>
      </w:tr>
      <w:tr w:rsidR="00B6782E" w14:paraId="7302874C" w14:textId="77777777" w:rsidTr="00293FEE">
        <w:tc>
          <w:tcPr>
            <w:tcW w:w="1555" w:type="dxa"/>
          </w:tcPr>
          <w:p w14:paraId="40A83D20" w14:textId="00481924" w:rsidR="00B6782E" w:rsidRPr="00266027" w:rsidRDefault="00D07D46" w:rsidP="00BA6682">
            <w:r w:rsidRPr="00D07D46">
              <w:t>5.7.1.1.</w:t>
            </w:r>
          </w:p>
        </w:tc>
        <w:tc>
          <w:tcPr>
            <w:tcW w:w="2409" w:type="dxa"/>
          </w:tcPr>
          <w:p w14:paraId="113DD895" w14:textId="593B4607" w:rsidR="00B6782E" w:rsidRDefault="00D07D46" w:rsidP="00D07D46">
            <w:pPr>
              <w:rPr>
                <w:sz w:val="18"/>
              </w:rPr>
            </w:pPr>
            <w:r w:rsidRPr="00D07D46">
              <w:rPr>
                <w:sz w:val="18"/>
              </w:rPr>
              <w:t xml:space="preserve">The responsible authority shall ensure the existence of a calibration certificate for the PNC demonstrating compliance with a traceable standard within a 13-month period prior to the emissions test. Between calibrations either the counting efficiency of the PNC shall be monitored for deterioration or the PNC wick shall be routinely changed every 6. See Figures A5/16 and A5/17. PNC counting efficiency may be monitored against a reference PNC or against at least two other </w:t>
            </w:r>
            <w:r w:rsidRPr="00D07D46">
              <w:rPr>
                <w:sz w:val="18"/>
              </w:rPr>
              <w:lastRenderedPageBreak/>
              <w:t>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more other measurement PNCs, it is permitted to use a reference vehicle running sequentially in different test cells</w:t>
            </w:r>
          </w:p>
        </w:tc>
        <w:tc>
          <w:tcPr>
            <w:tcW w:w="2552" w:type="dxa"/>
          </w:tcPr>
          <w:p w14:paraId="0CAA8B72" w14:textId="7C40DE73" w:rsidR="00B6782E" w:rsidRPr="00F35E30" w:rsidRDefault="00D07D46" w:rsidP="00B6782E">
            <w:pPr>
              <w:rPr>
                <w:sz w:val="18"/>
              </w:rPr>
            </w:pPr>
            <w:r w:rsidRPr="00D07D46">
              <w:rPr>
                <w:sz w:val="18"/>
              </w:rPr>
              <w:lastRenderedPageBreak/>
              <w:t xml:space="preserve">The responsible authority shall ensure the existence of a calibration certificate for the PNC demonstrating compliance with a traceable standard within a 13-month period prior to the emissions test. Between calibrations either the counting efficiency of the PNC shall be monitored for deterioration or the PNC wick shall be routinely changed every 6 months if recommended by the instrument manufacturer . See Figures A5/16 and A5/17. PNC counting efficiency may be monitored </w:t>
            </w:r>
            <w:r w:rsidRPr="00D07D46">
              <w:rPr>
                <w:sz w:val="18"/>
              </w:rPr>
              <w:lastRenderedPageBreak/>
              <w:t>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more other measurement PNCs, it is permitted to use a reference vehicle running sequentially in different test cells</w:t>
            </w:r>
          </w:p>
        </w:tc>
        <w:tc>
          <w:tcPr>
            <w:tcW w:w="1999" w:type="dxa"/>
          </w:tcPr>
          <w:p w14:paraId="01A24F12" w14:textId="77777777" w:rsidR="00D07D46" w:rsidRDefault="00D07D46" w:rsidP="00D07D46">
            <w:pPr>
              <w:pStyle w:val="CommentText"/>
            </w:pPr>
            <w:r>
              <w:lastRenderedPageBreak/>
              <w:t>This is obsolete for some instrument on the market as they have an integrated quality check option (e.g. pulse-height determination)</w:t>
            </w:r>
          </w:p>
          <w:p w14:paraId="05B45A8D" w14:textId="77777777" w:rsidR="00B6782E" w:rsidRPr="00293FEE" w:rsidRDefault="00B6782E" w:rsidP="00BA6682">
            <w:pPr>
              <w:rPr>
                <w:sz w:val="18"/>
              </w:rPr>
            </w:pPr>
          </w:p>
        </w:tc>
      </w:tr>
      <w:tr w:rsidR="00B6782E" w14:paraId="1FA8524E" w14:textId="77777777" w:rsidTr="00293FEE">
        <w:tc>
          <w:tcPr>
            <w:tcW w:w="1555" w:type="dxa"/>
          </w:tcPr>
          <w:p w14:paraId="22048777" w14:textId="232AC37E" w:rsidR="00B6782E" w:rsidRPr="00266027" w:rsidRDefault="00D07D46" w:rsidP="00BA6682">
            <w:r w:rsidRPr="00D07D46">
              <w:t>5.7.1.3</w:t>
            </w:r>
          </w:p>
        </w:tc>
        <w:tc>
          <w:tcPr>
            <w:tcW w:w="2409" w:type="dxa"/>
          </w:tcPr>
          <w:p w14:paraId="22CD9834" w14:textId="4B04DD7C" w:rsidR="00B6782E" w:rsidRDefault="00D07D46" w:rsidP="00D07D46">
            <w:pPr>
              <w:rPr>
                <w:sz w:val="18"/>
              </w:rPr>
            </w:pPr>
            <w:r w:rsidRPr="00D07D46">
              <w:rPr>
                <w:sz w:val="18"/>
              </w:rPr>
              <w:t>Calibration shall be traceable to a national or international standard calibration method by comparing the response of the PNC under calibration with that of:</w:t>
            </w:r>
          </w:p>
        </w:tc>
        <w:tc>
          <w:tcPr>
            <w:tcW w:w="2552" w:type="dxa"/>
          </w:tcPr>
          <w:p w14:paraId="4454D0AB" w14:textId="3CB71081" w:rsidR="00B6782E" w:rsidRPr="00F35E30" w:rsidRDefault="00D07D46" w:rsidP="00D07D46">
            <w:pPr>
              <w:rPr>
                <w:sz w:val="18"/>
              </w:rPr>
            </w:pPr>
            <w:r w:rsidRPr="00D07D46">
              <w:rPr>
                <w:sz w:val="18"/>
              </w:rPr>
              <w:t>Calibration shall be undertaken according to ISO 27891:2015 and traceable to a national or international standard by comparing the response of the PNC under calibration with that of:</w:t>
            </w:r>
          </w:p>
        </w:tc>
        <w:tc>
          <w:tcPr>
            <w:tcW w:w="1999" w:type="dxa"/>
          </w:tcPr>
          <w:p w14:paraId="5119F691" w14:textId="07DC86A6" w:rsidR="00B722F6" w:rsidRDefault="00B722F6" w:rsidP="00B722F6">
            <w:pPr>
              <w:pStyle w:val="CommentText"/>
            </w:pPr>
            <w:r>
              <w:t>Requirement that PNC calibration should follow the recently released</w:t>
            </w:r>
            <w:r>
              <w:rPr>
                <w:sz w:val="18"/>
              </w:rPr>
              <w:t xml:space="preserve"> ISO 27891:2015. </w:t>
            </w:r>
          </w:p>
          <w:p w14:paraId="04D5F86E" w14:textId="5A177615" w:rsidR="00B6782E" w:rsidRPr="00293FEE" w:rsidRDefault="00B6782E" w:rsidP="00BA6682">
            <w:pPr>
              <w:rPr>
                <w:sz w:val="18"/>
              </w:rPr>
            </w:pPr>
          </w:p>
        </w:tc>
      </w:tr>
      <w:tr w:rsidR="00B6782E" w14:paraId="6D4A5D99" w14:textId="77777777" w:rsidTr="00293FEE">
        <w:tc>
          <w:tcPr>
            <w:tcW w:w="1555" w:type="dxa"/>
          </w:tcPr>
          <w:p w14:paraId="7275BF74" w14:textId="7DE7C031" w:rsidR="00B6782E" w:rsidRPr="00266027" w:rsidRDefault="00D07D46" w:rsidP="00BA6682">
            <w:r w:rsidRPr="00D07D46">
              <w:t>5.7.1.3</w:t>
            </w:r>
          </w:p>
        </w:tc>
        <w:tc>
          <w:tcPr>
            <w:tcW w:w="2409" w:type="dxa"/>
          </w:tcPr>
          <w:p w14:paraId="2A3EC21F" w14:textId="5FAE16F8" w:rsidR="00B6782E" w:rsidRDefault="00D07D46" w:rsidP="00BA6682">
            <w:pPr>
              <w:rPr>
                <w:sz w:val="18"/>
              </w:rPr>
            </w:pPr>
            <w:r w:rsidRPr="00D07D46">
              <w:rPr>
                <w:sz w:val="18"/>
              </w:rPr>
              <w:t>(b)</w:t>
            </w:r>
            <w:r w:rsidRPr="00D07D46">
              <w:rPr>
                <w:sz w:val="18"/>
              </w:rPr>
              <w:tab/>
              <w:t>A second PNC that has been directly calibrated by the method described above.</w:t>
            </w:r>
          </w:p>
        </w:tc>
        <w:tc>
          <w:tcPr>
            <w:tcW w:w="2552" w:type="dxa"/>
          </w:tcPr>
          <w:p w14:paraId="63EE6B20" w14:textId="6103BF47" w:rsidR="00D07D46" w:rsidRPr="00D07D46" w:rsidRDefault="00D07D46" w:rsidP="00D07D46">
            <w:pPr>
              <w:rPr>
                <w:sz w:val="18"/>
              </w:rPr>
            </w:pPr>
            <w:r w:rsidRPr="00D07D46">
              <w:rPr>
                <w:sz w:val="18"/>
              </w:rPr>
              <w:t>(b)</w:t>
            </w:r>
            <w:r w:rsidRPr="00D07D46">
              <w:rPr>
                <w:sz w:val="18"/>
              </w:rPr>
              <w:tab/>
              <w:t>SPN23:</w:t>
            </w:r>
          </w:p>
          <w:p w14:paraId="44A9F834" w14:textId="4C909360" w:rsidR="00B6782E" w:rsidRPr="00F35E30" w:rsidRDefault="00D07D46" w:rsidP="00D07D46">
            <w:pPr>
              <w:rPr>
                <w:sz w:val="18"/>
              </w:rPr>
            </w:pPr>
            <w:r w:rsidRPr="00D07D46">
              <w:rPr>
                <w:sz w:val="18"/>
              </w:rPr>
              <w:t xml:space="preserve"> A second full flow PNC with counting efficiency above 90 per cent for 23 nm equivalent electrical mobility diameter particle s that has been calibrated by the method described above. The second PNC counting efficiency shall be taken into account in the calibration.</w:t>
            </w:r>
          </w:p>
        </w:tc>
        <w:tc>
          <w:tcPr>
            <w:tcW w:w="1999" w:type="dxa"/>
          </w:tcPr>
          <w:p w14:paraId="2AFB6B6C" w14:textId="77777777" w:rsidR="00B6782E" w:rsidRDefault="00B722F6" w:rsidP="00B722F6">
            <w:pPr>
              <w:rPr>
                <w:sz w:val="18"/>
              </w:rPr>
            </w:pPr>
            <w:r>
              <w:rPr>
                <w:sz w:val="18"/>
              </w:rPr>
              <w:t>Requirement that facilitates the PNC calibration with a reference PNC different to that required in ISO 27891:2015.</w:t>
            </w:r>
          </w:p>
          <w:p w14:paraId="47A3ADAB" w14:textId="16403905" w:rsidR="00095275" w:rsidRPr="00293FEE" w:rsidRDefault="00095275" w:rsidP="00B722F6">
            <w:pPr>
              <w:rPr>
                <w:sz w:val="18"/>
              </w:rPr>
            </w:pPr>
          </w:p>
        </w:tc>
      </w:tr>
      <w:tr w:rsidR="00D07D46" w14:paraId="61BE888C" w14:textId="77777777" w:rsidTr="00293FEE">
        <w:tc>
          <w:tcPr>
            <w:tcW w:w="1555" w:type="dxa"/>
          </w:tcPr>
          <w:p w14:paraId="488E9D63" w14:textId="5C971473" w:rsidR="00D07D46" w:rsidRPr="00D07D46" w:rsidRDefault="00D07D46" w:rsidP="00BA6682">
            <w:r w:rsidRPr="0070193A">
              <w:rPr>
                <w:rFonts w:eastAsia="Times New Roman"/>
              </w:rPr>
              <w:t>5.7.1.3.1</w:t>
            </w:r>
          </w:p>
        </w:tc>
        <w:tc>
          <w:tcPr>
            <w:tcW w:w="2409" w:type="dxa"/>
          </w:tcPr>
          <w:p w14:paraId="2238C4F2" w14:textId="1717C1A8" w:rsidR="00D07D46" w:rsidRPr="00D07D46" w:rsidRDefault="00D07D46" w:rsidP="00BA6682">
            <w:pPr>
              <w:rPr>
                <w:sz w:val="18"/>
              </w:rPr>
            </w:pPr>
            <w:r w:rsidRPr="00D07D46">
              <w:rPr>
                <w:sz w:val="18"/>
              </w:rPr>
              <w:t>For the requirements of paragraph 5.7.1.3.(a), calibration shall be undertaken using at least six standard concentrations spaced as uniformly as possible across the PNC’s measurement range.</w:t>
            </w:r>
          </w:p>
        </w:tc>
        <w:tc>
          <w:tcPr>
            <w:tcW w:w="2552" w:type="dxa"/>
          </w:tcPr>
          <w:p w14:paraId="76E8338E" w14:textId="11B05E12" w:rsidR="00D07D46" w:rsidRPr="00D07D46" w:rsidRDefault="00484427" w:rsidP="00D07D46">
            <w:pPr>
              <w:rPr>
                <w:sz w:val="18"/>
              </w:rPr>
            </w:pPr>
            <w:r w:rsidRPr="00484427">
              <w:rPr>
                <w:sz w:val="18"/>
              </w:rPr>
              <w:t xml:space="preserve">For the requirements of </w:t>
            </w:r>
            <w:r w:rsidRPr="00484427">
              <w:rPr>
                <w:sz w:val="18"/>
                <w:lang w:val="en-US"/>
              </w:rPr>
              <w:t>paragraphs 5.7.1.3.(a) and 5.7.1.3.(b)</w:t>
            </w:r>
            <w:r w:rsidRPr="00484427">
              <w:rPr>
                <w:sz w:val="18"/>
              </w:rPr>
              <w:t>, calibration shall be undertaken using at least six standard concentrations across the PNC’s measurement range. These standard concentrations shall be as uniformly spaced as possible between the standard concentration of 2,000 particles per cm³ or below and the maximum of the PNC’s range in single particle count mode</w:t>
            </w:r>
            <w:r w:rsidRPr="00C46EB1">
              <w:t>.</w:t>
            </w:r>
          </w:p>
        </w:tc>
        <w:tc>
          <w:tcPr>
            <w:tcW w:w="1999" w:type="dxa"/>
          </w:tcPr>
          <w:p w14:paraId="450EBEE7" w14:textId="5805AB27" w:rsidR="00D07D46" w:rsidRPr="00293FEE" w:rsidRDefault="004B306A" w:rsidP="004B306A">
            <w:pPr>
              <w:rPr>
                <w:sz w:val="18"/>
              </w:rPr>
            </w:pPr>
            <w:r>
              <w:rPr>
                <w:sz w:val="18"/>
              </w:rPr>
              <w:t xml:space="preserve">Paragaphs </w:t>
            </w:r>
            <w:r w:rsidRPr="0070193A">
              <w:rPr>
                <w:rFonts w:eastAsia="Times New Roman"/>
              </w:rPr>
              <w:t>5.7.1.3.1</w:t>
            </w:r>
            <w:r>
              <w:rPr>
                <w:rFonts w:eastAsia="Times New Roman"/>
              </w:rPr>
              <w:t xml:space="preserve"> and 5.7.1.3.2 combined together and clarified</w:t>
            </w:r>
            <w:r>
              <w:rPr>
                <w:sz w:val="18"/>
              </w:rPr>
              <w:t xml:space="preserve"> </w:t>
            </w:r>
          </w:p>
        </w:tc>
      </w:tr>
      <w:tr w:rsidR="00D07D46" w14:paraId="41F3FBCA" w14:textId="77777777" w:rsidTr="00293FEE">
        <w:tc>
          <w:tcPr>
            <w:tcW w:w="1555" w:type="dxa"/>
          </w:tcPr>
          <w:p w14:paraId="2D906E2B" w14:textId="01CD88CF" w:rsidR="00D07D46" w:rsidRPr="0070193A" w:rsidRDefault="00D07D46" w:rsidP="00BA6682">
            <w:pPr>
              <w:rPr>
                <w:rFonts w:eastAsia="Times New Roman"/>
              </w:rPr>
            </w:pPr>
            <w:r>
              <w:rPr>
                <w:rFonts w:eastAsia="Times New Roman"/>
              </w:rPr>
              <w:t>5.7.1.3.2</w:t>
            </w:r>
          </w:p>
        </w:tc>
        <w:tc>
          <w:tcPr>
            <w:tcW w:w="2409" w:type="dxa"/>
          </w:tcPr>
          <w:p w14:paraId="18DF38EC" w14:textId="0C66588A" w:rsidR="00D07D46" w:rsidRPr="00D07D46" w:rsidRDefault="006852A0" w:rsidP="00BA6682">
            <w:pPr>
              <w:rPr>
                <w:sz w:val="18"/>
              </w:rPr>
            </w:pPr>
            <w:r w:rsidRPr="006852A0">
              <w:rPr>
                <w:sz w:val="18"/>
              </w:rPr>
              <w:t xml:space="preserve">For the requirements of paragraph 5.7.1.3.(b), calibration shall be undertaken using at least six standard concentrations across the PNC’s measurement range. At least 3 points shall be </w:t>
            </w:r>
            <w:r w:rsidRPr="006852A0">
              <w:rPr>
                <w:sz w:val="18"/>
              </w:rPr>
              <w:lastRenderedPageBreak/>
              <w:t>at concentrations below 1,000 per cm³, the remaining concentrations shall be linearly spaced between 1,000 per cm³ and the maximum of the PNC’s range in single particle count mode.</w:t>
            </w:r>
          </w:p>
        </w:tc>
        <w:tc>
          <w:tcPr>
            <w:tcW w:w="2552" w:type="dxa"/>
          </w:tcPr>
          <w:p w14:paraId="46976C48" w14:textId="4D5F569C" w:rsidR="00D07D46" w:rsidRPr="00D07D46" w:rsidRDefault="006852A0" w:rsidP="00D07D46">
            <w:pPr>
              <w:rPr>
                <w:sz w:val="18"/>
              </w:rPr>
            </w:pPr>
            <w:r>
              <w:rPr>
                <w:sz w:val="18"/>
              </w:rPr>
              <w:lastRenderedPageBreak/>
              <w:t>Deleted</w:t>
            </w:r>
          </w:p>
        </w:tc>
        <w:tc>
          <w:tcPr>
            <w:tcW w:w="1999" w:type="dxa"/>
          </w:tcPr>
          <w:p w14:paraId="3A21E8FD" w14:textId="235098AA" w:rsidR="00D07D46" w:rsidRPr="00293FEE" w:rsidRDefault="00421027" w:rsidP="00BA6682">
            <w:pPr>
              <w:rPr>
                <w:sz w:val="18"/>
              </w:rPr>
            </w:pPr>
            <w:r>
              <w:rPr>
                <w:sz w:val="18"/>
              </w:rPr>
              <w:t xml:space="preserve">Paragaphs </w:t>
            </w:r>
            <w:r w:rsidRPr="0070193A">
              <w:rPr>
                <w:rFonts w:eastAsia="Times New Roman"/>
              </w:rPr>
              <w:t>5.7.1.3.1</w:t>
            </w:r>
            <w:r>
              <w:rPr>
                <w:rFonts w:eastAsia="Times New Roman"/>
              </w:rPr>
              <w:t xml:space="preserve"> and 5.7.1.3.2 combined together and clarified</w:t>
            </w:r>
          </w:p>
        </w:tc>
      </w:tr>
      <w:tr w:rsidR="006852A0" w14:paraId="3ABD15A0" w14:textId="77777777" w:rsidTr="00293FEE">
        <w:tc>
          <w:tcPr>
            <w:tcW w:w="1555" w:type="dxa"/>
          </w:tcPr>
          <w:p w14:paraId="1553A3BA" w14:textId="5B1B0130" w:rsidR="006852A0" w:rsidRDefault="001313D4" w:rsidP="00BA6682">
            <w:pPr>
              <w:rPr>
                <w:rFonts w:eastAsia="Times New Roman"/>
              </w:rPr>
            </w:pPr>
            <w:r>
              <w:rPr>
                <w:rFonts w:eastAsia="Times New Roman"/>
              </w:rPr>
              <w:t xml:space="preserve">Old </w:t>
            </w:r>
            <w:r w:rsidR="006852A0" w:rsidRPr="0070193A">
              <w:rPr>
                <w:rFonts w:eastAsia="Times New Roman"/>
              </w:rPr>
              <w:t>5.7.1.3.</w:t>
            </w:r>
            <w:r w:rsidR="006852A0">
              <w:rPr>
                <w:rFonts w:eastAsia="Times New Roman"/>
              </w:rPr>
              <w:t xml:space="preserve">3 becomes </w:t>
            </w:r>
            <w:r>
              <w:rPr>
                <w:rFonts w:eastAsia="Times New Roman"/>
              </w:rPr>
              <w:t xml:space="preserve">new </w:t>
            </w:r>
            <w:r w:rsidR="006852A0">
              <w:rPr>
                <w:rFonts w:eastAsia="Times New Roman"/>
              </w:rPr>
              <w:t>5.7</w:t>
            </w:r>
            <w:r w:rsidR="004B7A04">
              <w:rPr>
                <w:rFonts w:eastAsia="Times New Roman"/>
              </w:rPr>
              <w:t>.</w:t>
            </w:r>
            <w:r w:rsidR="006852A0">
              <w:rPr>
                <w:rFonts w:eastAsia="Times New Roman"/>
              </w:rPr>
              <w:t>1.3.2</w:t>
            </w:r>
          </w:p>
        </w:tc>
        <w:tc>
          <w:tcPr>
            <w:tcW w:w="2409" w:type="dxa"/>
          </w:tcPr>
          <w:p w14:paraId="44BCCE3F" w14:textId="09E7FBB6" w:rsidR="006852A0" w:rsidRPr="006852A0" w:rsidRDefault="006852A0" w:rsidP="00BA6682">
            <w:pPr>
              <w:rPr>
                <w:sz w:val="18"/>
              </w:rPr>
            </w:pPr>
            <w:r w:rsidRPr="006852A0">
              <w:rPr>
                <w:sz w:val="18"/>
              </w:rPr>
              <w:t>For the requirements of paragraphs 5.7.1.3.(a) and 5.7.1.3.(b), the selected points shall include a nominal zero concentration point produced by attaching HEPA filters of at least Class H13 of EN 1822:2008, or equivalent performance, to the inlet of each instrument. With no calibration factor applied to the PNC under calibration, measured concentrations shall be within ±10 per cent of the standard concentration for each concentration, with the exception of the zero point, otherwise the PNC under calibration shall be rejected. The gradient from a linear least squares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equal to or greater than 0.97. In calculating both the gradient and r2, the linear regression shall be forced through the origin (zero concentration on both instruments).</w:t>
            </w:r>
          </w:p>
        </w:tc>
        <w:tc>
          <w:tcPr>
            <w:tcW w:w="2552" w:type="dxa"/>
          </w:tcPr>
          <w:p w14:paraId="1A410FCB" w14:textId="430E11FF" w:rsidR="006852A0" w:rsidRDefault="006852A0" w:rsidP="00FA2B41">
            <w:pPr>
              <w:rPr>
                <w:sz w:val="18"/>
              </w:rPr>
            </w:pPr>
            <w:r w:rsidRPr="006852A0">
              <w:rPr>
                <w:sz w:val="18"/>
              </w:rPr>
              <w:t>For the requirements of paragraphs 5.7.1.3.(a) and 5.7.1.3.(b), the selected points shall include a nominal zero concentration point produced by attaching HEPA filters of at least Class H13 of EN 1822:2008, or equivalent performance, to the inlet of each instrument. The gradient from a linear least squares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equal to or greater than 0.97. In calculating both the gradient and r2, the linear regression shall be forced through the origin (zero concentration on both instruments). The calibration factor shall be between 0.9 and 1.1 or otherwise the PNC shall be rejected.</w:t>
            </w:r>
            <w:r w:rsidR="00FA2B41">
              <w:rPr>
                <w:sz w:val="18"/>
              </w:rPr>
              <w:t xml:space="preserve"> </w:t>
            </w:r>
            <w:r w:rsidR="00FA2B41" w:rsidRPr="00FA2B41">
              <w:rPr>
                <w:sz w:val="18"/>
              </w:rPr>
              <w:t>Each concentration measured with the PNC under calibration, shall be within ±5 per cent of the measured reference concentrations multiplied with the gradient, with the exception of the zero point, otherwise the PNC under calibration shall be rejected.</w:t>
            </w:r>
            <w:r w:rsidRPr="006852A0">
              <w:rPr>
                <w:sz w:val="18"/>
              </w:rPr>
              <w:t>.</w:t>
            </w:r>
          </w:p>
        </w:tc>
        <w:tc>
          <w:tcPr>
            <w:tcW w:w="1999" w:type="dxa"/>
          </w:tcPr>
          <w:p w14:paraId="4D07AE78" w14:textId="64A2286C" w:rsidR="006852A0" w:rsidRPr="004B306A" w:rsidRDefault="004B306A" w:rsidP="004B306A">
            <w:pPr>
              <w:pStyle w:val="CommentText"/>
              <w:rPr>
                <w:sz w:val="18"/>
              </w:rPr>
            </w:pPr>
            <w:r w:rsidRPr="00AD724C">
              <w:rPr>
                <w:sz w:val="18"/>
                <w:szCs w:val="18"/>
              </w:rPr>
              <w:t>Stricter requirement for the linearity (instead of +/-10%, reduced to +/-5%) from the slope.</w:t>
            </w:r>
            <w:r>
              <w:rPr>
                <w:sz w:val="18"/>
              </w:rPr>
              <w:t xml:space="preserve"> Additionally, linearity is no more compared on absolute, measured reference concentrations, but on forecasted reference concentration.</w:t>
            </w:r>
          </w:p>
        </w:tc>
      </w:tr>
      <w:tr w:rsidR="00445AAC" w14:paraId="1D3290DF" w14:textId="77777777" w:rsidTr="00293FEE">
        <w:tc>
          <w:tcPr>
            <w:tcW w:w="1555" w:type="dxa"/>
          </w:tcPr>
          <w:p w14:paraId="05E84D73" w14:textId="0D5AE4F8" w:rsidR="00445AAC" w:rsidRDefault="00445AAC" w:rsidP="00BA6682">
            <w:pPr>
              <w:rPr>
                <w:rFonts w:eastAsia="Times New Roman"/>
              </w:rPr>
            </w:pPr>
            <w:r w:rsidRPr="00445AAC">
              <w:rPr>
                <w:rFonts w:eastAsia="Times New Roman"/>
              </w:rPr>
              <w:t>5.7.2.1.</w:t>
            </w:r>
          </w:p>
        </w:tc>
        <w:tc>
          <w:tcPr>
            <w:tcW w:w="2409" w:type="dxa"/>
          </w:tcPr>
          <w:p w14:paraId="6F089569" w14:textId="77777777" w:rsidR="00445AAC" w:rsidRPr="00445AAC" w:rsidRDefault="00445AAC" w:rsidP="00445AAC">
            <w:pPr>
              <w:rPr>
                <w:sz w:val="18"/>
              </w:rPr>
            </w:pPr>
            <w:r w:rsidRPr="00445AAC">
              <w:rPr>
                <w:sz w:val="18"/>
              </w:rPr>
              <w:t xml:space="preserve">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w:t>
            </w:r>
            <w:r w:rsidRPr="00445AAC">
              <w:rPr>
                <w:sz w:val="18"/>
              </w:rPr>
              <w:lastRenderedPageBreak/>
              <w:t>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temperature monitoring alarms, a 13-month validation interval is permitted.</w:t>
            </w:r>
          </w:p>
          <w:p w14:paraId="3758C3A6" w14:textId="77777777" w:rsidR="00445AAC" w:rsidRPr="00445AAC" w:rsidRDefault="00445AAC" w:rsidP="00445AAC">
            <w:pPr>
              <w:rPr>
                <w:sz w:val="18"/>
              </w:rPr>
            </w:pPr>
            <w:r w:rsidRPr="00445AAC">
              <w:rPr>
                <w:sz w:val="18"/>
              </w:rPr>
              <w:t>It is recommended that the VPR is calibrated and validated as a complete unit.</w:t>
            </w:r>
          </w:p>
          <w:p w14:paraId="3BEFD7FF" w14:textId="60937791" w:rsidR="00445AAC" w:rsidRPr="006852A0" w:rsidRDefault="00445AAC" w:rsidP="009C0E4F">
            <w:pPr>
              <w:rPr>
                <w:sz w:val="18"/>
              </w:rPr>
            </w:pPr>
            <w:r w:rsidRPr="00445AAC">
              <w:rPr>
                <w:sz w:val="18"/>
              </w:rPr>
              <w:t>The VPR shall be characterised for particle concentration reduction factor with solid particles of 30, 50 and 100 nm electrical mobility diameter. Particle concentration reduction factors f</w:t>
            </w:r>
            <w:r w:rsidRPr="009C0E4F">
              <w:rPr>
                <w:sz w:val="18"/>
                <w:vertAlign w:val="subscript"/>
              </w:rPr>
              <w:t>r</w:t>
            </w:r>
            <w:r w:rsidRPr="00445AAC">
              <w:rPr>
                <w:sz w:val="18"/>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shall be within ±10 per cent of the arithmetic average particle concentration reduction factor </w:t>
            </w:r>
            <w:r w:rsidR="009C0E4F" w:rsidRPr="00484427">
              <w:rPr>
                <w:sz w:val="18"/>
              </w:rPr>
              <w:t xml:space="preserve"> </w:t>
            </w:r>
            <m:oMath>
              <m:acc>
                <m:accPr>
                  <m:chr m:val="̅"/>
                  <m:ctrlPr>
                    <w:rPr>
                      <w:rFonts w:ascii="Cambria Math" w:eastAsia="Times New Roman" w:hAnsi="Cambria Math"/>
                      <w:i/>
                      <w:spacing w:val="-2"/>
                    </w:rPr>
                  </m:ctrlPr>
                </m:accPr>
                <m:e>
                  <m:sSub>
                    <m:sSubPr>
                      <m:ctrlPr>
                        <w:rPr>
                          <w:rFonts w:ascii="Cambria Math" w:eastAsia="Times New Roman" w:hAnsi="Cambria Math"/>
                          <w:spacing w:val="-2"/>
                        </w:rPr>
                      </m:ctrlPr>
                    </m:sSubPr>
                    <m:e>
                      <m:r>
                        <m:rPr>
                          <m:sty m:val="p"/>
                        </m:rPr>
                        <w:rPr>
                          <w:rFonts w:ascii="Cambria Math" w:eastAsia="Times New Roman" w:hAnsi="Cambria Math"/>
                          <w:spacing w:val="-2"/>
                        </w:rPr>
                        <m:t>f</m:t>
                      </m:r>
                    </m:e>
                    <m:sub>
                      <m:r>
                        <m:rPr>
                          <m:sty m:val="p"/>
                        </m:rPr>
                        <w:rPr>
                          <w:rFonts w:ascii="Cambria Math" w:eastAsia="Times New Roman" w:hAnsi="Cambria Math"/>
                          <w:spacing w:val="-2"/>
                        </w:rPr>
                        <m:t>r</m:t>
                      </m:r>
                    </m:sub>
                  </m:sSub>
                </m:e>
              </m:acc>
            </m:oMath>
            <w:r w:rsidR="009C0E4F" w:rsidRPr="00484427" w:rsidDel="00DE3866">
              <w:rPr>
                <w:sz w:val="18"/>
              </w:rPr>
              <w:t xml:space="preserve"> </w:t>
            </w:r>
            <w:r w:rsidRPr="00445AAC">
              <w:rPr>
                <w:sz w:val="18"/>
              </w:rPr>
              <w:t xml:space="preserve"> determined during the primary calibration of the VPR.</w:t>
            </w:r>
          </w:p>
        </w:tc>
        <w:tc>
          <w:tcPr>
            <w:tcW w:w="2552" w:type="dxa"/>
          </w:tcPr>
          <w:p w14:paraId="364EA8A7" w14:textId="77777777" w:rsidR="00484427" w:rsidRPr="00484427" w:rsidRDefault="00484427" w:rsidP="00484427">
            <w:pPr>
              <w:rPr>
                <w:sz w:val="18"/>
              </w:rPr>
            </w:pPr>
            <w:r w:rsidRPr="00484427">
              <w:rPr>
                <w:sz w:val="18"/>
              </w:rPr>
              <w:lastRenderedPageBreak/>
              <w:t xml:space="preserve">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w:t>
            </w:r>
            <w:r w:rsidRPr="00484427">
              <w:rPr>
                <w:sz w:val="18"/>
              </w:rPr>
              <w:lastRenderedPageBreak/>
              <w:t>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temperature monitoring alarms, a 13-month validation interval is permitted.</w:t>
            </w:r>
          </w:p>
          <w:p w14:paraId="02A8E2D1" w14:textId="77777777" w:rsidR="00484427" w:rsidRPr="00484427" w:rsidRDefault="00484427" w:rsidP="00484427">
            <w:pPr>
              <w:rPr>
                <w:sz w:val="18"/>
              </w:rPr>
            </w:pPr>
            <w:r w:rsidRPr="00484427">
              <w:rPr>
                <w:sz w:val="18"/>
              </w:rPr>
              <w:t>It is recommended that the VPR is calibrated and validated as a complete unit.</w:t>
            </w:r>
          </w:p>
          <w:p w14:paraId="7B3E1358" w14:textId="321A5B70" w:rsidR="00445AAC" w:rsidRPr="006852A0" w:rsidRDefault="00484427" w:rsidP="00DE3866">
            <w:pPr>
              <w:rPr>
                <w:sz w:val="18"/>
              </w:rPr>
            </w:pPr>
            <w:r w:rsidRPr="00484427">
              <w:rPr>
                <w:sz w:val="18"/>
              </w:rPr>
              <w:t>The VPR shall be characterised for particle concentration reduction factor with solid particles of 30, 50 and 100 nm electrical mobility diameter. Particle concentration reduction factors f</w:t>
            </w:r>
            <w:r w:rsidRPr="00DE3866">
              <w:rPr>
                <w:sz w:val="18"/>
                <w:vertAlign w:val="subscript"/>
              </w:rPr>
              <w:t>r</w:t>
            </w:r>
            <w:r w:rsidRPr="00484427">
              <w:rPr>
                <w:sz w:val="18"/>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calculated for particles of 30 nm, 50 nm and 100 nm electrical mobility diameters shall be within ±10 per cent of the arithmetic average particle concentration reduction factor </w:t>
            </w:r>
            <m:oMath>
              <m:acc>
                <m:accPr>
                  <m:chr m:val="̅"/>
                  <m:ctrlPr>
                    <w:rPr>
                      <w:rFonts w:ascii="Cambria Math" w:eastAsia="Times New Roman" w:hAnsi="Cambria Math"/>
                      <w:i/>
                      <w:spacing w:val="-2"/>
                    </w:rPr>
                  </m:ctrlPr>
                </m:accPr>
                <m:e>
                  <m:sSub>
                    <m:sSubPr>
                      <m:ctrlPr>
                        <w:rPr>
                          <w:rFonts w:ascii="Cambria Math" w:eastAsia="Times New Roman" w:hAnsi="Cambria Math"/>
                          <w:spacing w:val="-2"/>
                        </w:rPr>
                      </m:ctrlPr>
                    </m:sSubPr>
                    <m:e>
                      <m:r>
                        <m:rPr>
                          <m:sty m:val="p"/>
                        </m:rPr>
                        <w:rPr>
                          <w:rFonts w:ascii="Cambria Math" w:eastAsia="Times New Roman" w:hAnsi="Cambria Math"/>
                          <w:spacing w:val="-2"/>
                        </w:rPr>
                        <m:t>f</m:t>
                      </m:r>
                    </m:e>
                    <m:sub>
                      <m:r>
                        <m:rPr>
                          <m:sty m:val="p"/>
                        </m:rPr>
                        <w:rPr>
                          <w:rFonts w:ascii="Cambria Math" w:eastAsia="Times New Roman" w:hAnsi="Cambria Math"/>
                          <w:spacing w:val="-2"/>
                        </w:rPr>
                        <m:t>r</m:t>
                      </m:r>
                    </m:sub>
                  </m:sSub>
                </m:e>
              </m:acc>
            </m:oMath>
            <w:r w:rsidR="00DE3866" w:rsidRPr="00484427" w:rsidDel="00DE3866">
              <w:rPr>
                <w:sz w:val="18"/>
              </w:rPr>
              <w:t xml:space="preserve"> </w:t>
            </w:r>
            <w:r w:rsidRPr="00484427">
              <w:rPr>
                <w:sz w:val="18"/>
              </w:rPr>
              <w:t>determined during the latest complete primary calibration of the VPR.</w:t>
            </w:r>
          </w:p>
        </w:tc>
        <w:tc>
          <w:tcPr>
            <w:tcW w:w="1999" w:type="dxa"/>
          </w:tcPr>
          <w:p w14:paraId="177922A3" w14:textId="328BDF1D" w:rsidR="00445AAC" w:rsidRPr="00293FEE" w:rsidRDefault="00445AAC" w:rsidP="00BA6682">
            <w:pPr>
              <w:rPr>
                <w:sz w:val="18"/>
              </w:rPr>
            </w:pPr>
            <w:r>
              <w:rPr>
                <w:sz w:val="18"/>
              </w:rPr>
              <w:lastRenderedPageBreak/>
              <w:t>“Primary calibration” replaced “with latest complete calibration”. Primary is ambiguous and unrealistic if interpreted as the first calibration of the instrument.</w:t>
            </w:r>
          </w:p>
        </w:tc>
      </w:tr>
      <w:tr w:rsidR="004B7A04" w14:paraId="17C775FD" w14:textId="77777777" w:rsidTr="00293FEE">
        <w:tc>
          <w:tcPr>
            <w:tcW w:w="1555" w:type="dxa"/>
          </w:tcPr>
          <w:p w14:paraId="12952DB9" w14:textId="3BAB20E4" w:rsidR="004B7A04" w:rsidRPr="00445AAC" w:rsidRDefault="004B7A04" w:rsidP="00BA6682">
            <w:pPr>
              <w:rPr>
                <w:rFonts w:eastAsia="Times New Roman"/>
              </w:rPr>
            </w:pPr>
            <w:r>
              <w:rPr>
                <w:rFonts w:eastAsia="Times New Roman"/>
              </w:rPr>
              <w:t xml:space="preserve">New </w:t>
            </w:r>
            <w:r w:rsidRPr="004B7A04">
              <w:t>5.7.2.4</w:t>
            </w:r>
            <w:r w:rsidRPr="004B7A04">
              <w:tab/>
            </w:r>
          </w:p>
        </w:tc>
        <w:tc>
          <w:tcPr>
            <w:tcW w:w="2409" w:type="dxa"/>
          </w:tcPr>
          <w:p w14:paraId="0007CEAE" w14:textId="186C86C0" w:rsidR="004B7A04" w:rsidRPr="00445AAC" w:rsidRDefault="004B7A04" w:rsidP="00445AAC">
            <w:pPr>
              <w:rPr>
                <w:sz w:val="18"/>
              </w:rPr>
            </w:pPr>
            <w:r>
              <w:rPr>
                <w:sz w:val="18"/>
              </w:rPr>
              <w:t>None</w:t>
            </w:r>
          </w:p>
        </w:tc>
        <w:tc>
          <w:tcPr>
            <w:tcW w:w="2552" w:type="dxa"/>
          </w:tcPr>
          <w:p w14:paraId="46908CBA" w14:textId="17AF790B" w:rsidR="004B7A04" w:rsidRPr="00445AAC" w:rsidRDefault="004B7A04" w:rsidP="00445AAC">
            <w:pPr>
              <w:rPr>
                <w:sz w:val="18"/>
              </w:rPr>
            </w:pPr>
            <w:r w:rsidRPr="004B7A04">
              <w:rPr>
                <w:sz w:val="18"/>
              </w:rPr>
              <w:t>The instrument manufacturer must provide the maintenance  or replacement interval that ensures that the removal efficiency of the VPR does not drop below the technical requirements. If such information is not provided, the volatile removal efficiency has to be checked yearly for each instrument.</w:t>
            </w:r>
          </w:p>
        </w:tc>
        <w:tc>
          <w:tcPr>
            <w:tcW w:w="1999" w:type="dxa"/>
          </w:tcPr>
          <w:p w14:paraId="32739929" w14:textId="55560417" w:rsidR="004B7A04" w:rsidRDefault="00FA2B41" w:rsidP="00BA6682">
            <w:pPr>
              <w:rPr>
                <w:sz w:val="18"/>
              </w:rPr>
            </w:pPr>
            <w:r>
              <w:rPr>
                <w:sz w:val="18"/>
              </w:rPr>
              <w:t>Require the instrument manufacturer to recommend the maintenance interval to ensure proper functioning of the VPR</w:t>
            </w:r>
          </w:p>
        </w:tc>
      </w:tr>
      <w:tr w:rsidR="00FA2B41" w14:paraId="41932564" w14:textId="77777777" w:rsidTr="00293FEE">
        <w:tc>
          <w:tcPr>
            <w:tcW w:w="1555" w:type="dxa"/>
          </w:tcPr>
          <w:p w14:paraId="7C504E86" w14:textId="31F65E28" w:rsidR="00FA2B41" w:rsidRDefault="00FA2B41" w:rsidP="00BA6682">
            <w:pPr>
              <w:rPr>
                <w:rFonts w:eastAsia="Times New Roman"/>
              </w:rPr>
            </w:pPr>
            <w:r>
              <w:rPr>
                <w:rFonts w:eastAsia="Times New Roman"/>
              </w:rPr>
              <w:t xml:space="preserve">New </w:t>
            </w:r>
            <w:r w:rsidR="00484427">
              <w:t>5.7.2.5</w:t>
            </w:r>
          </w:p>
        </w:tc>
        <w:tc>
          <w:tcPr>
            <w:tcW w:w="2409" w:type="dxa"/>
          </w:tcPr>
          <w:p w14:paraId="2FE1662A" w14:textId="29257670" w:rsidR="00FA2B41" w:rsidRDefault="00FA2B41" w:rsidP="00445AAC">
            <w:pPr>
              <w:rPr>
                <w:sz w:val="18"/>
              </w:rPr>
            </w:pPr>
            <w:r>
              <w:rPr>
                <w:sz w:val="18"/>
              </w:rPr>
              <w:t>None</w:t>
            </w:r>
          </w:p>
        </w:tc>
        <w:tc>
          <w:tcPr>
            <w:tcW w:w="2552" w:type="dxa"/>
          </w:tcPr>
          <w:p w14:paraId="2864A740" w14:textId="449C4DB1" w:rsidR="00FA2B41" w:rsidRPr="004B7A04" w:rsidRDefault="003E204C" w:rsidP="00FA2B41">
            <w:pPr>
              <w:rPr>
                <w:sz w:val="18"/>
              </w:rPr>
            </w:pPr>
            <w:r>
              <w:t>T</w:t>
            </w:r>
            <w:r w:rsidRPr="00DA7E10">
              <w:t xml:space="preserve">he instrument manufacturer shall prove the solid particle </w:t>
            </w:r>
            <w:r w:rsidRPr="00DA7E10">
              <w:lastRenderedPageBreak/>
              <w:t xml:space="preserve">penetration </w:t>
            </w:r>
            <m:oMath>
              <m:sSub>
                <m:sSubPr>
                  <m:ctrlPr>
                    <w:rPr>
                      <w:rFonts w:ascii="Cambria Math" w:hAnsi="Cambria Math"/>
                    </w:rPr>
                  </m:ctrlPr>
                </m:sSubPr>
                <m:e>
                  <m:r>
                    <m:rPr>
                      <m:sty m:val="p"/>
                    </m:rPr>
                    <w:rPr>
                      <w:rFonts w:ascii="Cambria Math"/>
                    </w:rPr>
                    <m:t>P</m:t>
                  </m:r>
                </m:e>
                <m:sub>
                  <m:r>
                    <m:rPr>
                      <m:sty m:val="p"/>
                    </m:rPr>
                    <w:rPr>
                      <w:rFonts w:ascii="Cambria Math"/>
                    </w:rPr>
                    <m:t>r</m:t>
                  </m:r>
                </m:sub>
              </m:sSub>
              <m:d>
                <m:dPr>
                  <m:ctrlPr>
                    <w:rPr>
                      <w:rFonts w:ascii="Cambria Math" w:hAnsi="Cambria Math"/>
                    </w:rPr>
                  </m:ctrlPr>
                </m:dPr>
                <m:e>
                  <m:sSub>
                    <m:sSubPr>
                      <m:ctrlPr>
                        <w:rPr>
                          <w:rFonts w:ascii="Cambria Math" w:hAnsi="Cambria Math"/>
                        </w:rPr>
                      </m:ctrlPr>
                    </m:sSubPr>
                    <m:e>
                      <m:r>
                        <m:rPr>
                          <m:sty m:val="p"/>
                        </m:rPr>
                        <w:rPr>
                          <w:rFonts w:ascii="Cambria Math"/>
                        </w:rPr>
                        <m:t>d</m:t>
                      </m:r>
                    </m:e>
                    <m:sub>
                      <m:r>
                        <m:rPr>
                          <m:sty m:val="p"/>
                        </m:rPr>
                        <w:rPr>
                          <w:rFonts w:ascii="Cambria Math"/>
                        </w:rPr>
                        <m:t>i</m:t>
                      </m:r>
                    </m:sub>
                  </m:sSub>
                </m:e>
              </m:d>
            </m:oMath>
            <w:r w:rsidRPr="001D63FB">
              <w:rPr>
                <w:szCs w:val="24"/>
              </w:rPr>
              <w:t xml:space="preserve"> </w:t>
            </w:r>
            <w:r w:rsidRPr="00DA7E10">
              <w:t>by testing one unit for each PN-system model. A PN-system model here covers all PN-systems with the same hardware, i.e. same geometry, conduit materials, flow</w:t>
            </w:r>
            <w:r>
              <w:t>s</w:t>
            </w:r>
            <w:r w:rsidRPr="00DA7E10">
              <w:t xml:space="preserve"> and temperature profiles in the aerosol path</w:t>
            </w:r>
            <w:r>
              <w:t xml:space="preserve">. </w:t>
            </w:r>
            <w:r w:rsidR="00FA2B41" w:rsidRPr="004B7A04">
              <w:rPr>
                <w:sz w:val="18"/>
              </w:rPr>
              <w:t xml:space="preserve">The solid particle penetration </w:t>
            </w:r>
            <m:oMath>
              <m:sSub>
                <m:sSubPr>
                  <m:ctrlPr>
                    <w:rPr>
                      <w:rFonts w:ascii="Cambria Math" w:hAnsi="Cambria Math"/>
                      <w:sz w:val="18"/>
                    </w:rPr>
                  </m:ctrlPr>
                </m:sSubPr>
                <m:e>
                  <m:r>
                    <m:rPr>
                      <m:sty m:val="p"/>
                    </m:rPr>
                    <w:rPr>
                      <w:rFonts w:ascii="Cambria Math" w:hAnsi="Cambria Math"/>
                      <w:sz w:val="18"/>
                    </w:rPr>
                    <m:t>P</m:t>
                  </m:r>
                </m:e>
                <m:sub>
                  <m:r>
                    <m:rPr>
                      <m:sty m:val="p"/>
                    </m:rPr>
                    <w:rPr>
                      <w:rFonts w:ascii="Cambria Math" w:hAnsi="Cambria Math"/>
                      <w:sz w:val="18"/>
                    </w:rPr>
                    <m:t>r</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oMath>
            <w:r w:rsidR="00FA2B41" w:rsidRPr="004B7A04">
              <w:rPr>
                <w:sz w:val="18"/>
              </w:rPr>
              <w:t xml:space="preserve"> at a particle size, </w:t>
            </w:r>
            <m:oMath>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oMath>
            <w:r w:rsidR="00FA2B41" w:rsidRPr="004B7A04">
              <w:rPr>
                <w:sz w:val="18"/>
              </w:rPr>
              <w:t xml:space="preserve">, shall be calculated </w:t>
            </w:r>
            <w:r w:rsidR="00FA2B41" w:rsidRPr="004B7A04">
              <w:rPr>
                <w:bCs/>
                <w:sz w:val="18"/>
              </w:rPr>
              <w:t>using the following equation:</w:t>
            </w:r>
          </w:p>
          <w:p w14:paraId="3871083C" w14:textId="77777777" w:rsidR="00FA2B41" w:rsidRPr="004B7A04" w:rsidRDefault="00C45E9C" w:rsidP="00FA2B41">
            <w:pPr>
              <w:rPr>
                <w:sz w:val="18"/>
              </w:rPr>
            </w:pPr>
            <m:oMathPara>
              <m:oMath>
                <m:sSub>
                  <m:sSubPr>
                    <m:ctrlPr>
                      <w:rPr>
                        <w:rFonts w:ascii="Cambria Math" w:hAnsi="Cambria Math"/>
                        <w:sz w:val="18"/>
                      </w:rPr>
                    </m:ctrlPr>
                  </m:sSubPr>
                  <m:e>
                    <m:r>
                      <m:rPr>
                        <m:sty m:val="p"/>
                      </m:rPr>
                      <w:rPr>
                        <w:rFonts w:ascii="Cambria Math" w:hAnsi="Cambria Math"/>
                        <w:sz w:val="18"/>
                      </w:rPr>
                      <m:t>P</m:t>
                    </m:r>
                  </m:e>
                  <m:sub>
                    <m:r>
                      <m:rPr>
                        <m:sty m:val="p"/>
                      </m:rPr>
                      <w:rPr>
                        <w:rFonts w:ascii="Cambria Math" w:hAnsi="Cambria Math"/>
                        <w:sz w:val="18"/>
                      </w:rPr>
                      <m:t>r</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r>
                  <m:rPr>
                    <m:nor/>
                  </m:rPr>
                  <w:rPr>
                    <w:sz w:val="18"/>
                  </w:rPr>
                  <m:t xml:space="preserve"> = DF</m:t>
                </m:r>
                <m:r>
                  <m:rPr>
                    <m:nor/>
                  </m:rPr>
                  <w:rPr>
                    <w:rFonts w:ascii="Cambria Math" w:hAnsi="Cambria Math" w:cs="Cambria Math"/>
                    <w:sz w:val="18"/>
                  </w:rPr>
                  <m:t>⋅</m:t>
                </m:r>
                <m:f>
                  <m:fPr>
                    <m:type m:val="lin"/>
                    <m:ctrlPr>
                      <w:rPr>
                        <w:rFonts w:ascii="Cambria Math" w:hAnsi="Cambria Math"/>
                        <w:sz w:val="18"/>
                      </w:rPr>
                    </m:ctrlPr>
                  </m:fPr>
                  <m:num>
                    <m:sSub>
                      <m:sSubPr>
                        <m:ctrlPr>
                          <w:rPr>
                            <w:rFonts w:ascii="Cambria Math" w:hAnsi="Cambria Math"/>
                            <w:sz w:val="18"/>
                          </w:rPr>
                        </m:ctrlPr>
                      </m:sSubPr>
                      <m:e>
                        <m:r>
                          <m:rPr>
                            <m:sty m:val="p"/>
                          </m:rPr>
                          <w:rPr>
                            <w:rFonts w:ascii="Cambria Math" w:hAnsi="Cambria Math"/>
                            <w:sz w:val="18"/>
                          </w:rPr>
                          <m:t>N</m:t>
                        </m:r>
                      </m:e>
                      <m:sub>
                        <m:r>
                          <m:rPr>
                            <m:sty m:val="p"/>
                          </m:rPr>
                          <w:rPr>
                            <w:rFonts w:ascii="Cambria Math" w:hAnsi="Cambria Math"/>
                            <w:sz w:val="18"/>
                          </w:rPr>
                          <m:t>out</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num>
                  <m:den>
                    <m:sSub>
                      <m:sSubPr>
                        <m:ctrlPr>
                          <w:rPr>
                            <w:rFonts w:ascii="Cambria Math" w:hAnsi="Cambria Math"/>
                            <w:sz w:val="18"/>
                          </w:rPr>
                        </m:ctrlPr>
                      </m:sSubPr>
                      <m:e>
                        <m:r>
                          <m:rPr>
                            <m:sty m:val="p"/>
                          </m:rPr>
                          <w:rPr>
                            <w:rFonts w:ascii="Cambria Math" w:hAnsi="Cambria Math"/>
                            <w:sz w:val="18"/>
                          </w:rPr>
                          <m:t>N</m:t>
                        </m:r>
                      </m:e>
                      <m:sub>
                        <m:r>
                          <m:rPr>
                            <m:sty m:val="p"/>
                          </m:rPr>
                          <w:rPr>
                            <w:rFonts w:ascii="Cambria Math" w:hAnsi="Cambria Math"/>
                            <w:sz w:val="18"/>
                          </w:rPr>
                          <m:t>in</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den>
                </m:f>
              </m:oMath>
            </m:oMathPara>
          </w:p>
          <w:p w14:paraId="6355B24C" w14:textId="77777777" w:rsidR="00FA2B41" w:rsidRPr="004B7A04" w:rsidRDefault="00FA2B41" w:rsidP="00FA2B41">
            <w:pPr>
              <w:rPr>
                <w:sz w:val="18"/>
              </w:rPr>
            </w:pPr>
            <w:r w:rsidRPr="004B7A04">
              <w:rPr>
                <w:sz w:val="18"/>
              </w:rPr>
              <w:t>Where</w:t>
            </w:r>
          </w:p>
          <w:p w14:paraId="69A5F8E8" w14:textId="77777777" w:rsidR="00FA2B41" w:rsidRPr="004B7A04" w:rsidRDefault="00C45E9C" w:rsidP="00FA2B41">
            <w:pPr>
              <w:rPr>
                <w:sz w:val="18"/>
              </w:rPr>
            </w:pPr>
            <m:oMath>
              <m:sSub>
                <m:sSubPr>
                  <m:ctrlPr>
                    <w:rPr>
                      <w:rFonts w:ascii="Cambria Math" w:hAnsi="Cambria Math"/>
                      <w:sz w:val="18"/>
                    </w:rPr>
                  </m:ctrlPr>
                </m:sSubPr>
                <m:e>
                  <m:r>
                    <m:rPr>
                      <m:sty m:val="p"/>
                    </m:rPr>
                    <w:rPr>
                      <w:rFonts w:ascii="Cambria Math" w:hAnsi="Cambria Math"/>
                      <w:sz w:val="18"/>
                    </w:rPr>
                    <m:t>N</m:t>
                  </m:r>
                </m:e>
                <m:sub>
                  <m:r>
                    <m:rPr>
                      <m:sty m:val="p"/>
                    </m:rPr>
                    <w:rPr>
                      <w:rFonts w:ascii="Cambria Math" w:hAnsi="Cambria Math"/>
                      <w:sz w:val="18"/>
                    </w:rPr>
                    <m:t>in</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oMath>
            <w:r w:rsidR="00FA2B41" w:rsidRPr="004B7A04">
              <w:rPr>
                <w:iCs/>
                <w:sz w:val="18"/>
              </w:rPr>
              <w:tab/>
            </w:r>
            <w:r w:rsidR="00FA2B41" w:rsidRPr="004B7A04">
              <w:rPr>
                <w:iCs/>
                <w:sz w:val="18"/>
              </w:rPr>
              <w:tab/>
              <w:t>is the</w:t>
            </w:r>
            <w:r w:rsidR="00FA2B41" w:rsidRPr="004B7A04">
              <w:rPr>
                <w:sz w:val="18"/>
              </w:rPr>
              <w:t xml:space="preserve"> upstream particle number concentration for particles of diameter </w:t>
            </w:r>
            <m:oMath>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oMath>
            <w:r w:rsidR="00FA2B41" w:rsidRPr="004B7A04">
              <w:rPr>
                <w:sz w:val="18"/>
              </w:rPr>
              <w:t>;</w:t>
            </w:r>
          </w:p>
          <w:p w14:paraId="1F4ABA52" w14:textId="77777777" w:rsidR="00FA2B41" w:rsidRPr="004B7A04" w:rsidRDefault="00C45E9C" w:rsidP="00FA2B41">
            <w:pPr>
              <w:rPr>
                <w:sz w:val="18"/>
              </w:rPr>
            </w:pPr>
            <m:oMath>
              <m:sSub>
                <m:sSubPr>
                  <m:ctrlPr>
                    <w:rPr>
                      <w:rFonts w:ascii="Cambria Math" w:hAnsi="Cambria Math"/>
                      <w:sz w:val="18"/>
                    </w:rPr>
                  </m:ctrlPr>
                </m:sSubPr>
                <m:e>
                  <m:r>
                    <m:rPr>
                      <m:sty m:val="p"/>
                    </m:rPr>
                    <w:rPr>
                      <w:rFonts w:ascii="Cambria Math" w:hAnsi="Cambria Math"/>
                      <w:sz w:val="18"/>
                    </w:rPr>
                    <m:t>N</m:t>
                  </m:r>
                </m:e>
                <m:sub>
                  <m:r>
                    <m:rPr>
                      <m:sty m:val="p"/>
                    </m:rPr>
                    <w:rPr>
                      <w:rFonts w:ascii="Cambria Math" w:hAnsi="Cambria Math"/>
                      <w:sz w:val="18"/>
                    </w:rPr>
                    <m:t>out</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oMath>
            <w:r w:rsidR="00FA2B41" w:rsidRPr="004B7A04">
              <w:rPr>
                <w:iCs/>
                <w:sz w:val="18"/>
              </w:rPr>
              <w:tab/>
              <w:t xml:space="preserve">is the </w:t>
            </w:r>
            <w:r w:rsidR="00FA2B41" w:rsidRPr="004B7A04">
              <w:rPr>
                <w:sz w:val="18"/>
              </w:rPr>
              <w:t xml:space="preserve">downstream particle number concentration for particles of diameter </w:t>
            </w:r>
            <m:oMath>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oMath>
            <w:r w:rsidR="00FA2B41" w:rsidRPr="004B7A04">
              <w:rPr>
                <w:sz w:val="18"/>
              </w:rPr>
              <w:t xml:space="preserve">; </w:t>
            </w:r>
          </w:p>
          <w:p w14:paraId="10DA8DB2" w14:textId="77777777" w:rsidR="00FA2B41" w:rsidRPr="004B7A04" w:rsidRDefault="00C45E9C" w:rsidP="00FA2B41">
            <w:pPr>
              <w:rPr>
                <w:sz w:val="18"/>
              </w:rPr>
            </w:pPr>
            <m:oMath>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oMath>
            <w:r w:rsidR="00FA2B41" w:rsidRPr="004B7A04">
              <w:rPr>
                <w:iCs/>
                <w:sz w:val="18"/>
                <w:vertAlign w:val="subscript"/>
              </w:rPr>
              <w:tab/>
            </w:r>
            <w:r w:rsidR="00FA2B41" w:rsidRPr="004B7A04">
              <w:rPr>
                <w:iCs/>
                <w:sz w:val="18"/>
              </w:rPr>
              <w:t xml:space="preserve">is the </w:t>
            </w:r>
            <w:r w:rsidR="00FA2B41" w:rsidRPr="004B7A04">
              <w:rPr>
                <w:sz w:val="18"/>
              </w:rPr>
              <w:t>particle electrical mobility diameter</w:t>
            </w:r>
          </w:p>
          <w:p w14:paraId="2B7A9818" w14:textId="77777777" w:rsidR="00FA2B41" w:rsidRPr="004B7A04" w:rsidRDefault="00FA2B41" w:rsidP="00FA2B41">
            <w:pPr>
              <w:rPr>
                <w:sz w:val="18"/>
              </w:rPr>
            </w:pPr>
            <w:r w:rsidRPr="004B7A04">
              <w:rPr>
                <w:sz w:val="18"/>
              </w:rPr>
              <w:t>DF</w:t>
            </w:r>
            <w:r w:rsidRPr="004B7A04">
              <w:rPr>
                <w:sz w:val="18"/>
              </w:rPr>
              <w:tab/>
              <w:t xml:space="preserve">is the dilution factor between measurement positions of </w:t>
            </w:r>
            <m:oMath>
              <m:sSub>
                <m:sSubPr>
                  <m:ctrlPr>
                    <w:rPr>
                      <w:rFonts w:ascii="Cambria Math" w:hAnsi="Cambria Math"/>
                      <w:sz w:val="18"/>
                    </w:rPr>
                  </m:ctrlPr>
                </m:sSubPr>
                <m:e>
                  <m:r>
                    <m:rPr>
                      <m:sty m:val="p"/>
                    </m:rPr>
                    <w:rPr>
                      <w:rFonts w:ascii="Cambria Math" w:hAnsi="Cambria Math"/>
                      <w:sz w:val="18"/>
                    </w:rPr>
                    <m:t>N</m:t>
                  </m:r>
                </m:e>
                <m:sub>
                  <m:r>
                    <m:rPr>
                      <m:sty m:val="p"/>
                    </m:rPr>
                    <w:rPr>
                      <w:rFonts w:ascii="Cambria Math" w:hAnsi="Cambria Math"/>
                      <w:sz w:val="18"/>
                    </w:rPr>
                    <m:t>in</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oMath>
            <w:r w:rsidRPr="004B7A04">
              <w:rPr>
                <w:sz w:val="18"/>
              </w:rPr>
              <w:t xml:space="preserve"> and </w:t>
            </w:r>
            <m:oMath>
              <m:sSub>
                <m:sSubPr>
                  <m:ctrlPr>
                    <w:rPr>
                      <w:rFonts w:ascii="Cambria Math" w:hAnsi="Cambria Math"/>
                      <w:sz w:val="18"/>
                    </w:rPr>
                  </m:ctrlPr>
                </m:sSubPr>
                <m:e>
                  <m:r>
                    <m:rPr>
                      <m:sty m:val="p"/>
                    </m:rPr>
                    <w:rPr>
                      <w:rFonts w:ascii="Cambria Math" w:hAnsi="Cambria Math"/>
                      <w:sz w:val="18"/>
                    </w:rPr>
                    <m:t>N</m:t>
                  </m:r>
                </m:e>
                <m:sub>
                  <m:r>
                    <m:rPr>
                      <m:sty m:val="p"/>
                    </m:rPr>
                    <w:rPr>
                      <w:rFonts w:ascii="Cambria Math" w:hAnsi="Cambria Math"/>
                      <w:sz w:val="18"/>
                    </w:rPr>
                    <m:t>out</m:t>
                  </m:r>
                </m:sub>
              </m:sSub>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d</m:t>
                      </m:r>
                    </m:e>
                    <m:sub>
                      <m:r>
                        <m:rPr>
                          <m:sty m:val="p"/>
                        </m:rPr>
                        <w:rPr>
                          <w:rFonts w:ascii="Cambria Math" w:hAnsi="Cambria Math"/>
                          <w:sz w:val="18"/>
                        </w:rPr>
                        <m:t>i</m:t>
                      </m:r>
                    </m:sub>
                  </m:sSub>
                </m:e>
              </m:d>
            </m:oMath>
            <w:r w:rsidRPr="004B7A04">
              <w:rPr>
                <w:sz w:val="18"/>
              </w:rPr>
              <w:t xml:space="preserve"> determined either with trace gases, or flow measurements.</w:t>
            </w:r>
          </w:p>
          <w:p w14:paraId="751919EB" w14:textId="77777777" w:rsidR="00FA2B41" w:rsidRPr="004B7A04" w:rsidRDefault="00FA2B41" w:rsidP="00445AAC">
            <w:pPr>
              <w:rPr>
                <w:sz w:val="18"/>
              </w:rPr>
            </w:pPr>
          </w:p>
        </w:tc>
        <w:tc>
          <w:tcPr>
            <w:tcW w:w="1999" w:type="dxa"/>
          </w:tcPr>
          <w:p w14:paraId="5F044335" w14:textId="0BCABA9A" w:rsidR="00FA2B41" w:rsidRDefault="00FA2B41" w:rsidP="00BA6682">
            <w:pPr>
              <w:rPr>
                <w:sz w:val="18"/>
              </w:rPr>
            </w:pPr>
            <w:r>
              <w:rPr>
                <w:sz w:val="18"/>
              </w:rPr>
              <w:lastRenderedPageBreak/>
              <w:t>Definition of penetration. It was not defined.</w:t>
            </w:r>
          </w:p>
        </w:tc>
      </w:tr>
      <w:tr w:rsidR="00484427" w14:paraId="08F3FA77" w14:textId="77777777" w:rsidTr="00293FEE">
        <w:tc>
          <w:tcPr>
            <w:tcW w:w="1555" w:type="dxa"/>
          </w:tcPr>
          <w:p w14:paraId="76E96D42" w14:textId="0CD8FB8C" w:rsidR="00484427" w:rsidRDefault="00484427" w:rsidP="00BA6682">
            <w:pPr>
              <w:rPr>
                <w:rFonts w:eastAsia="Times New Roman"/>
              </w:rPr>
            </w:pPr>
            <w:r w:rsidRPr="00484427">
              <w:rPr>
                <w:rFonts w:eastAsia="Times New Roman"/>
              </w:rPr>
              <w:t>5.7.3.</w:t>
            </w:r>
            <w:r w:rsidRPr="00484427">
              <w:rPr>
                <w:rFonts w:eastAsia="Times New Roman"/>
              </w:rPr>
              <w:tab/>
              <w:t>PN measurement system check procedures</w:t>
            </w:r>
          </w:p>
        </w:tc>
        <w:tc>
          <w:tcPr>
            <w:tcW w:w="2409" w:type="dxa"/>
          </w:tcPr>
          <w:p w14:paraId="74117AB4" w14:textId="5BB6A979" w:rsidR="00484427" w:rsidRDefault="00484427" w:rsidP="00445AAC">
            <w:pPr>
              <w:rPr>
                <w:sz w:val="18"/>
              </w:rPr>
            </w:pPr>
            <w:r w:rsidRPr="00484427">
              <w:rPr>
                <w:sz w:val="18"/>
              </w:rPr>
              <w:t>On a monthly basis, the flow into the PNC shall have a measured value within 5 per cent of the PNC nominal flow rate when checked with a calibrated flow meter.</w:t>
            </w:r>
          </w:p>
        </w:tc>
        <w:tc>
          <w:tcPr>
            <w:tcW w:w="2552" w:type="dxa"/>
          </w:tcPr>
          <w:p w14:paraId="5D9D43CD" w14:textId="330D5E11" w:rsidR="00484427" w:rsidRPr="004B7A04" w:rsidRDefault="00484427" w:rsidP="00FA2B41">
            <w:pPr>
              <w:rPr>
                <w:sz w:val="18"/>
              </w:rPr>
            </w:pPr>
            <w:r w:rsidRPr="00484427">
              <w:rPr>
                <w:sz w:val="18"/>
              </w:rPr>
              <w:t>On a monthly basis, the flow into the PNC shall have a measured value within 5 per cent of the PNC nominal flow rate when checked with a calibrated flow meter. Here the term ‘nominal flow rate’ refers to the flow rate stated in the most recent calibration for the PNC by the instrument manufacturer.</w:t>
            </w:r>
          </w:p>
        </w:tc>
        <w:tc>
          <w:tcPr>
            <w:tcW w:w="1999" w:type="dxa"/>
          </w:tcPr>
          <w:p w14:paraId="753EE56A" w14:textId="4A143E72" w:rsidR="00484427" w:rsidRDefault="00484427" w:rsidP="00BA6682">
            <w:pPr>
              <w:rPr>
                <w:sz w:val="18"/>
              </w:rPr>
            </w:pPr>
            <w:r>
              <w:rPr>
                <w:sz w:val="18"/>
              </w:rPr>
              <w:t>Clarification of what nominal flow rate means.</w:t>
            </w:r>
          </w:p>
        </w:tc>
      </w:tr>
      <w:tr w:rsidR="006852A0" w14:paraId="393224C8" w14:textId="77777777" w:rsidTr="00293FEE">
        <w:tc>
          <w:tcPr>
            <w:tcW w:w="1555" w:type="dxa"/>
          </w:tcPr>
          <w:p w14:paraId="6C54D935" w14:textId="1C035C60" w:rsidR="006852A0" w:rsidRPr="0070193A" w:rsidRDefault="006852A0" w:rsidP="00BA6682">
            <w:pPr>
              <w:rPr>
                <w:rFonts w:eastAsia="Times New Roman"/>
              </w:rPr>
            </w:pPr>
            <w:r>
              <w:rPr>
                <w:rFonts w:eastAsia="Times New Roman"/>
              </w:rPr>
              <w:t>Annex 6</w:t>
            </w:r>
          </w:p>
        </w:tc>
        <w:tc>
          <w:tcPr>
            <w:tcW w:w="2409" w:type="dxa"/>
          </w:tcPr>
          <w:p w14:paraId="0E1DAB7C" w14:textId="77777777" w:rsidR="006852A0" w:rsidRPr="006852A0" w:rsidRDefault="006852A0" w:rsidP="00BA6682">
            <w:pPr>
              <w:rPr>
                <w:sz w:val="18"/>
              </w:rPr>
            </w:pPr>
          </w:p>
        </w:tc>
        <w:tc>
          <w:tcPr>
            <w:tcW w:w="2552" w:type="dxa"/>
          </w:tcPr>
          <w:p w14:paraId="234876CF" w14:textId="77777777" w:rsidR="006852A0" w:rsidRPr="006852A0" w:rsidRDefault="006852A0" w:rsidP="00D07D46">
            <w:pPr>
              <w:rPr>
                <w:sz w:val="18"/>
              </w:rPr>
            </w:pPr>
          </w:p>
        </w:tc>
        <w:tc>
          <w:tcPr>
            <w:tcW w:w="1999" w:type="dxa"/>
          </w:tcPr>
          <w:p w14:paraId="2E02B6F8" w14:textId="77777777" w:rsidR="006852A0" w:rsidRPr="00293FEE" w:rsidRDefault="006852A0" w:rsidP="00BA6682">
            <w:pPr>
              <w:rPr>
                <w:sz w:val="18"/>
              </w:rPr>
            </w:pPr>
          </w:p>
        </w:tc>
      </w:tr>
      <w:tr w:rsidR="006852A0" w14:paraId="1794A017" w14:textId="77777777" w:rsidTr="00293FEE">
        <w:tc>
          <w:tcPr>
            <w:tcW w:w="1555" w:type="dxa"/>
          </w:tcPr>
          <w:p w14:paraId="62F1D9FC" w14:textId="25A2A550" w:rsidR="006852A0" w:rsidRDefault="006852A0" w:rsidP="00BA6682">
            <w:pPr>
              <w:rPr>
                <w:rFonts w:eastAsia="Times New Roman"/>
              </w:rPr>
            </w:pPr>
            <w:r w:rsidRPr="006852A0">
              <w:rPr>
                <w:rFonts w:eastAsia="Times New Roman"/>
              </w:rPr>
              <w:t>2.11.1.2.2</w:t>
            </w:r>
            <w:r>
              <w:rPr>
                <w:rFonts w:eastAsia="Times New Roman"/>
              </w:rPr>
              <w:t>.</w:t>
            </w:r>
          </w:p>
        </w:tc>
        <w:tc>
          <w:tcPr>
            <w:tcW w:w="2409" w:type="dxa"/>
          </w:tcPr>
          <w:p w14:paraId="73448A49" w14:textId="5EBD302E" w:rsidR="006852A0" w:rsidRPr="006852A0" w:rsidRDefault="006852A0" w:rsidP="00BA6682">
            <w:pPr>
              <w:rPr>
                <w:sz w:val="18"/>
              </w:rPr>
            </w:pPr>
            <w:r w:rsidRPr="006852A0">
              <w:rPr>
                <w:sz w:val="18"/>
              </w:rPr>
              <w:t>Each day, a zero check on the PNC, using a filter of appropriate performance at the PNC inlet, shall report a concentration of ≤ 0.2 particles per cm³. Upon removal of the filter, the PNC shall show an increase in measured concentration to at least 100 particles per cm³ when sampling ambient air and a return to ≤ 0.2 particles per cm³ on replacement of the filter.</w:t>
            </w:r>
          </w:p>
        </w:tc>
        <w:tc>
          <w:tcPr>
            <w:tcW w:w="2552" w:type="dxa"/>
          </w:tcPr>
          <w:p w14:paraId="277A0862" w14:textId="338252F3" w:rsidR="006852A0" w:rsidRPr="006852A0" w:rsidRDefault="006852A0" w:rsidP="00D07D46">
            <w:pPr>
              <w:rPr>
                <w:sz w:val="18"/>
              </w:rPr>
            </w:pPr>
            <w:r w:rsidRPr="006852A0">
              <w:rPr>
                <w:sz w:val="18"/>
              </w:rPr>
              <w:t>Each day, a zero check on the PNC, using a filter of appropriate performance at the PNC inlet, shall report a concentration of ≤ 0.2 particles per cm³. Upon removal of the filter, the PNC shall show an increase in measured concentration and a return to ≤ 0.2 particles per cm³ on replacement of the filter. The PNC shall not report any error.</w:t>
            </w:r>
          </w:p>
        </w:tc>
        <w:tc>
          <w:tcPr>
            <w:tcW w:w="1999" w:type="dxa"/>
          </w:tcPr>
          <w:p w14:paraId="511F4157" w14:textId="010AB8E0" w:rsidR="004B306A" w:rsidRPr="00AD724C" w:rsidRDefault="004B306A" w:rsidP="004B306A">
            <w:pPr>
              <w:pStyle w:val="CommentText"/>
              <w:rPr>
                <w:sz w:val="18"/>
                <w:szCs w:val="18"/>
              </w:rPr>
            </w:pPr>
            <w:r w:rsidRPr="00AD724C">
              <w:rPr>
                <w:sz w:val="18"/>
                <w:szCs w:val="18"/>
              </w:rPr>
              <w:t>The 100 particles/cm3 was removed because it was a random number that does not confirm the proper operation of the PNC</w:t>
            </w:r>
            <w:r w:rsidR="003763E4">
              <w:rPr>
                <w:sz w:val="18"/>
                <w:szCs w:val="18"/>
              </w:rPr>
              <w:t xml:space="preserve"> a</w:t>
            </w:r>
            <w:r w:rsidR="003763E4">
              <w:t>nd sometime too restrictive for low-ambient backgrounds</w:t>
            </w:r>
          </w:p>
          <w:p w14:paraId="0FA066CE" w14:textId="77777777" w:rsidR="006852A0" w:rsidRPr="00293FEE" w:rsidRDefault="006852A0" w:rsidP="00BA6682">
            <w:pPr>
              <w:rPr>
                <w:sz w:val="18"/>
              </w:rPr>
            </w:pPr>
          </w:p>
        </w:tc>
      </w:tr>
      <w:tr w:rsidR="006852A0" w14:paraId="33DC2F6C" w14:textId="77777777" w:rsidTr="00293FEE">
        <w:tc>
          <w:tcPr>
            <w:tcW w:w="1555" w:type="dxa"/>
          </w:tcPr>
          <w:p w14:paraId="1E0ED2A7" w14:textId="22BD3D22" w:rsidR="006852A0" w:rsidRDefault="006852A0" w:rsidP="00BA6682">
            <w:pPr>
              <w:rPr>
                <w:rFonts w:eastAsia="Times New Roman"/>
              </w:rPr>
            </w:pPr>
            <w:r>
              <w:rPr>
                <w:rFonts w:eastAsia="Times New Roman"/>
              </w:rPr>
              <w:t>Annex 7</w:t>
            </w:r>
          </w:p>
        </w:tc>
        <w:tc>
          <w:tcPr>
            <w:tcW w:w="2409" w:type="dxa"/>
          </w:tcPr>
          <w:p w14:paraId="39B406C4" w14:textId="77777777" w:rsidR="006852A0" w:rsidRPr="006852A0" w:rsidRDefault="006852A0" w:rsidP="00BA6682">
            <w:pPr>
              <w:rPr>
                <w:sz w:val="18"/>
              </w:rPr>
            </w:pPr>
          </w:p>
        </w:tc>
        <w:tc>
          <w:tcPr>
            <w:tcW w:w="2552" w:type="dxa"/>
          </w:tcPr>
          <w:p w14:paraId="4A746C96" w14:textId="77777777" w:rsidR="006852A0" w:rsidRPr="006852A0" w:rsidRDefault="006852A0" w:rsidP="00D07D46">
            <w:pPr>
              <w:rPr>
                <w:sz w:val="18"/>
              </w:rPr>
            </w:pPr>
          </w:p>
        </w:tc>
        <w:tc>
          <w:tcPr>
            <w:tcW w:w="1999" w:type="dxa"/>
          </w:tcPr>
          <w:p w14:paraId="6F769918" w14:textId="77777777" w:rsidR="006852A0" w:rsidRPr="00293FEE" w:rsidRDefault="006852A0" w:rsidP="00BA6682">
            <w:pPr>
              <w:rPr>
                <w:sz w:val="18"/>
              </w:rPr>
            </w:pPr>
          </w:p>
        </w:tc>
      </w:tr>
      <w:tr w:rsidR="006852A0" w14:paraId="33F178FF" w14:textId="77777777" w:rsidTr="00293FEE">
        <w:tc>
          <w:tcPr>
            <w:tcW w:w="1555" w:type="dxa"/>
          </w:tcPr>
          <w:p w14:paraId="249CD88B" w14:textId="5C69F803" w:rsidR="006852A0" w:rsidRDefault="00206351" w:rsidP="00BA6682">
            <w:pPr>
              <w:rPr>
                <w:rFonts w:eastAsia="Times New Roman"/>
              </w:rPr>
            </w:pPr>
            <w:r>
              <w:rPr>
                <w:rFonts w:eastAsia="Times New Roman"/>
              </w:rPr>
              <w:lastRenderedPageBreak/>
              <w:t xml:space="preserve">4.   </w:t>
            </w:r>
            <w:r w:rsidR="006852A0" w:rsidRPr="006852A0">
              <w:rPr>
                <w:rFonts w:eastAsia="Times New Roman"/>
              </w:rPr>
              <w:t>Determination of PN (if applicable)</w:t>
            </w:r>
          </w:p>
        </w:tc>
        <w:tc>
          <w:tcPr>
            <w:tcW w:w="2409" w:type="dxa"/>
          </w:tcPr>
          <w:p w14:paraId="302C13C1" w14:textId="49E4E4FD" w:rsidR="006852A0" w:rsidRPr="006852A0" w:rsidRDefault="006852A0" w:rsidP="00BA6682">
            <w:pPr>
              <w:rPr>
                <w:sz w:val="18"/>
              </w:rPr>
            </w:pPr>
            <w:r>
              <w:rPr>
                <w:sz w:val="18"/>
              </w:rPr>
              <w:t>C</w:t>
            </w:r>
            <w:r w:rsidRPr="006852A0">
              <w:rPr>
                <w:sz w:val="18"/>
                <w:vertAlign w:val="subscript"/>
              </w:rPr>
              <w:t>b</w:t>
            </w:r>
            <w:r w:rsidRPr="006852A0">
              <w:rPr>
                <w:sz w:val="18"/>
              </w:rPr>
              <w:tab/>
              <w:t xml:space="preserve">is either the dilution air or the dilution tunnel background particle </w:t>
            </w:r>
            <w:r w:rsidRPr="006852A0">
              <w:rPr>
                <w:sz w:val="18"/>
              </w:rPr>
              <w:tab/>
              <w:t>number concentration, as permitted by the responsible authority, in particles per cubic centimetre, corrected for coincidence and to standard conditions (273.15 K (0 °C) and 101.325 kPa);</w:t>
            </w:r>
          </w:p>
        </w:tc>
        <w:tc>
          <w:tcPr>
            <w:tcW w:w="2552" w:type="dxa"/>
          </w:tcPr>
          <w:p w14:paraId="25FEA2FD" w14:textId="7BE3CB7C" w:rsidR="006852A0" w:rsidRPr="006852A0" w:rsidRDefault="006852A0" w:rsidP="006852A0">
            <w:pPr>
              <w:rPr>
                <w:sz w:val="18"/>
              </w:rPr>
            </w:pPr>
            <w:r w:rsidRPr="006852A0">
              <w:rPr>
                <w:sz w:val="18"/>
              </w:rPr>
              <w:t>C</w:t>
            </w:r>
            <w:r w:rsidRPr="006852A0">
              <w:rPr>
                <w:sz w:val="18"/>
                <w:vertAlign w:val="subscript"/>
              </w:rPr>
              <w:t>b</w:t>
            </w:r>
            <w:r w:rsidRPr="006852A0">
              <w:rPr>
                <w:sz w:val="18"/>
              </w:rPr>
              <w:tab/>
              <w:t xml:space="preserve">is either the dilution air or the dilution tunnel background particle </w:t>
            </w:r>
            <w:r w:rsidRPr="006852A0">
              <w:rPr>
                <w:sz w:val="18"/>
              </w:rPr>
              <w:tab/>
              <w:t xml:space="preserve">number concentration, as permitted by the responsible authority, in particles </w:t>
            </w:r>
            <w:r>
              <w:rPr>
                <w:sz w:val="18"/>
              </w:rPr>
              <w:t>per cubic centimetre, corrected</w:t>
            </w:r>
            <w:r w:rsidRPr="006852A0">
              <w:rPr>
                <w:sz w:val="18"/>
              </w:rPr>
              <w:t xml:space="preserve"> to standard conditions (273.15 K (0 °C) and 101.325 kPa);</w:t>
            </w:r>
          </w:p>
        </w:tc>
        <w:tc>
          <w:tcPr>
            <w:tcW w:w="1999" w:type="dxa"/>
          </w:tcPr>
          <w:p w14:paraId="34BF8F84" w14:textId="10A32415" w:rsidR="006852A0" w:rsidRPr="00293FEE" w:rsidRDefault="006852A0" w:rsidP="00BA6682">
            <w:pPr>
              <w:rPr>
                <w:sz w:val="18"/>
              </w:rPr>
            </w:pPr>
            <w:r>
              <w:rPr>
                <w:sz w:val="18"/>
              </w:rPr>
              <w:t>Coincidence correction eliminated</w:t>
            </w:r>
          </w:p>
        </w:tc>
      </w:tr>
      <w:tr w:rsidR="006852A0" w14:paraId="753119F2" w14:textId="77777777" w:rsidTr="00293FEE">
        <w:tc>
          <w:tcPr>
            <w:tcW w:w="1555" w:type="dxa"/>
          </w:tcPr>
          <w:p w14:paraId="66596216" w14:textId="77777777" w:rsidR="006852A0" w:rsidRDefault="006852A0" w:rsidP="00BA6682">
            <w:pPr>
              <w:rPr>
                <w:rFonts w:eastAsia="Times New Roman"/>
              </w:rPr>
            </w:pPr>
          </w:p>
        </w:tc>
        <w:tc>
          <w:tcPr>
            <w:tcW w:w="2409" w:type="dxa"/>
          </w:tcPr>
          <w:p w14:paraId="0E14E00E" w14:textId="39B2FDF8" w:rsidR="006852A0" w:rsidRPr="006852A0" w:rsidRDefault="006852A0" w:rsidP="00BA6682">
            <w:pPr>
              <w:rPr>
                <w:sz w:val="18"/>
              </w:rPr>
            </w:pPr>
            <w:r>
              <w:rPr>
                <w:sz w:val="18"/>
              </w:rPr>
              <w:t>C</w:t>
            </w:r>
            <w:r w:rsidRPr="006852A0">
              <w:rPr>
                <w:sz w:val="18"/>
                <w:vertAlign w:val="subscript"/>
              </w:rPr>
              <w:t>i</w:t>
            </w:r>
            <w:r w:rsidRPr="006852A0">
              <w:rPr>
                <w:sz w:val="18"/>
              </w:rPr>
              <w:tab/>
              <w:t>is a discrete measurement of particle number concentration in the diluted gas exhaust from the PNC; particles per cm³ and corrected for coincidence;</w:t>
            </w:r>
          </w:p>
        </w:tc>
        <w:tc>
          <w:tcPr>
            <w:tcW w:w="2552" w:type="dxa"/>
          </w:tcPr>
          <w:p w14:paraId="51E42871" w14:textId="11942889" w:rsidR="006852A0" w:rsidRPr="006852A0" w:rsidRDefault="006852A0" w:rsidP="006852A0">
            <w:pPr>
              <w:rPr>
                <w:sz w:val="18"/>
              </w:rPr>
            </w:pPr>
            <w:r>
              <w:rPr>
                <w:sz w:val="18"/>
              </w:rPr>
              <w:t>C</w:t>
            </w:r>
            <w:r w:rsidRPr="006852A0">
              <w:rPr>
                <w:sz w:val="18"/>
                <w:vertAlign w:val="subscript"/>
              </w:rPr>
              <w:t>i</w:t>
            </w:r>
            <w:r w:rsidRPr="006852A0">
              <w:rPr>
                <w:sz w:val="18"/>
              </w:rPr>
              <w:tab/>
              <w:t>is a discrete measurement of particle number concentration in the diluted gas exhaust from the PNC; particles per cm³;</w:t>
            </w:r>
          </w:p>
        </w:tc>
        <w:tc>
          <w:tcPr>
            <w:tcW w:w="1999" w:type="dxa"/>
          </w:tcPr>
          <w:p w14:paraId="38F04919" w14:textId="27499B44" w:rsidR="006852A0" w:rsidRPr="00293FEE" w:rsidRDefault="006852A0" w:rsidP="00BA6682">
            <w:pPr>
              <w:rPr>
                <w:sz w:val="18"/>
              </w:rPr>
            </w:pPr>
            <w:r>
              <w:rPr>
                <w:sz w:val="18"/>
              </w:rPr>
              <w:t>Coincidence correction eliminated</w:t>
            </w:r>
          </w:p>
        </w:tc>
      </w:tr>
    </w:tbl>
    <w:p w14:paraId="3181A2BD" w14:textId="77777777" w:rsidR="000F33B8" w:rsidRDefault="000F33B8" w:rsidP="00095275"/>
    <w:p w14:paraId="554CF2B8" w14:textId="77777777" w:rsidR="000F33B8" w:rsidRDefault="000F33B8" w:rsidP="00BA6682">
      <w:pPr>
        <w:ind w:left="1134"/>
      </w:pPr>
    </w:p>
    <w:p w14:paraId="7B5BE23A" w14:textId="4C748630" w:rsidR="002B60E9" w:rsidRPr="00B111D2" w:rsidRDefault="00B111D2" w:rsidP="00B111D2">
      <w:pPr>
        <w:spacing w:before="240"/>
        <w:jc w:val="center"/>
        <w:rPr>
          <w:u w:val="single"/>
        </w:rPr>
      </w:pPr>
      <w:bookmarkStart w:id="5" w:name="Annex_6_Test_Procedure"/>
      <w:bookmarkEnd w:id="1"/>
      <w:bookmarkEnd w:id="2"/>
      <w:bookmarkEnd w:id="3"/>
      <w:bookmarkEnd w:id="4"/>
      <w:bookmarkEnd w:id="5"/>
      <w:r>
        <w:rPr>
          <w:u w:val="single"/>
        </w:rPr>
        <w:tab/>
      </w:r>
      <w:r>
        <w:rPr>
          <w:u w:val="single"/>
        </w:rPr>
        <w:tab/>
      </w:r>
      <w:r>
        <w:rPr>
          <w:u w:val="single"/>
        </w:rPr>
        <w:tab/>
      </w:r>
    </w:p>
    <w:sectPr w:rsidR="002B60E9" w:rsidRPr="00B111D2" w:rsidSect="00CA279D">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36C7" w14:textId="77777777" w:rsidR="008A172C" w:rsidRDefault="008A172C"/>
  </w:endnote>
  <w:endnote w:type="continuationSeparator" w:id="0">
    <w:p w14:paraId="689221F4" w14:textId="77777777" w:rsidR="008A172C" w:rsidRDefault="008A172C"/>
  </w:endnote>
  <w:endnote w:type="continuationNotice" w:id="1">
    <w:p w14:paraId="701B1201" w14:textId="77777777" w:rsidR="008A172C" w:rsidRDefault="008A1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 w:name="HGSGothicM">
    <w:altName w:val="MS UI Gothic"/>
    <w:charset w:val="80"/>
    <w:family w:val="moder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AAA5" w14:textId="4ABC42FD" w:rsidR="00EB3D43" w:rsidRPr="00241767" w:rsidRDefault="00EB3D43"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6</w:t>
    </w:r>
    <w:r w:rsidRPr="002417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AD83" w14:textId="6E68ECE8" w:rsidR="00EB3D43" w:rsidRPr="00241767" w:rsidRDefault="00EB3D43" w:rsidP="00D23CE0">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5</w:t>
    </w:r>
    <w:r w:rsidRPr="00241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E96E" w14:textId="62541C71" w:rsidR="00EB3D43" w:rsidRPr="00E2553A" w:rsidRDefault="00EB3D43" w:rsidP="00E2553A">
    <w:pPr>
      <w:pStyle w:val="Footer"/>
      <w:tabs>
        <w:tab w:val="right" w:pos="9638"/>
      </w:tabs>
      <w:rPr>
        <w:b/>
        <w:sz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0E0B" w14:textId="3F2E6EC5" w:rsidR="00EB3D43" w:rsidRPr="003D6058" w:rsidRDefault="00EB3D43"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9C0E4F">
      <w:rPr>
        <w:b/>
        <w:noProof/>
        <w:sz w:val="18"/>
      </w:rPr>
      <w:t>12</w:t>
    </w:r>
    <w:r w:rsidRPr="003D6058">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8D44" w14:textId="09D22B2B" w:rsidR="00EB3D43" w:rsidRPr="003D6058" w:rsidRDefault="00EB3D43" w:rsidP="003371D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9C0E4F">
      <w:rPr>
        <w:b/>
        <w:noProof/>
        <w:sz w:val="18"/>
      </w:rPr>
      <w:t>11</w:t>
    </w:r>
    <w:r w:rsidRPr="003D6058">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E5CB" w14:textId="46754697" w:rsidR="00EB3D43" w:rsidRPr="00340CB9" w:rsidRDefault="00EB3D43" w:rsidP="00E86016">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9C0E4F">
      <w:rPr>
        <w:b/>
        <w:noProof/>
        <w:sz w:val="18"/>
      </w:rPr>
      <w:t>2</w:t>
    </w:r>
    <w:r w:rsidRPr="003D605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5E111" w14:textId="77777777" w:rsidR="008A172C" w:rsidRPr="000B175B" w:rsidRDefault="008A172C" w:rsidP="000B175B">
      <w:pPr>
        <w:tabs>
          <w:tab w:val="right" w:pos="2155"/>
        </w:tabs>
        <w:spacing w:after="80"/>
        <w:ind w:left="680"/>
        <w:rPr>
          <w:u w:val="single"/>
        </w:rPr>
      </w:pPr>
      <w:r>
        <w:rPr>
          <w:u w:val="single"/>
        </w:rPr>
        <w:tab/>
      </w:r>
    </w:p>
  </w:footnote>
  <w:footnote w:type="continuationSeparator" w:id="0">
    <w:p w14:paraId="24EA3F0A" w14:textId="77777777" w:rsidR="008A172C" w:rsidRPr="00FC68B7" w:rsidRDefault="008A172C" w:rsidP="00FC68B7">
      <w:pPr>
        <w:tabs>
          <w:tab w:val="left" w:pos="2155"/>
        </w:tabs>
        <w:spacing w:after="80"/>
        <w:ind w:left="680"/>
        <w:rPr>
          <w:u w:val="single"/>
        </w:rPr>
      </w:pPr>
      <w:r>
        <w:rPr>
          <w:u w:val="single"/>
        </w:rPr>
        <w:tab/>
      </w:r>
    </w:p>
  </w:footnote>
  <w:footnote w:type="continuationNotice" w:id="1">
    <w:p w14:paraId="7B957B2C" w14:textId="77777777" w:rsidR="008A172C" w:rsidRDefault="008A17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F6F4" w14:textId="31D7993E" w:rsidR="00EB3D43" w:rsidRPr="001A5AEF" w:rsidRDefault="00C45E9C" w:rsidP="00D23CE0">
    <w:pPr>
      <w:pStyle w:val="Header"/>
    </w:pPr>
    <w:r>
      <w:rPr>
        <w:noProof/>
      </w:rPr>
      <w:pict w14:anchorId="773E7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6563" o:spid="_x0000_s2050" type="#_x0000_t136" style="position:absolute;margin-left:0;margin-top:0;width:485.35pt;height:194.1pt;rotation:315;z-index:-251655168;mso-position-horizontal:center;mso-position-horizontal-relative:margin;mso-position-vertical:center;mso-position-vertical-relative:margin" o:allowincell="f" fillcolor="#9cc2e5 [1940]" stroked="f">
          <v:fill opacity=".5"/>
          <v:textpath style="font-family:&quot;Times New Roman&quot;;font-size:1pt" string="Draft"/>
          <w10:wrap anchorx="margin" anchory="margin"/>
        </v:shape>
      </w:pict>
    </w:r>
    <w:r w:rsidR="00EB3D43" w:rsidRPr="00FD2199">
      <w:t>ECE/TRANS/</w:t>
    </w:r>
    <w:r w:rsidR="00EB3D43">
      <w:t>180/Add.18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7778" w14:textId="09191C6B" w:rsidR="00EB3D43" w:rsidRPr="001A5AEF" w:rsidRDefault="00C45E9C" w:rsidP="00D23CE0">
    <w:pPr>
      <w:pStyle w:val="Header"/>
      <w:jc w:val="right"/>
    </w:pPr>
    <w:r>
      <w:rPr>
        <w:noProof/>
      </w:rPr>
      <w:pict w14:anchorId="45C0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6564" o:spid="_x0000_s2051" type="#_x0000_t136" style="position:absolute;left:0;text-align:left;margin-left:0;margin-top:0;width:485.35pt;height:194.1pt;rotation:315;z-index:-251653120;mso-position-horizontal:center;mso-position-horizontal-relative:margin;mso-position-vertical:center;mso-position-vertical-relative:margin" o:allowincell="f" fillcolor="#9cc2e5 [1940]" stroked="f">
          <v:fill opacity=".5"/>
          <v:textpath style="font-family:&quot;Times New Roman&quot;;font-size:1pt" string="Draft"/>
          <w10:wrap anchorx="margin" anchory="margin"/>
        </v:shape>
      </w:pict>
    </w:r>
    <w:r w:rsidR="00EB3D43" w:rsidRPr="00FD2199">
      <w:t>ECE/TRANS/</w:t>
    </w:r>
    <w:r w:rsidR="00EB3D43">
      <w:t>180/Add.18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42" w:type="dxa"/>
      <w:tblLook w:val="04A0" w:firstRow="1" w:lastRow="0" w:firstColumn="1" w:lastColumn="0" w:noHBand="0" w:noVBand="1"/>
    </w:tblPr>
    <w:tblGrid>
      <w:gridCol w:w="4962"/>
      <w:gridCol w:w="4819"/>
    </w:tblGrid>
    <w:tr w:rsidR="00EB3D43" w:rsidRPr="0084192C" w14:paraId="7036B81A" w14:textId="77777777" w:rsidTr="00B111D2">
      <w:tc>
        <w:tcPr>
          <w:tcW w:w="4962" w:type="dxa"/>
          <w:shd w:val="clear" w:color="auto" w:fill="auto"/>
        </w:tcPr>
        <w:p w14:paraId="60F86B96" w14:textId="16A1A258" w:rsidR="00EB3D43" w:rsidRDefault="00EB3D43" w:rsidP="00034A34">
          <w:pPr>
            <w:pStyle w:val="En-tte1"/>
            <w:rPr>
              <w:lang w:val="en-GB"/>
            </w:rPr>
          </w:pPr>
          <w:r>
            <w:rPr>
              <w:sz w:val="20"/>
              <w:szCs w:val="20"/>
              <w:lang w:val="en-GB"/>
            </w:rPr>
            <w:t>Submitted by the IWG PMP</w:t>
          </w:r>
        </w:p>
        <w:p w14:paraId="354442C4" w14:textId="77777777" w:rsidR="00EB3D43" w:rsidRDefault="00EB3D43" w:rsidP="00034A34">
          <w:pPr>
            <w:pStyle w:val="En-tte1"/>
            <w:rPr>
              <w:sz w:val="16"/>
              <w:szCs w:val="16"/>
              <w:lang w:val="en-GB"/>
            </w:rPr>
          </w:pPr>
        </w:p>
      </w:tc>
      <w:tc>
        <w:tcPr>
          <w:tcW w:w="4819" w:type="dxa"/>
          <w:shd w:val="clear" w:color="auto" w:fill="auto"/>
        </w:tcPr>
        <w:p w14:paraId="16C23AEA" w14:textId="2B83E3BC" w:rsidR="00EB3D43" w:rsidRPr="00B62F09" w:rsidRDefault="00EB3D43" w:rsidP="00034A34">
          <w:pPr>
            <w:jc w:val="right"/>
            <w:rPr>
              <w:sz w:val="18"/>
              <w:szCs w:val="18"/>
              <w:lang w:val="en-US"/>
            </w:rPr>
          </w:pPr>
          <w:r w:rsidRPr="00B62F09">
            <w:rPr>
              <w:sz w:val="18"/>
              <w:szCs w:val="18"/>
              <w:lang w:val="en-US"/>
            </w:rPr>
            <w:t xml:space="preserve">Informal document </w:t>
          </w:r>
          <w:r w:rsidRPr="00B62F09">
            <w:rPr>
              <w:b/>
              <w:sz w:val="18"/>
              <w:szCs w:val="18"/>
              <w:lang w:val="en-US"/>
            </w:rPr>
            <w:t>GRPE-</w:t>
          </w:r>
          <w:r w:rsidR="00B111D2">
            <w:rPr>
              <w:b/>
              <w:sz w:val="18"/>
              <w:szCs w:val="18"/>
              <w:lang w:val="en-US"/>
            </w:rPr>
            <w:t>81-11</w:t>
          </w:r>
        </w:p>
        <w:p w14:paraId="345AD117" w14:textId="75CDD50F" w:rsidR="00EB3D43" w:rsidRPr="00B62F09" w:rsidRDefault="00EB3D43" w:rsidP="00034A34">
          <w:pPr>
            <w:widowControl w:val="0"/>
            <w:tabs>
              <w:tab w:val="center" w:pos="4677"/>
              <w:tab w:val="right" w:pos="9355"/>
            </w:tabs>
            <w:ind w:left="567"/>
            <w:jc w:val="right"/>
            <w:rPr>
              <w:rFonts w:eastAsia="HGSGothicM"/>
              <w:kern w:val="2"/>
              <w:sz w:val="18"/>
              <w:szCs w:val="18"/>
              <w:lang w:val="en-US" w:eastAsia="ko-KR"/>
            </w:rPr>
          </w:pPr>
          <w:r>
            <w:rPr>
              <w:rFonts w:eastAsia="HGSGothicM"/>
              <w:kern w:val="2"/>
              <w:sz w:val="18"/>
              <w:szCs w:val="18"/>
              <w:lang w:val="en-US" w:eastAsia="ar-SA"/>
            </w:rPr>
            <w:t>81</w:t>
          </w:r>
          <w:r w:rsidR="004702E7">
            <w:rPr>
              <w:rFonts w:eastAsia="HGSGothicM"/>
              <w:kern w:val="2"/>
              <w:sz w:val="18"/>
              <w:szCs w:val="18"/>
              <w:vertAlign w:val="superscript"/>
              <w:lang w:val="en-US" w:eastAsia="ja-JP"/>
            </w:rPr>
            <w:t>st</w:t>
          </w:r>
          <w:r w:rsidRPr="00B62F09">
            <w:rPr>
              <w:rFonts w:eastAsia="HGSGothicM"/>
              <w:kern w:val="2"/>
              <w:sz w:val="18"/>
              <w:szCs w:val="18"/>
              <w:lang w:val="en-US" w:eastAsia="ar-SA"/>
            </w:rPr>
            <w:t xml:space="preserve"> GRPE, </w:t>
          </w:r>
          <w:r w:rsidR="00C45E9C">
            <w:rPr>
              <w:rFonts w:eastAsia="HGSGothicM"/>
              <w:kern w:val="2"/>
              <w:sz w:val="18"/>
              <w:szCs w:val="18"/>
              <w:lang w:val="en-US" w:eastAsia="ar-SA"/>
            </w:rPr>
            <w:t xml:space="preserve">9-11 </w:t>
          </w:r>
          <w:bookmarkStart w:id="0" w:name="_GoBack"/>
          <w:bookmarkEnd w:id="0"/>
          <w:r>
            <w:rPr>
              <w:rFonts w:eastAsia="HGSGothicM"/>
              <w:kern w:val="2"/>
              <w:sz w:val="18"/>
              <w:szCs w:val="18"/>
              <w:lang w:val="en-US" w:eastAsia="ar-SA"/>
            </w:rPr>
            <w:t>June 2020</w:t>
          </w:r>
          <w:r w:rsidRPr="00B62F09">
            <w:rPr>
              <w:rFonts w:eastAsia="HGSGothicM"/>
              <w:kern w:val="2"/>
              <w:sz w:val="18"/>
              <w:szCs w:val="18"/>
              <w:lang w:val="en-US" w:eastAsia="ko-KR"/>
            </w:rPr>
            <w:t xml:space="preserve">, </w:t>
          </w:r>
        </w:p>
        <w:p w14:paraId="1B142E08" w14:textId="0BD51080" w:rsidR="00EB3D43" w:rsidRPr="0084192C" w:rsidRDefault="00EB3D43" w:rsidP="00BC5F11">
          <w:pPr>
            <w:ind w:left="742"/>
            <w:jc w:val="right"/>
            <w:rPr>
              <w:lang w:val="en-US"/>
            </w:rPr>
          </w:pPr>
          <w:r w:rsidRPr="00B62F09">
            <w:rPr>
              <w:rFonts w:eastAsia="HGSGothicM"/>
              <w:kern w:val="2"/>
              <w:sz w:val="18"/>
              <w:szCs w:val="18"/>
              <w:lang w:val="en-US" w:eastAsia="ko-KR"/>
            </w:rPr>
            <w:t xml:space="preserve"> </w:t>
          </w:r>
          <w:r w:rsidRPr="00B62F09">
            <w:rPr>
              <w:rFonts w:eastAsia="HGSGothicM"/>
              <w:kern w:val="2"/>
              <w:sz w:val="18"/>
              <w:szCs w:val="18"/>
              <w:lang w:val="en-US" w:eastAsia="ar-SA"/>
            </w:rPr>
            <w:t xml:space="preserve">agenda </w:t>
          </w:r>
          <w:r w:rsidRPr="006F38C8">
            <w:rPr>
              <w:rFonts w:eastAsia="HGSGothicM"/>
              <w:kern w:val="2"/>
              <w:sz w:val="18"/>
              <w:szCs w:val="18"/>
              <w:lang w:val="en-US" w:eastAsia="ar-SA"/>
            </w:rPr>
            <w:t>item 7</w:t>
          </w:r>
        </w:p>
      </w:tc>
    </w:tr>
  </w:tbl>
  <w:p w14:paraId="10125FE6" w14:textId="2B0A403D" w:rsidR="00EB3D43" w:rsidRDefault="00EB3D43" w:rsidP="00B111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F6EF" w14:textId="7F0C50B2" w:rsidR="00EB3D43" w:rsidRPr="00B111D2" w:rsidRDefault="00B111D2" w:rsidP="00E86016">
    <w:pPr>
      <w:pBdr>
        <w:bottom w:val="single" w:sz="4" w:space="1" w:color="auto"/>
      </w:pBdr>
      <w:rPr>
        <w:b/>
        <w:bCs/>
      </w:rPr>
    </w:pPr>
    <w:r w:rsidRPr="00B111D2">
      <w:rPr>
        <w:b/>
        <w:bCs/>
      </w:rPr>
      <w:t>GRPE-81-11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4195" w14:textId="6365E12A" w:rsidR="00EB3D43" w:rsidRDefault="00B111D2" w:rsidP="00E86016">
    <w:pPr>
      <w:pBdr>
        <w:bottom w:val="single" w:sz="4" w:space="1" w:color="auto"/>
      </w:pBdr>
      <w:jc w:val="right"/>
    </w:pPr>
    <w:r w:rsidRPr="00B111D2">
      <w:rPr>
        <w:b/>
        <w:sz w:val="18"/>
        <w:szCs w:val="18"/>
        <w:lang w:val="en-US"/>
      </w:rPr>
      <w:t>GRPE-81-11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989A" w14:textId="1680C15D" w:rsidR="00EB3D43" w:rsidRPr="000A7C0A" w:rsidRDefault="00EB3D43" w:rsidP="00B111D2">
    <w:pPr>
      <w:pStyle w:val="Header"/>
    </w:pPr>
    <w:r>
      <w:t>GRPE-</w:t>
    </w:r>
    <w:r w:rsidR="00B111D2">
      <w:t>81-11</w:t>
    </w:r>
  </w:p>
  <w:p w14:paraId="471E5375" w14:textId="77777777" w:rsidR="00EB3D43" w:rsidRDefault="00EB3D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styleLink w:val="11111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styleLink w:val="1ai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styleLink w:val="ArticleSection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5"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3"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4"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7"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8"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2E983690"/>
    <w:multiLevelType w:val="hybridMultilevel"/>
    <w:tmpl w:val="F732C0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1"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3"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4"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5"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6"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7"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8"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9"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5"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6"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7"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8"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49"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2"/>
  </w:num>
  <w:num w:numId="12">
    <w:abstractNumId w:val="20"/>
  </w:num>
  <w:num w:numId="13">
    <w:abstractNumId w:val="12"/>
  </w:num>
  <w:num w:numId="14">
    <w:abstractNumId w:val="43"/>
  </w:num>
  <w:num w:numId="15">
    <w:abstractNumId w:val="38"/>
  </w:num>
  <w:num w:numId="16">
    <w:abstractNumId w:val="21"/>
  </w:num>
  <w:num w:numId="17">
    <w:abstractNumId w:val="23"/>
  </w:num>
  <w:num w:numId="18">
    <w:abstractNumId w:val="40"/>
  </w:num>
  <w:num w:numId="19">
    <w:abstractNumId w:val="39"/>
  </w:num>
  <w:num w:numId="20">
    <w:abstractNumId w:val="17"/>
  </w:num>
  <w:num w:numId="21">
    <w:abstractNumId w:val="25"/>
  </w:num>
  <w:num w:numId="22">
    <w:abstractNumId w:val="46"/>
  </w:num>
  <w:num w:numId="23">
    <w:abstractNumId w:val="18"/>
  </w:num>
  <w:num w:numId="24">
    <w:abstractNumId w:val="19"/>
  </w:num>
  <w:num w:numId="25">
    <w:abstractNumId w:val="47"/>
  </w:num>
  <w:num w:numId="26">
    <w:abstractNumId w:val="45"/>
  </w:num>
  <w:num w:numId="27">
    <w:abstractNumId w:val="49"/>
  </w:num>
  <w:num w:numId="28">
    <w:abstractNumId w:val="30"/>
  </w:num>
  <w:num w:numId="29">
    <w:abstractNumId w:val="28"/>
  </w:num>
  <w:num w:numId="30">
    <w:abstractNumId w:val="41"/>
  </w:num>
  <w:num w:numId="31">
    <w:abstractNumId w:val="22"/>
  </w:num>
  <w:num w:numId="32">
    <w:abstractNumId w:val="24"/>
  </w:num>
  <w:num w:numId="33">
    <w:abstractNumId w:val="44"/>
  </w:num>
  <w:num w:numId="34">
    <w:abstractNumId w:val="14"/>
  </w:num>
  <w:num w:numId="35">
    <w:abstractNumId w:val="33"/>
  </w:num>
  <w:num w:numId="36">
    <w:abstractNumId w:val="48"/>
  </w:num>
  <w:num w:numId="37">
    <w:abstractNumId w:val="35"/>
  </w:num>
  <w:num w:numId="38">
    <w:abstractNumId w:val="32"/>
  </w:num>
  <w:num w:numId="39">
    <w:abstractNumId w:val="34"/>
  </w:num>
  <w:num w:numId="40">
    <w:abstractNumId w:val="27"/>
  </w:num>
  <w:num w:numId="41">
    <w:abstractNumId w:val="11"/>
  </w:num>
  <w:num w:numId="42">
    <w:abstractNumId w:val="10"/>
  </w:num>
  <w:num w:numId="43">
    <w:abstractNumId w:val="26"/>
  </w:num>
  <w:num w:numId="44">
    <w:abstractNumId w:val="37"/>
  </w:num>
  <w:num w:numId="45">
    <w:abstractNumId w:val="36"/>
  </w:num>
  <w:num w:numId="46">
    <w:abstractNumId w:val="15"/>
  </w:num>
  <w:num w:numId="47">
    <w:abstractNumId w:val="31"/>
  </w:num>
  <w:num w:numId="48">
    <w:abstractNumId w:val="16"/>
  </w:num>
  <w:num w:numId="49">
    <w:abstractNumId w:val="29"/>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AU" w:vendorID="64" w:dllVersion="6" w:nlCheck="1" w:checkStyle="1"/>
  <w:activeWritingStyle w:appName="MSWord" w:lang="en-IN"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AU" w:vendorID="64" w:dllVersion="0" w:nlCheck="1" w:checkStyle="0"/>
  <w:activeWritingStyle w:appName="MSWord" w:lang="ja-JP" w:vendorID="64" w:dllVersion="6" w:nlCheck="1" w:checkStyle="1"/>
  <w:activeWritingStyle w:appName="MSWord" w:lang="es-AR"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v:textbox inset="5.85pt,.7pt,5.85pt,.7pt"/>
    </o:shapedefaults>
    <o:shapelayout v:ext="edit">
      <o:idmap v:ext="edit" data="2"/>
    </o:shapelayout>
  </w:hdrShapeDefaults>
  <w:footnotePr>
    <w:numRestart w:val="eachSect"/>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0D84"/>
    <w:rsid w:val="00000DF3"/>
    <w:rsid w:val="000024C6"/>
    <w:rsid w:val="00002551"/>
    <w:rsid w:val="000036DF"/>
    <w:rsid w:val="000038DD"/>
    <w:rsid w:val="00004360"/>
    <w:rsid w:val="0000464D"/>
    <w:rsid w:val="000047B9"/>
    <w:rsid w:val="00004D4B"/>
    <w:rsid w:val="00005CA8"/>
    <w:rsid w:val="00005ECC"/>
    <w:rsid w:val="00006F0A"/>
    <w:rsid w:val="0001139F"/>
    <w:rsid w:val="000120DE"/>
    <w:rsid w:val="0001517E"/>
    <w:rsid w:val="00015A19"/>
    <w:rsid w:val="000170DD"/>
    <w:rsid w:val="00017BF1"/>
    <w:rsid w:val="00020840"/>
    <w:rsid w:val="00020F0E"/>
    <w:rsid w:val="000215E4"/>
    <w:rsid w:val="000216A1"/>
    <w:rsid w:val="00021DE6"/>
    <w:rsid w:val="00021E1C"/>
    <w:rsid w:val="000226C3"/>
    <w:rsid w:val="00022DC0"/>
    <w:rsid w:val="000232F8"/>
    <w:rsid w:val="00023A65"/>
    <w:rsid w:val="00023D14"/>
    <w:rsid w:val="0002420D"/>
    <w:rsid w:val="000264E9"/>
    <w:rsid w:val="00026C45"/>
    <w:rsid w:val="00027A15"/>
    <w:rsid w:val="00030134"/>
    <w:rsid w:val="00030DBA"/>
    <w:rsid w:val="000311AF"/>
    <w:rsid w:val="000312FE"/>
    <w:rsid w:val="00031AE1"/>
    <w:rsid w:val="00031FF5"/>
    <w:rsid w:val="000323E2"/>
    <w:rsid w:val="000326FB"/>
    <w:rsid w:val="00032DA4"/>
    <w:rsid w:val="00033483"/>
    <w:rsid w:val="00033537"/>
    <w:rsid w:val="00034086"/>
    <w:rsid w:val="00034A34"/>
    <w:rsid w:val="00034ED9"/>
    <w:rsid w:val="00035B18"/>
    <w:rsid w:val="00035B93"/>
    <w:rsid w:val="0003638B"/>
    <w:rsid w:val="0004113E"/>
    <w:rsid w:val="00041563"/>
    <w:rsid w:val="0004194E"/>
    <w:rsid w:val="00042317"/>
    <w:rsid w:val="00042463"/>
    <w:rsid w:val="00042C64"/>
    <w:rsid w:val="00042D7D"/>
    <w:rsid w:val="00042FED"/>
    <w:rsid w:val="0004356D"/>
    <w:rsid w:val="00043B51"/>
    <w:rsid w:val="00043E33"/>
    <w:rsid w:val="00044026"/>
    <w:rsid w:val="00044570"/>
    <w:rsid w:val="00046B1F"/>
    <w:rsid w:val="00050163"/>
    <w:rsid w:val="00050557"/>
    <w:rsid w:val="00050729"/>
    <w:rsid w:val="00050F6B"/>
    <w:rsid w:val="00051265"/>
    <w:rsid w:val="00052635"/>
    <w:rsid w:val="000526DA"/>
    <w:rsid w:val="00052D71"/>
    <w:rsid w:val="00052F32"/>
    <w:rsid w:val="0005670E"/>
    <w:rsid w:val="00056E96"/>
    <w:rsid w:val="00057AFE"/>
    <w:rsid w:val="00057DA0"/>
    <w:rsid w:val="00057E15"/>
    <w:rsid w:val="00057E97"/>
    <w:rsid w:val="000602CE"/>
    <w:rsid w:val="000609C8"/>
    <w:rsid w:val="000609FA"/>
    <w:rsid w:val="00062282"/>
    <w:rsid w:val="0006252E"/>
    <w:rsid w:val="00062654"/>
    <w:rsid w:val="00063E11"/>
    <w:rsid w:val="000644C3"/>
    <w:rsid w:val="000646F4"/>
    <w:rsid w:val="00066DF9"/>
    <w:rsid w:val="000675BA"/>
    <w:rsid w:val="00070108"/>
    <w:rsid w:val="000707E6"/>
    <w:rsid w:val="0007087A"/>
    <w:rsid w:val="000715ED"/>
    <w:rsid w:val="000716B5"/>
    <w:rsid w:val="00071819"/>
    <w:rsid w:val="000727B3"/>
    <w:rsid w:val="00072AC7"/>
    <w:rsid w:val="00072C8C"/>
    <w:rsid w:val="000733B5"/>
    <w:rsid w:val="00073CB2"/>
    <w:rsid w:val="00075F27"/>
    <w:rsid w:val="000769D9"/>
    <w:rsid w:val="00077458"/>
    <w:rsid w:val="000776EE"/>
    <w:rsid w:val="00080CD1"/>
    <w:rsid w:val="00081552"/>
    <w:rsid w:val="00081815"/>
    <w:rsid w:val="0008195E"/>
    <w:rsid w:val="00081CCE"/>
    <w:rsid w:val="00081E28"/>
    <w:rsid w:val="00082B74"/>
    <w:rsid w:val="00082C11"/>
    <w:rsid w:val="00083C44"/>
    <w:rsid w:val="00083CA5"/>
    <w:rsid w:val="000864B8"/>
    <w:rsid w:val="00087A1C"/>
    <w:rsid w:val="00087FB1"/>
    <w:rsid w:val="000912E3"/>
    <w:rsid w:val="00091F7C"/>
    <w:rsid w:val="000921A5"/>
    <w:rsid w:val="000931C0"/>
    <w:rsid w:val="00093FB3"/>
    <w:rsid w:val="0009483B"/>
    <w:rsid w:val="0009520B"/>
    <w:rsid w:val="00095275"/>
    <w:rsid w:val="00095DD7"/>
    <w:rsid w:val="000969B3"/>
    <w:rsid w:val="000A04C3"/>
    <w:rsid w:val="000A206B"/>
    <w:rsid w:val="000A2D5D"/>
    <w:rsid w:val="000A51FE"/>
    <w:rsid w:val="000A615B"/>
    <w:rsid w:val="000A6C18"/>
    <w:rsid w:val="000A76E3"/>
    <w:rsid w:val="000B054B"/>
    <w:rsid w:val="000B0595"/>
    <w:rsid w:val="000B175B"/>
    <w:rsid w:val="000B25ED"/>
    <w:rsid w:val="000B2B06"/>
    <w:rsid w:val="000B2CA5"/>
    <w:rsid w:val="000B2F02"/>
    <w:rsid w:val="000B381F"/>
    <w:rsid w:val="000B3A0F"/>
    <w:rsid w:val="000B3CC1"/>
    <w:rsid w:val="000B3D96"/>
    <w:rsid w:val="000B4EF7"/>
    <w:rsid w:val="000B6C15"/>
    <w:rsid w:val="000B72C2"/>
    <w:rsid w:val="000B759F"/>
    <w:rsid w:val="000C04EC"/>
    <w:rsid w:val="000C2172"/>
    <w:rsid w:val="000C2C03"/>
    <w:rsid w:val="000C2D2E"/>
    <w:rsid w:val="000C2F1F"/>
    <w:rsid w:val="000C3E53"/>
    <w:rsid w:val="000C6D79"/>
    <w:rsid w:val="000C79D0"/>
    <w:rsid w:val="000C7FD2"/>
    <w:rsid w:val="000D33D7"/>
    <w:rsid w:val="000D4160"/>
    <w:rsid w:val="000D4977"/>
    <w:rsid w:val="000D5810"/>
    <w:rsid w:val="000D5C44"/>
    <w:rsid w:val="000D60D5"/>
    <w:rsid w:val="000D6BCB"/>
    <w:rsid w:val="000D7BCA"/>
    <w:rsid w:val="000E0415"/>
    <w:rsid w:val="000E26D1"/>
    <w:rsid w:val="000E277F"/>
    <w:rsid w:val="000E574F"/>
    <w:rsid w:val="000E6CF1"/>
    <w:rsid w:val="000E7CF5"/>
    <w:rsid w:val="000E7DBB"/>
    <w:rsid w:val="000F003B"/>
    <w:rsid w:val="000F0EF8"/>
    <w:rsid w:val="000F15FA"/>
    <w:rsid w:val="000F1B8B"/>
    <w:rsid w:val="000F33B8"/>
    <w:rsid w:val="000F3D5B"/>
    <w:rsid w:val="000F4345"/>
    <w:rsid w:val="000F4BCA"/>
    <w:rsid w:val="000F515F"/>
    <w:rsid w:val="000F6EE8"/>
    <w:rsid w:val="00100C81"/>
    <w:rsid w:val="00100F33"/>
    <w:rsid w:val="00103304"/>
    <w:rsid w:val="00103ECF"/>
    <w:rsid w:val="0010494B"/>
    <w:rsid w:val="00105CFA"/>
    <w:rsid w:val="001065E4"/>
    <w:rsid w:val="00106B1F"/>
    <w:rsid w:val="001103AA"/>
    <w:rsid w:val="00110A4B"/>
    <w:rsid w:val="001127A5"/>
    <w:rsid w:val="00114703"/>
    <w:rsid w:val="00114C09"/>
    <w:rsid w:val="0011541D"/>
    <w:rsid w:val="00115613"/>
    <w:rsid w:val="00115E74"/>
    <w:rsid w:val="0011623A"/>
    <w:rsid w:val="0011666B"/>
    <w:rsid w:val="0011694B"/>
    <w:rsid w:val="00116D33"/>
    <w:rsid w:val="00117537"/>
    <w:rsid w:val="00117B41"/>
    <w:rsid w:val="00120BDA"/>
    <w:rsid w:val="0012270C"/>
    <w:rsid w:val="00122C7C"/>
    <w:rsid w:val="00122E52"/>
    <w:rsid w:val="0012353A"/>
    <w:rsid w:val="00123DED"/>
    <w:rsid w:val="0012620D"/>
    <w:rsid w:val="001262B8"/>
    <w:rsid w:val="001262DF"/>
    <w:rsid w:val="001272BD"/>
    <w:rsid w:val="001301D9"/>
    <w:rsid w:val="00130620"/>
    <w:rsid w:val="00130A1A"/>
    <w:rsid w:val="001313D4"/>
    <w:rsid w:val="0013206A"/>
    <w:rsid w:val="001346A9"/>
    <w:rsid w:val="00134D32"/>
    <w:rsid w:val="0013570C"/>
    <w:rsid w:val="001359EC"/>
    <w:rsid w:val="00135E1D"/>
    <w:rsid w:val="0013608F"/>
    <w:rsid w:val="00136A5A"/>
    <w:rsid w:val="00136D13"/>
    <w:rsid w:val="00136EAF"/>
    <w:rsid w:val="00137380"/>
    <w:rsid w:val="001373AA"/>
    <w:rsid w:val="001373E9"/>
    <w:rsid w:val="001379E1"/>
    <w:rsid w:val="0014047E"/>
    <w:rsid w:val="001435E1"/>
    <w:rsid w:val="00143A1A"/>
    <w:rsid w:val="001466D4"/>
    <w:rsid w:val="0014699A"/>
    <w:rsid w:val="00146C77"/>
    <w:rsid w:val="00146E5F"/>
    <w:rsid w:val="00147658"/>
    <w:rsid w:val="00150717"/>
    <w:rsid w:val="001510E8"/>
    <w:rsid w:val="00151B68"/>
    <w:rsid w:val="0015337E"/>
    <w:rsid w:val="00156265"/>
    <w:rsid w:val="00156B6F"/>
    <w:rsid w:val="001574EA"/>
    <w:rsid w:val="00160256"/>
    <w:rsid w:val="00160282"/>
    <w:rsid w:val="00163E4E"/>
    <w:rsid w:val="001645A3"/>
    <w:rsid w:val="00164D96"/>
    <w:rsid w:val="00165222"/>
    <w:rsid w:val="00165F3A"/>
    <w:rsid w:val="00166DCA"/>
    <w:rsid w:val="00171CA6"/>
    <w:rsid w:val="001729E9"/>
    <w:rsid w:val="001733F5"/>
    <w:rsid w:val="0017357E"/>
    <w:rsid w:val="0017392E"/>
    <w:rsid w:val="00173DA5"/>
    <w:rsid w:val="00173F0A"/>
    <w:rsid w:val="0017468F"/>
    <w:rsid w:val="00174BBA"/>
    <w:rsid w:val="00174D8B"/>
    <w:rsid w:val="0017507D"/>
    <w:rsid w:val="00176A19"/>
    <w:rsid w:val="00177442"/>
    <w:rsid w:val="0017797D"/>
    <w:rsid w:val="00181BCA"/>
    <w:rsid w:val="00181D8C"/>
    <w:rsid w:val="001820EA"/>
    <w:rsid w:val="00182290"/>
    <w:rsid w:val="001826FA"/>
    <w:rsid w:val="00184071"/>
    <w:rsid w:val="00184507"/>
    <w:rsid w:val="0018455A"/>
    <w:rsid w:val="001846DE"/>
    <w:rsid w:val="00184C8B"/>
    <w:rsid w:val="00184D51"/>
    <w:rsid w:val="00184DF6"/>
    <w:rsid w:val="00185B66"/>
    <w:rsid w:val="00185CDF"/>
    <w:rsid w:val="001907D3"/>
    <w:rsid w:val="00191B30"/>
    <w:rsid w:val="00191D76"/>
    <w:rsid w:val="00191F36"/>
    <w:rsid w:val="00193837"/>
    <w:rsid w:val="001961AD"/>
    <w:rsid w:val="00196D22"/>
    <w:rsid w:val="001A1D9F"/>
    <w:rsid w:val="001A27AE"/>
    <w:rsid w:val="001A3955"/>
    <w:rsid w:val="001A3D2D"/>
    <w:rsid w:val="001A406B"/>
    <w:rsid w:val="001A463D"/>
    <w:rsid w:val="001A6206"/>
    <w:rsid w:val="001A6619"/>
    <w:rsid w:val="001A6CBE"/>
    <w:rsid w:val="001B00F7"/>
    <w:rsid w:val="001B0DC9"/>
    <w:rsid w:val="001B1975"/>
    <w:rsid w:val="001B202E"/>
    <w:rsid w:val="001B3199"/>
    <w:rsid w:val="001B48EC"/>
    <w:rsid w:val="001B4A0F"/>
    <w:rsid w:val="001B4B04"/>
    <w:rsid w:val="001B6E19"/>
    <w:rsid w:val="001C2680"/>
    <w:rsid w:val="001C2980"/>
    <w:rsid w:val="001C335D"/>
    <w:rsid w:val="001C34A9"/>
    <w:rsid w:val="001C6663"/>
    <w:rsid w:val="001C66A4"/>
    <w:rsid w:val="001C68AA"/>
    <w:rsid w:val="001C68F7"/>
    <w:rsid w:val="001C6EF5"/>
    <w:rsid w:val="001C7895"/>
    <w:rsid w:val="001D0701"/>
    <w:rsid w:val="001D0C8C"/>
    <w:rsid w:val="001D1419"/>
    <w:rsid w:val="001D1C7C"/>
    <w:rsid w:val="001D2227"/>
    <w:rsid w:val="001D26DF"/>
    <w:rsid w:val="001D321E"/>
    <w:rsid w:val="001D3A03"/>
    <w:rsid w:val="001D3A2A"/>
    <w:rsid w:val="001D63FB"/>
    <w:rsid w:val="001D644A"/>
    <w:rsid w:val="001D6779"/>
    <w:rsid w:val="001D6E9B"/>
    <w:rsid w:val="001D6F5C"/>
    <w:rsid w:val="001D766C"/>
    <w:rsid w:val="001D7D2C"/>
    <w:rsid w:val="001E12DB"/>
    <w:rsid w:val="001E133C"/>
    <w:rsid w:val="001E16FB"/>
    <w:rsid w:val="001E26B0"/>
    <w:rsid w:val="001E27DE"/>
    <w:rsid w:val="001E5F56"/>
    <w:rsid w:val="001E64DA"/>
    <w:rsid w:val="001E6E8F"/>
    <w:rsid w:val="001E75DF"/>
    <w:rsid w:val="001E7B67"/>
    <w:rsid w:val="001F093B"/>
    <w:rsid w:val="001F0E87"/>
    <w:rsid w:val="001F2F1A"/>
    <w:rsid w:val="001F39AD"/>
    <w:rsid w:val="001F3F03"/>
    <w:rsid w:val="001F433E"/>
    <w:rsid w:val="001F5097"/>
    <w:rsid w:val="001F53A1"/>
    <w:rsid w:val="001F6787"/>
    <w:rsid w:val="001F75DD"/>
    <w:rsid w:val="001F76A4"/>
    <w:rsid w:val="00200886"/>
    <w:rsid w:val="00200C07"/>
    <w:rsid w:val="002012E5"/>
    <w:rsid w:val="002013B4"/>
    <w:rsid w:val="0020152B"/>
    <w:rsid w:val="00202A85"/>
    <w:rsid w:val="00202DA8"/>
    <w:rsid w:val="0020608D"/>
    <w:rsid w:val="00206351"/>
    <w:rsid w:val="00206945"/>
    <w:rsid w:val="00207238"/>
    <w:rsid w:val="00210858"/>
    <w:rsid w:val="00211200"/>
    <w:rsid w:val="00211E0B"/>
    <w:rsid w:val="00213421"/>
    <w:rsid w:val="00213A61"/>
    <w:rsid w:val="00213AB8"/>
    <w:rsid w:val="002145BE"/>
    <w:rsid w:val="00214A17"/>
    <w:rsid w:val="00215AE7"/>
    <w:rsid w:val="00215D52"/>
    <w:rsid w:val="00217973"/>
    <w:rsid w:val="00220873"/>
    <w:rsid w:val="0022104F"/>
    <w:rsid w:val="0022277C"/>
    <w:rsid w:val="00222869"/>
    <w:rsid w:val="00223740"/>
    <w:rsid w:val="00223B24"/>
    <w:rsid w:val="00226617"/>
    <w:rsid w:val="00227F24"/>
    <w:rsid w:val="002311FB"/>
    <w:rsid w:val="0023156C"/>
    <w:rsid w:val="00231BCB"/>
    <w:rsid w:val="00232156"/>
    <w:rsid w:val="00233033"/>
    <w:rsid w:val="00234FC8"/>
    <w:rsid w:val="002354B8"/>
    <w:rsid w:val="002363A7"/>
    <w:rsid w:val="00236405"/>
    <w:rsid w:val="00236C75"/>
    <w:rsid w:val="00237120"/>
    <w:rsid w:val="0024031C"/>
    <w:rsid w:val="00240642"/>
    <w:rsid w:val="00240B94"/>
    <w:rsid w:val="00241621"/>
    <w:rsid w:val="0024198D"/>
    <w:rsid w:val="00241E95"/>
    <w:rsid w:val="002438AE"/>
    <w:rsid w:val="0024455B"/>
    <w:rsid w:val="00244704"/>
    <w:rsid w:val="00244E50"/>
    <w:rsid w:val="00244E7B"/>
    <w:rsid w:val="00244EBE"/>
    <w:rsid w:val="00245005"/>
    <w:rsid w:val="002470E2"/>
    <w:rsid w:val="002471D2"/>
    <w:rsid w:val="0024772E"/>
    <w:rsid w:val="00247FDE"/>
    <w:rsid w:val="00251FA6"/>
    <w:rsid w:val="00252964"/>
    <w:rsid w:val="00252F99"/>
    <w:rsid w:val="00253496"/>
    <w:rsid w:val="00253FFC"/>
    <w:rsid w:val="00255E76"/>
    <w:rsid w:val="00255F33"/>
    <w:rsid w:val="00255FA9"/>
    <w:rsid w:val="00255FC1"/>
    <w:rsid w:val="0025784D"/>
    <w:rsid w:val="0026085E"/>
    <w:rsid w:val="002608DE"/>
    <w:rsid w:val="00260C40"/>
    <w:rsid w:val="00260E24"/>
    <w:rsid w:val="00261402"/>
    <w:rsid w:val="0026170A"/>
    <w:rsid w:val="00262004"/>
    <w:rsid w:val="002621CC"/>
    <w:rsid w:val="00262AEE"/>
    <w:rsid w:val="00264382"/>
    <w:rsid w:val="002645D0"/>
    <w:rsid w:val="002646CC"/>
    <w:rsid w:val="00264A03"/>
    <w:rsid w:val="0026581A"/>
    <w:rsid w:val="00265C80"/>
    <w:rsid w:val="0026648A"/>
    <w:rsid w:val="00266D59"/>
    <w:rsid w:val="002677CD"/>
    <w:rsid w:val="00267F5F"/>
    <w:rsid w:val="00271B95"/>
    <w:rsid w:val="00272BCA"/>
    <w:rsid w:val="0027349A"/>
    <w:rsid w:val="00273CD3"/>
    <w:rsid w:val="00274BC1"/>
    <w:rsid w:val="00275B34"/>
    <w:rsid w:val="00275C0C"/>
    <w:rsid w:val="002764BD"/>
    <w:rsid w:val="0027742E"/>
    <w:rsid w:val="002802C7"/>
    <w:rsid w:val="002817A1"/>
    <w:rsid w:val="0028250B"/>
    <w:rsid w:val="00282543"/>
    <w:rsid w:val="00282784"/>
    <w:rsid w:val="00282C54"/>
    <w:rsid w:val="002830F1"/>
    <w:rsid w:val="00283154"/>
    <w:rsid w:val="00283748"/>
    <w:rsid w:val="002842AE"/>
    <w:rsid w:val="00284583"/>
    <w:rsid w:val="002845F6"/>
    <w:rsid w:val="002849E4"/>
    <w:rsid w:val="00284AE1"/>
    <w:rsid w:val="00285393"/>
    <w:rsid w:val="00285CB0"/>
    <w:rsid w:val="00286B4D"/>
    <w:rsid w:val="002872F6"/>
    <w:rsid w:val="00287BBE"/>
    <w:rsid w:val="0029036B"/>
    <w:rsid w:val="00290F3C"/>
    <w:rsid w:val="002916FD"/>
    <w:rsid w:val="00291D45"/>
    <w:rsid w:val="00291E79"/>
    <w:rsid w:val="0029298C"/>
    <w:rsid w:val="00293EC1"/>
    <w:rsid w:val="00293FEE"/>
    <w:rsid w:val="00294DC2"/>
    <w:rsid w:val="00295295"/>
    <w:rsid w:val="002956B5"/>
    <w:rsid w:val="002957D2"/>
    <w:rsid w:val="002960B6"/>
    <w:rsid w:val="0029732D"/>
    <w:rsid w:val="002973FE"/>
    <w:rsid w:val="002A1A34"/>
    <w:rsid w:val="002A257C"/>
    <w:rsid w:val="002A31E1"/>
    <w:rsid w:val="002A3A8A"/>
    <w:rsid w:val="002A4828"/>
    <w:rsid w:val="002A5FA3"/>
    <w:rsid w:val="002A66A0"/>
    <w:rsid w:val="002A6BF1"/>
    <w:rsid w:val="002A74E9"/>
    <w:rsid w:val="002A7F70"/>
    <w:rsid w:val="002B11C9"/>
    <w:rsid w:val="002B11D6"/>
    <w:rsid w:val="002B29CB"/>
    <w:rsid w:val="002B2FD5"/>
    <w:rsid w:val="002B42CD"/>
    <w:rsid w:val="002B4EB0"/>
    <w:rsid w:val="002B5CA4"/>
    <w:rsid w:val="002B60E9"/>
    <w:rsid w:val="002B6221"/>
    <w:rsid w:val="002B654E"/>
    <w:rsid w:val="002B6DFB"/>
    <w:rsid w:val="002B74B1"/>
    <w:rsid w:val="002B7990"/>
    <w:rsid w:val="002B7CD2"/>
    <w:rsid w:val="002C019B"/>
    <w:rsid w:val="002C1281"/>
    <w:rsid w:val="002C27B6"/>
    <w:rsid w:val="002C32E8"/>
    <w:rsid w:val="002C341A"/>
    <w:rsid w:val="002C41C3"/>
    <w:rsid w:val="002C5812"/>
    <w:rsid w:val="002C6637"/>
    <w:rsid w:val="002C677D"/>
    <w:rsid w:val="002C677E"/>
    <w:rsid w:val="002C7C7D"/>
    <w:rsid w:val="002C7D84"/>
    <w:rsid w:val="002D00A7"/>
    <w:rsid w:val="002D06DF"/>
    <w:rsid w:val="002D0755"/>
    <w:rsid w:val="002D226A"/>
    <w:rsid w:val="002D243D"/>
    <w:rsid w:val="002D24C5"/>
    <w:rsid w:val="002D2975"/>
    <w:rsid w:val="002D3458"/>
    <w:rsid w:val="002D37B1"/>
    <w:rsid w:val="002D39FB"/>
    <w:rsid w:val="002D3A22"/>
    <w:rsid w:val="002D3AE3"/>
    <w:rsid w:val="002D40C8"/>
    <w:rsid w:val="002D4643"/>
    <w:rsid w:val="002D4BD8"/>
    <w:rsid w:val="002D4BE9"/>
    <w:rsid w:val="002D7387"/>
    <w:rsid w:val="002D7EC0"/>
    <w:rsid w:val="002E0ADC"/>
    <w:rsid w:val="002E16F9"/>
    <w:rsid w:val="002E203A"/>
    <w:rsid w:val="002E381B"/>
    <w:rsid w:val="002E48D3"/>
    <w:rsid w:val="002E562F"/>
    <w:rsid w:val="002E6A7E"/>
    <w:rsid w:val="002E6F30"/>
    <w:rsid w:val="002F0245"/>
    <w:rsid w:val="002F060F"/>
    <w:rsid w:val="002F0B6C"/>
    <w:rsid w:val="002F175C"/>
    <w:rsid w:val="002F1BA7"/>
    <w:rsid w:val="002F243A"/>
    <w:rsid w:val="002F4923"/>
    <w:rsid w:val="002F4C3C"/>
    <w:rsid w:val="002F5785"/>
    <w:rsid w:val="002F6E99"/>
    <w:rsid w:val="002F73AD"/>
    <w:rsid w:val="002F7581"/>
    <w:rsid w:val="002F7DE0"/>
    <w:rsid w:val="0030095B"/>
    <w:rsid w:val="003023D1"/>
    <w:rsid w:val="00302B1A"/>
    <w:rsid w:val="00302E18"/>
    <w:rsid w:val="00304CA0"/>
    <w:rsid w:val="0030543E"/>
    <w:rsid w:val="00305533"/>
    <w:rsid w:val="00305CCA"/>
    <w:rsid w:val="00307558"/>
    <w:rsid w:val="0031043E"/>
    <w:rsid w:val="00310973"/>
    <w:rsid w:val="00311661"/>
    <w:rsid w:val="00311726"/>
    <w:rsid w:val="00311E07"/>
    <w:rsid w:val="00311EF8"/>
    <w:rsid w:val="00312081"/>
    <w:rsid w:val="00312D52"/>
    <w:rsid w:val="00312E64"/>
    <w:rsid w:val="0031484A"/>
    <w:rsid w:val="00314892"/>
    <w:rsid w:val="00315A5E"/>
    <w:rsid w:val="0031603F"/>
    <w:rsid w:val="0031605C"/>
    <w:rsid w:val="0031675B"/>
    <w:rsid w:val="003217FA"/>
    <w:rsid w:val="00321DB0"/>
    <w:rsid w:val="0032266A"/>
    <w:rsid w:val="003229D8"/>
    <w:rsid w:val="003233B8"/>
    <w:rsid w:val="003245B3"/>
    <w:rsid w:val="00324860"/>
    <w:rsid w:val="00324BB3"/>
    <w:rsid w:val="00326A70"/>
    <w:rsid w:val="00330080"/>
    <w:rsid w:val="00331134"/>
    <w:rsid w:val="003317A8"/>
    <w:rsid w:val="00331A3F"/>
    <w:rsid w:val="00333221"/>
    <w:rsid w:val="00334E0D"/>
    <w:rsid w:val="003358CA"/>
    <w:rsid w:val="00335E83"/>
    <w:rsid w:val="00336A15"/>
    <w:rsid w:val="003371D0"/>
    <w:rsid w:val="0033743D"/>
    <w:rsid w:val="00337B04"/>
    <w:rsid w:val="00340C57"/>
    <w:rsid w:val="00340CB9"/>
    <w:rsid w:val="003410CC"/>
    <w:rsid w:val="00343F01"/>
    <w:rsid w:val="003447CA"/>
    <w:rsid w:val="00345C6D"/>
    <w:rsid w:val="00346361"/>
    <w:rsid w:val="0034791D"/>
    <w:rsid w:val="003522BF"/>
    <w:rsid w:val="00352709"/>
    <w:rsid w:val="00353705"/>
    <w:rsid w:val="0035372A"/>
    <w:rsid w:val="00353E2D"/>
    <w:rsid w:val="00354FD6"/>
    <w:rsid w:val="0035591B"/>
    <w:rsid w:val="00356AA2"/>
    <w:rsid w:val="00357C83"/>
    <w:rsid w:val="00357E45"/>
    <w:rsid w:val="00360C97"/>
    <w:rsid w:val="00361743"/>
    <w:rsid w:val="00361785"/>
    <w:rsid w:val="003619B5"/>
    <w:rsid w:val="00361AC3"/>
    <w:rsid w:val="00361CA1"/>
    <w:rsid w:val="00361F8D"/>
    <w:rsid w:val="00362867"/>
    <w:rsid w:val="0036385B"/>
    <w:rsid w:val="00363BB0"/>
    <w:rsid w:val="003644C9"/>
    <w:rsid w:val="003647B6"/>
    <w:rsid w:val="0036483C"/>
    <w:rsid w:val="00365763"/>
    <w:rsid w:val="00371178"/>
    <w:rsid w:val="00371DD4"/>
    <w:rsid w:val="00372BA4"/>
    <w:rsid w:val="00372CB2"/>
    <w:rsid w:val="00374498"/>
    <w:rsid w:val="003761E9"/>
    <w:rsid w:val="003763E4"/>
    <w:rsid w:val="00376746"/>
    <w:rsid w:val="003812B2"/>
    <w:rsid w:val="00382C9C"/>
    <w:rsid w:val="0038324A"/>
    <w:rsid w:val="003836BB"/>
    <w:rsid w:val="0038372B"/>
    <w:rsid w:val="00384A4D"/>
    <w:rsid w:val="00384FAB"/>
    <w:rsid w:val="00385051"/>
    <w:rsid w:val="00385671"/>
    <w:rsid w:val="003860A8"/>
    <w:rsid w:val="003860AE"/>
    <w:rsid w:val="00390D2C"/>
    <w:rsid w:val="00392E47"/>
    <w:rsid w:val="0039319E"/>
    <w:rsid w:val="0039333D"/>
    <w:rsid w:val="00393FDB"/>
    <w:rsid w:val="00394097"/>
    <w:rsid w:val="00395350"/>
    <w:rsid w:val="00396810"/>
    <w:rsid w:val="003977A6"/>
    <w:rsid w:val="003A0B5B"/>
    <w:rsid w:val="003A1D9F"/>
    <w:rsid w:val="003A2EF2"/>
    <w:rsid w:val="003A3829"/>
    <w:rsid w:val="003A3E95"/>
    <w:rsid w:val="003A4388"/>
    <w:rsid w:val="003A5316"/>
    <w:rsid w:val="003A5BA5"/>
    <w:rsid w:val="003A6810"/>
    <w:rsid w:val="003A76A5"/>
    <w:rsid w:val="003B0881"/>
    <w:rsid w:val="003B1258"/>
    <w:rsid w:val="003B125C"/>
    <w:rsid w:val="003B5240"/>
    <w:rsid w:val="003B595B"/>
    <w:rsid w:val="003C092C"/>
    <w:rsid w:val="003C23D7"/>
    <w:rsid w:val="003C2986"/>
    <w:rsid w:val="003C2CC4"/>
    <w:rsid w:val="003C2E41"/>
    <w:rsid w:val="003C31AC"/>
    <w:rsid w:val="003C38A7"/>
    <w:rsid w:val="003C3EB9"/>
    <w:rsid w:val="003C4BDB"/>
    <w:rsid w:val="003C534D"/>
    <w:rsid w:val="003C60C2"/>
    <w:rsid w:val="003C740C"/>
    <w:rsid w:val="003C765B"/>
    <w:rsid w:val="003C7BF5"/>
    <w:rsid w:val="003D0188"/>
    <w:rsid w:val="003D02D6"/>
    <w:rsid w:val="003D2B7F"/>
    <w:rsid w:val="003D4B23"/>
    <w:rsid w:val="003D5993"/>
    <w:rsid w:val="003D5AB3"/>
    <w:rsid w:val="003D5B6B"/>
    <w:rsid w:val="003D6346"/>
    <w:rsid w:val="003D63C6"/>
    <w:rsid w:val="003D6F43"/>
    <w:rsid w:val="003E0421"/>
    <w:rsid w:val="003E0B21"/>
    <w:rsid w:val="003E0DC1"/>
    <w:rsid w:val="003E130E"/>
    <w:rsid w:val="003E1651"/>
    <w:rsid w:val="003E186B"/>
    <w:rsid w:val="003E204C"/>
    <w:rsid w:val="003E2069"/>
    <w:rsid w:val="003E338A"/>
    <w:rsid w:val="003E359A"/>
    <w:rsid w:val="003E3907"/>
    <w:rsid w:val="003E4F6F"/>
    <w:rsid w:val="003E69B8"/>
    <w:rsid w:val="003E741E"/>
    <w:rsid w:val="003E7810"/>
    <w:rsid w:val="003E78DD"/>
    <w:rsid w:val="003F062B"/>
    <w:rsid w:val="003F4932"/>
    <w:rsid w:val="003F61B8"/>
    <w:rsid w:val="003F62A5"/>
    <w:rsid w:val="003F77DC"/>
    <w:rsid w:val="003F77FA"/>
    <w:rsid w:val="003F7EC6"/>
    <w:rsid w:val="003F7FC0"/>
    <w:rsid w:val="0040018B"/>
    <w:rsid w:val="00401078"/>
    <w:rsid w:val="00402ACC"/>
    <w:rsid w:val="004040D7"/>
    <w:rsid w:val="00404C4D"/>
    <w:rsid w:val="00405398"/>
    <w:rsid w:val="004056EC"/>
    <w:rsid w:val="0040572C"/>
    <w:rsid w:val="00406B75"/>
    <w:rsid w:val="0040739C"/>
    <w:rsid w:val="00407B60"/>
    <w:rsid w:val="00410C89"/>
    <w:rsid w:val="0041198E"/>
    <w:rsid w:val="00411A96"/>
    <w:rsid w:val="004123E3"/>
    <w:rsid w:val="00412F8C"/>
    <w:rsid w:val="00413157"/>
    <w:rsid w:val="0041336F"/>
    <w:rsid w:val="00413AE5"/>
    <w:rsid w:val="00413D6B"/>
    <w:rsid w:val="00414530"/>
    <w:rsid w:val="00415797"/>
    <w:rsid w:val="004171E1"/>
    <w:rsid w:val="00417822"/>
    <w:rsid w:val="00417AC7"/>
    <w:rsid w:val="00420F20"/>
    <w:rsid w:val="00421027"/>
    <w:rsid w:val="004215DB"/>
    <w:rsid w:val="00421A2C"/>
    <w:rsid w:val="00422E03"/>
    <w:rsid w:val="004246D4"/>
    <w:rsid w:val="00425A06"/>
    <w:rsid w:val="00425A34"/>
    <w:rsid w:val="00426B9B"/>
    <w:rsid w:val="0042719C"/>
    <w:rsid w:val="004277E5"/>
    <w:rsid w:val="00427A09"/>
    <w:rsid w:val="00427CA3"/>
    <w:rsid w:val="004304F8"/>
    <w:rsid w:val="004321EC"/>
    <w:rsid w:val="004325CB"/>
    <w:rsid w:val="00432DBE"/>
    <w:rsid w:val="004334ED"/>
    <w:rsid w:val="00433B62"/>
    <w:rsid w:val="00435473"/>
    <w:rsid w:val="00437500"/>
    <w:rsid w:val="00437CFF"/>
    <w:rsid w:val="00441691"/>
    <w:rsid w:val="004418D7"/>
    <w:rsid w:val="004429C2"/>
    <w:rsid w:val="00442A83"/>
    <w:rsid w:val="00443305"/>
    <w:rsid w:val="004434C0"/>
    <w:rsid w:val="00443BA8"/>
    <w:rsid w:val="00444BD7"/>
    <w:rsid w:val="00445224"/>
    <w:rsid w:val="00445AAC"/>
    <w:rsid w:val="00445DB9"/>
    <w:rsid w:val="00446230"/>
    <w:rsid w:val="00446C5F"/>
    <w:rsid w:val="00446FAF"/>
    <w:rsid w:val="0044757E"/>
    <w:rsid w:val="004510CD"/>
    <w:rsid w:val="00451834"/>
    <w:rsid w:val="004519A8"/>
    <w:rsid w:val="00451CEF"/>
    <w:rsid w:val="00452F4C"/>
    <w:rsid w:val="004532AE"/>
    <w:rsid w:val="00453CFF"/>
    <w:rsid w:val="00454031"/>
    <w:rsid w:val="004541B1"/>
    <w:rsid w:val="0045495B"/>
    <w:rsid w:val="00454EBD"/>
    <w:rsid w:val="00455E6F"/>
    <w:rsid w:val="004561E5"/>
    <w:rsid w:val="00456F2E"/>
    <w:rsid w:val="0045728B"/>
    <w:rsid w:val="004579B2"/>
    <w:rsid w:val="00457D65"/>
    <w:rsid w:val="004612B2"/>
    <w:rsid w:val="004629A3"/>
    <w:rsid w:val="00462A03"/>
    <w:rsid w:val="00463686"/>
    <w:rsid w:val="004648CC"/>
    <w:rsid w:val="004669B9"/>
    <w:rsid w:val="00466F21"/>
    <w:rsid w:val="00467200"/>
    <w:rsid w:val="004674F3"/>
    <w:rsid w:val="00467949"/>
    <w:rsid w:val="004702E7"/>
    <w:rsid w:val="0047129D"/>
    <w:rsid w:val="004714C9"/>
    <w:rsid w:val="004717CF"/>
    <w:rsid w:val="00471B03"/>
    <w:rsid w:val="00472029"/>
    <w:rsid w:val="00472F63"/>
    <w:rsid w:val="0047348A"/>
    <w:rsid w:val="0047354D"/>
    <w:rsid w:val="004736D6"/>
    <w:rsid w:val="00473A70"/>
    <w:rsid w:val="00474074"/>
    <w:rsid w:val="00475797"/>
    <w:rsid w:val="00476EED"/>
    <w:rsid w:val="0047773E"/>
    <w:rsid w:val="00480362"/>
    <w:rsid w:val="00481928"/>
    <w:rsid w:val="00481F61"/>
    <w:rsid w:val="0048379E"/>
    <w:rsid w:val="0048397A"/>
    <w:rsid w:val="00483BDD"/>
    <w:rsid w:val="00484427"/>
    <w:rsid w:val="0048454C"/>
    <w:rsid w:val="004848BE"/>
    <w:rsid w:val="00484C1F"/>
    <w:rsid w:val="00484F90"/>
    <w:rsid w:val="004858CE"/>
    <w:rsid w:val="00485CBB"/>
    <w:rsid w:val="00486590"/>
    <w:rsid w:val="004866B7"/>
    <w:rsid w:val="0048690C"/>
    <w:rsid w:val="0049216E"/>
    <w:rsid w:val="00492521"/>
    <w:rsid w:val="0049379A"/>
    <w:rsid w:val="004938CE"/>
    <w:rsid w:val="00493F8E"/>
    <w:rsid w:val="00494330"/>
    <w:rsid w:val="004943E0"/>
    <w:rsid w:val="004954A4"/>
    <w:rsid w:val="00495849"/>
    <w:rsid w:val="00496319"/>
    <w:rsid w:val="004965EE"/>
    <w:rsid w:val="004967CA"/>
    <w:rsid w:val="0049708D"/>
    <w:rsid w:val="0049729A"/>
    <w:rsid w:val="00497E1B"/>
    <w:rsid w:val="004A14D0"/>
    <w:rsid w:val="004A15A7"/>
    <w:rsid w:val="004A177B"/>
    <w:rsid w:val="004A3A7E"/>
    <w:rsid w:val="004A40C4"/>
    <w:rsid w:val="004A45DE"/>
    <w:rsid w:val="004A4F1F"/>
    <w:rsid w:val="004A53D1"/>
    <w:rsid w:val="004A587A"/>
    <w:rsid w:val="004A7C99"/>
    <w:rsid w:val="004A7DC6"/>
    <w:rsid w:val="004B0A60"/>
    <w:rsid w:val="004B0BC4"/>
    <w:rsid w:val="004B0D2D"/>
    <w:rsid w:val="004B155E"/>
    <w:rsid w:val="004B2DAB"/>
    <w:rsid w:val="004B306A"/>
    <w:rsid w:val="004B3755"/>
    <w:rsid w:val="004B3902"/>
    <w:rsid w:val="004B3952"/>
    <w:rsid w:val="004B5264"/>
    <w:rsid w:val="004B5F9D"/>
    <w:rsid w:val="004B63C3"/>
    <w:rsid w:val="004B67F2"/>
    <w:rsid w:val="004B787D"/>
    <w:rsid w:val="004B7A04"/>
    <w:rsid w:val="004C060D"/>
    <w:rsid w:val="004C064F"/>
    <w:rsid w:val="004C0AC3"/>
    <w:rsid w:val="004C2461"/>
    <w:rsid w:val="004C24C2"/>
    <w:rsid w:val="004C4B57"/>
    <w:rsid w:val="004C67AE"/>
    <w:rsid w:val="004C6A8C"/>
    <w:rsid w:val="004C7462"/>
    <w:rsid w:val="004D2162"/>
    <w:rsid w:val="004D3603"/>
    <w:rsid w:val="004D527E"/>
    <w:rsid w:val="004D691D"/>
    <w:rsid w:val="004D6AD3"/>
    <w:rsid w:val="004D6BF0"/>
    <w:rsid w:val="004D6CA4"/>
    <w:rsid w:val="004D6CCA"/>
    <w:rsid w:val="004D6E86"/>
    <w:rsid w:val="004D7A41"/>
    <w:rsid w:val="004E1455"/>
    <w:rsid w:val="004E162D"/>
    <w:rsid w:val="004E1735"/>
    <w:rsid w:val="004E1B49"/>
    <w:rsid w:val="004E1C77"/>
    <w:rsid w:val="004E26F4"/>
    <w:rsid w:val="004E2BE9"/>
    <w:rsid w:val="004E3395"/>
    <w:rsid w:val="004E3C38"/>
    <w:rsid w:val="004E426B"/>
    <w:rsid w:val="004E4C9B"/>
    <w:rsid w:val="004E5BDB"/>
    <w:rsid w:val="004E6E20"/>
    <w:rsid w:val="004E72C4"/>
    <w:rsid w:val="004E76FE"/>
    <w:rsid w:val="004E77B2"/>
    <w:rsid w:val="004E7A86"/>
    <w:rsid w:val="004F02A3"/>
    <w:rsid w:val="004F0444"/>
    <w:rsid w:val="004F1527"/>
    <w:rsid w:val="004F182C"/>
    <w:rsid w:val="004F1940"/>
    <w:rsid w:val="004F1950"/>
    <w:rsid w:val="004F2618"/>
    <w:rsid w:val="004F3A4D"/>
    <w:rsid w:val="004F3EA0"/>
    <w:rsid w:val="004F4A6F"/>
    <w:rsid w:val="004F4D3B"/>
    <w:rsid w:val="004F6939"/>
    <w:rsid w:val="004F7C6B"/>
    <w:rsid w:val="004F7DCD"/>
    <w:rsid w:val="00500CE6"/>
    <w:rsid w:val="005021F7"/>
    <w:rsid w:val="00502A9B"/>
    <w:rsid w:val="00502D7E"/>
    <w:rsid w:val="0050437F"/>
    <w:rsid w:val="005047D2"/>
    <w:rsid w:val="00504B2D"/>
    <w:rsid w:val="00506D61"/>
    <w:rsid w:val="00507623"/>
    <w:rsid w:val="00507C9E"/>
    <w:rsid w:val="00510A52"/>
    <w:rsid w:val="005114B6"/>
    <w:rsid w:val="00512750"/>
    <w:rsid w:val="005134B2"/>
    <w:rsid w:val="005143B7"/>
    <w:rsid w:val="00514BD5"/>
    <w:rsid w:val="0051720E"/>
    <w:rsid w:val="005172CC"/>
    <w:rsid w:val="00517A40"/>
    <w:rsid w:val="005206E4"/>
    <w:rsid w:val="00520ED1"/>
    <w:rsid w:val="00520F07"/>
    <w:rsid w:val="0052136D"/>
    <w:rsid w:val="0052160D"/>
    <w:rsid w:val="00521839"/>
    <w:rsid w:val="00521FD6"/>
    <w:rsid w:val="00522916"/>
    <w:rsid w:val="00524B3B"/>
    <w:rsid w:val="00524D50"/>
    <w:rsid w:val="005250CC"/>
    <w:rsid w:val="00525383"/>
    <w:rsid w:val="00525546"/>
    <w:rsid w:val="00525E9B"/>
    <w:rsid w:val="005270DB"/>
    <w:rsid w:val="00527457"/>
    <w:rsid w:val="00527741"/>
    <w:rsid w:val="0052775E"/>
    <w:rsid w:val="0053013E"/>
    <w:rsid w:val="00530C4B"/>
    <w:rsid w:val="0053189C"/>
    <w:rsid w:val="005363E2"/>
    <w:rsid w:val="00541197"/>
    <w:rsid w:val="005420F2"/>
    <w:rsid w:val="005422C1"/>
    <w:rsid w:val="00542F32"/>
    <w:rsid w:val="00542F6C"/>
    <w:rsid w:val="00543324"/>
    <w:rsid w:val="00543B23"/>
    <w:rsid w:val="00544D5F"/>
    <w:rsid w:val="00545574"/>
    <w:rsid w:val="00546439"/>
    <w:rsid w:val="0054674C"/>
    <w:rsid w:val="005469FE"/>
    <w:rsid w:val="00546A04"/>
    <w:rsid w:val="005474A7"/>
    <w:rsid w:val="00547870"/>
    <w:rsid w:val="0055004F"/>
    <w:rsid w:val="005505FF"/>
    <w:rsid w:val="00550924"/>
    <w:rsid w:val="005513DC"/>
    <w:rsid w:val="00551B03"/>
    <w:rsid w:val="00552552"/>
    <w:rsid w:val="00553CCD"/>
    <w:rsid w:val="00554000"/>
    <w:rsid w:val="00555AE7"/>
    <w:rsid w:val="005562DA"/>
    <w:rsid w:val="00556B74"/>
    <w:rsid w:val="005610DF"/>
    <w:rsid w:val="005612CF"/>
    <w:rsid w:val="00561B25"/>
    <w:rsid w:val="0056209A"/>
    <w:rsid w:val="00562846"/>
    <w:rsid w:val="005628B6"/>
    <w:rsid w:val="005644E5"/>
    <w:rsid w:val="00565070"/>
    <w:rsid w:val="00566582"/>
    <w:rsid w:val="00566A8D"/>
    <w:rsid w:val="00567FE6"/>
    <w:rsid w:val="0057024D"/>
    <w:rsid w:val="005705E0"/>
    <w:rsid w:val="00571BF6"/>
    <w:rsid w:val="0057200D"/>
    <w:rsid w:val="00572278"/>
    <w:rsid w:val="00572375"/>
    <w:rsid w:val="00575137"/>
    <w:rsid w:val="0057599C"/>
    <w:rsid w:val="00576EC8"/>
    <w:rsid w:val="005775CF"/>
    <w:rsid w:val="00577EA5"/>
    <w:rsid w:val="00580744"/>
    <w:rsid w:val="00580948"/>
    <w:rsid w:val="00580E91"/>
    <w:rsid w:val="005825EA"/>
    <w:rsid w:val="00582FBF"/>
    <w:rsid w:val="00583616"/>
    <w:rsid w:val="00583CEC"/>
    <w:rsid w:val="00583DE5"/>
    <w:rsid w:val="00584813"/>
    <w:rsid w:val="00584923"/>
    <w:rsid w:val="005849ED"/>
    <w:rsid w:val="00584C24"/>
    <w:rsid w:val="00585477"/>
    <w:rsid w:val="00585677"/>
    <w:rsid w:val="00585F58"/>
    <w:rsid w:val="00586973"/>
    <w:rsid w:val="00586B4D"/>
    <w:rsid w:val="00587268"/>
    <w:rsid w:val="00590DD3"/>
    <w:rsid w:val="005921A0"/>
    <w:rsid w:val="00592890"/>
    <w:rsid w:val="005939B6"/>
    <w:rsid w:val="0059400A"/>
    <w:rsid w:val="005941EC"/>
    <w:rsid w:val="00596EC9"/>
    <w:rsid w:val="00596F4E"/>
    <w:rsid w:val="0059724D"/>
    <w:rsid w:val="005A014B"/>
    <w:rsid w:val="005A0255"/>
    <w:rsid w:val="005A094D"/>
    <w:rsid w:val="005A0A19"/>
    <w:rsid w:val="005A1187"/>
    <w:rsid w:val="005A1A42"/>
    <w:rsid w:val="005A23DF"/>
    <w:rsid w:val="005A320F"/>
    <w:rsid w:val="005A47B1"/>
    <w:rsid w:val="005A4CA7"/>
    <w:rsid w:val="005A5A5A"/>
    <w:rsid w:val="005A635D"/>
    <w:rsid w:val="005A68D1"/>
    <w:rsid w:val="005A68DD"/>
    <w:rsid w:val="005A6A11"/>
    <w:rsid w:val="005A6DFC"/>
    <w:rsid w:val="005A7579"/>
    <w:rsid w:val="005A76D4"/>
    <w:rsid w:val="005B00FF"/>
    <w:rsid w:val="005B0F2D"/>
    <w:rsid w:val="005B1E01"/>
    <w:rsid w:val="005B27B4"/>
    <w:rsid w:val="005B2DF0"/>
    <w:rsid w:val="005B2FF0"/>
    <w:rsid w:val="005B320C"/>
    <w:rsid w:val="005B3DB3"/>
    <w:rsid w:val="005B4E13"/>
    <w:rsid w:val="005B4FEB"/>
    <w:rsid w:val="005B512D"/>
    <w:rsid w:val="005B58E1"/>
    <w:rsid w:val="005B61A3"/>
    <w:rsid w:val="005B6A4A"/>
    <w:rsid w:val="005B760F"/>
    <w:rsid w:val="005C2F3E"/>
    <w:rsid w:val="005C2FFA"/>
    <w:rsid w:val="005C342F"/>
    <w:rsid w:val="005C3F13"/>
    <w:rsid w:val="005C408C"/>
    <w:rsid w:val="005C4F2C"/>
    <w:rsid w:val="005C55C9"/>
    <w:rsid w:val="005C56CC"/>
    <w:rsid w:val="005C681E"/>
    <w:rsid w:val="005C69B8"/>
    <w:rsid w:val="005C7D1E"/>
    <w:rsid w:val="005D03B1"/>
    <w:rsid w:val="005D06DC"/>
    <w:rsid w:val="005D0BC1"/>
    <w:rsid w:val="005D1505"/>
    <w:rsid w:val="005D1B66"/>
    <w:rsid w:val="005D40E8"/>
    <w:rsid w:val="005D5CA7"/>
    <w:rsid w:val="005D5E48"/>
    <w:rsid w:val="005D67EB"/>
    <w:rsid w:val="005D6C1F"/>
    <w:rsid w:val="005D6DE9"/>
    <w:rsid w:val="005D780D"/>
    <w:rsid w:val="005E1A6C"/>
    <w:rsid w:val="005E1B72"/>
    <w:rsid w:val="005E313B"/>
    <w:rsid w:val="005E38AD"/>
    <w:rsid w:val="005E3E3E"/>
    <w:rsid w:val="005E42D5"/>
    <w:rsid w:val="005E545D"/>
    <w:rsid w:val="005E579A"/>
    <w:rsid w:val="005E5A84"/>
    <w:rsid w:val="005F0362"/>
    <w:rsid w:val="005F1277"/>
    <w:rsid w:val="005F217F"/>
    <w:rsid w:val="005F25C2"/>
    <w:rsid w:val="005F2798"/>
    <w:rsid w:val="005F4234"/>
    <w:rsid w:val="005F441D"/>
    <w:rsid w:val="005F4773"/>
    <w:rsid w:val="005F49CC"/>
    <w:rsid w:val="005F65E7"/>
    <w:rsid w:val="005F692F"/>
    <w:rsid w:val="005F77E6"/>
    <w:rsid w:val="005F7B75"/>
    <w:rsid w:val="006001EE"/>
    <w:rsid w:val="0060068B"/>
    <w:rsid w:val="00600CA6"/>
    <w:rsid w:val="00600F22"/>
    <w:rsid w:val="00601E92"/>
    <w:rsid w:val="006047C6"/>
    <w:rsid w:val="00605042"/>
    <w:rsid w:val="006053A8"/>
    <w:rsid w:val="00605797"/>
    <w:rsid w:val="0060658C"/>
    <w:rsid w:val="00606B72"/>
    <w:rsid w:val="00611FC4"/>
    <w:rsid w:val="006168CE"/>
    <w:rsid w:val="006176FB"/>
    <w:rsid w:val="00620C37"/>
    <w:rsid w:val="006212A3"/>
    <w:rsid w:val="00621318"/>
    <w:rsid w:val="006217FB"/>
    <w:rsid w:val="00622278"/>
    <w:rsid w:val="006228B2"/>
    <w:rsid w:val="00622AAC"/>
    <w:rsid w:val="00623593"/>
    <w:rsid w:val="00623C16"/>
    <w:rsid w:val="00623C6E"/>
    <w:rsid w:val="006240A7"/>
    <w:rsid w:val="006249C8"/>
    <w:rsid w:val="00625AE4"/>
    <w:rsid w:val="0062605D"/>
    <w:rsid w:val="006264A5"/>
    <w:rsid w:val="006273C5"/>
    <w:rsid w:val="0062767C"/>
    <w:rsid w:val="00627822"/>
    <w:rsid w:val="00627E77"/>
    <w:rsid w:val="0063062D"/>
    <w:rsid w:val="00630995"/>
    <w:rsid w:val="00631B4D"/>
    <w:rsid w:val="006325A6"/>
    <w:rsid w:val="006326E2"/>
    <w:rsid w:val="00632925"/>
    <w:rsid w:val="00633810"/>
    <w:rsid w:val="00635E92"/>
    <w:rsid w:val="00636276"/>
    <w:rsid w:val="00636406"/>
    <w:rsid w:val="00636664"/>
    <w:rsid w:val="0063716E"/>
    <w:rsid w:val="00637FCE"/>
    <w:rsid w:val="00640B26"/>
    <w:rsid w:val="00640D00"/>
    <w:rsid w:val="00640DD9"/>
    <w:rsid w:val="00642076"/>
    <w:rsid w:val="00642078"/>
    <w:rsid w:val="00644538"/>
    <w:rsid w:val="00644A0D"/>
    <w:rsid w:val="00644F71"/>
    <w:rsid w:val="0064532F"/>
    <w:rsid w:val="006453F1"/>
    <w:rsid w:val="00646197"/>
    <w:rsid w:val="00646C4D"/>
    <w:rsid w:val="00646F28"/>
    <w:rsid w:val="00650209"/>
    <w:rsid w:val="00650C7E"/>
    <w:rsid w:val="00650F5C"/>
    <w:rsid w:val="006528E9"/>
    <w:rsid w:val="00652D0A"/>
    <w:rsid w:val="00653EBC"/>
    <w:rsid w:val="006549AD"/>
    <w:rsid w:val="00655F09"/>
    <w:rsid w:val="00656382"/>
    <w:rsid w:val="006566B6"/>
    <w:rsid w:val="00657462"/>
    <w:rsid w:val="00657A49"/>
    <w:rsid w:val="00657CDC"/>
    <w:rsid w:val="00660235"/>
    <w:rsid w:val="0066078C"/>
    <w:rsid w:val="006623E4"/>
    <w:rsid w:val="00662BB6"/>
    <w:rsid w:val="006648BD"/>
    <w:rsid w:val="00665A6A"/>
    <w:rsid w:val="00665B96"/>
    <w:rsid w:val="00666E25"/>
    <w:rsid w:val="00667EB2"/>
    <w:rsid w:val="00670C84"/>
    <w:rsid w:val="00671B51"/>
    <w:rsid w:val="006724A5"/>
    <w:rsid w:val="0067270F"/>
    <w:rsid w:val="0067362F"/>
    <w:rsid w:val="00673C1E"/>
    <w:rsid w:val="00674CF2"/>
    <w:rsid w:val="00675A1E"/>
    <w:rsid w:val="00676606"/>
    <w:rsid w:val="00676A13"/>
    <w:rsid w:val="00676D6A"/>
    <w:rsid w:val="00677C8E"/>
    <w:rsid w:val="00682B72"/>
    <w:rsid w:val="00683146"/>
    <w:rsid w:val="00683BD5"/>
    <w:rsid w:val="006842D7"/>
    <w:rsid w:val="006847CD"/>
    <w:rsid w:val="00684C21"/>
    <w:rsid w:val="006852A0"/>
    <w:rsid w:val="00685BF0"/>
    <w:rsid w:val="00686F8D"/>
    <w:rsid w:val="00687CCB"/>
    <w:rsid w:val="00690041"/>
    <w:rsid w:val="00691354"/>
    <w:rsid w:val="00691BF0"/>
    <w:rsid w:val="00692CF3"/>
    <w:rsid w:val="00692F3C"/>
    <w:rsid w:val="00693482"/>
    <w:rsid w:val="00693AB1"/>
    <w:rsid w:val="00695E87"/>
    <w:rsid w:val="00696434"/>
    <w:rsid w:val="00696925"/>
    <w:rsid w:val="006975AC"/>
    <w:rsid w:val="0069794E"/>
    <w:rsid w:val="006A11DB"/>
    <w:rsid w:val="006A2530"/>
    <w:rsid w:val="006A4C76"/>
    <w:rsid w:val="006A5961"/>
    <w:rsid w:val="006A6A85"/>
    <w:rsid w:val="006B063B"/>
    <w:rsid w:val="006B1A7A"/>
    <w:rsid w:val="006B3021"/>
    <w:rsid w:val="006B45C4"/>
    <w:rsid w:val="006B4A01"/>
    <w:rsid w:val="006B6A3A"/>
    <w:rsid w:val="006B6E0D"/>
    <w:rsid w:val="006B6FDC"/>
    <w:rsid w:val="006B77AB"/>
    <w:rsid w:val="006B7853"/>
    <w:rsid w:val="006B7A46"/>
    <w:rsid w:val="006C2E32"/>
    <w:rsid w:val="006C2EBE"/>
    <w:rsid w:val="006C33F4"/>
    <w:rsid w:val="006C3589"/>
    <w:rsid w:val="006C3E11"/>
    <w:rsid w:val="006C4383"/>
    <w:rsid w:val="006C6426"/>
    <w:rsid w:val="006C6EFF"/>
    <w:rsid w:val="006C7BCA"/>
    <w:rsid w:val="006D07FC"/>
    <w:rsid w:val="006D0A15"/>
    <w:rsid w:val="006D0F6F"/>
    <w:rsid w:val="006D13AF"/>
    <w:rsid w:val="006D2A92"/>
    <w:rsid w:val="006D30B5"/>
    <w:rsid w:val="006D37AF"/>
    <w:rsid w:val="006D37B8"/>
    <w:rsid w:val="006D38CB"/>
    <w:rsid w:val="006D3B2D"/>
    <w:rsid w:val="006D4A07"/>
    <w:rsid w:val="006D51D0"/>
    <w:rsid w:val="006D52DE"/>
    <w:rsid w:val="006D5FB9"/>
    <w:rsid w:val="006D6407"/>
    <w:rsid w:val="006D658E"/>
    <w:rsid w:val="006D688F"/>
    <w:rsid w:val="006E1E6B"/>
    <w:rsid w:val="006E348B"/>
    <w:rsid w:val="006E4FE9"/>
    <w:rsid w:val="006E564B"/>
    <w:rsid w:val="006E58FB"/>
    <w:rsid w:val="006E5C44"/>
    <w:rsid w:val="006E5FB8"/>
    <w:rsid w:val="006E6350"/>
    <w:rsid w:val="006E7191"/>
    <w:rsid w:val="006E72FC"/>
    <w:rsid w:val="006E7439"/>
    <w:rsid w:val="006E7839"/>
    <w:rsid w:val="006E7E31"/>
    <w:rsid w:val="006F0D24"/>
    <w:rsid w:val="006F0FDB"/>
    <w:rsid w:val="006F19B4"/>
    <w:rsid w:val="006F1E8A"/>
    <w:rsid w:val="006F1F40"/>
    <w:rsid w:val="006F2755"/>
    <w:rsid w:val="006F38C8"/>
    <w:rsid w:val="006F51C4"/>
    <w:rsid w:val="006F7001"/>
    <w:rsid w:val="00700420"/>
    <w:rsid w:val="00700C40"/>
    <w:rsid w:val="0070193A"/>
    <w:rsid w:val="00702725"/>
    <w:rsid w:val="0070297A"/>
    <w:rsid w:val="00703577"/>
    <w:rsid w:val="007035E8"/>
    <w:rsid w:val="0070413B"/>
    <w:rsid w:val="007046DD"/>
    <w:rsid w:val="007048B0"/>
    <w:rsid w:val="00705894"/>
    <w:rsid w:val="00706600"/>
    <w:rsid w:val="00706637"/>
    <w:rsid w:val="00707A23"/>
    <w:rsid w:val="00707A48"/>
    <w:rsid w:val="00710E2B"/>
    <w:rsid w:val="007114E4"/>
    <w:rsid w:val="00712967"/>
    <w:rsid w:val="007131CC"/>
    <w:rsid w:val="00713B94"/>
    <w:rsid w:val="00713C69"/>
    <w:rsid w:val="007152B4"/>
    <w:rsid w:val="007166F1"/>
    <w:rsid w:val="00716AFF"/>
    <w:rsid w:val="00717D5C"/>
    <w:rsid w:val="00717D83"/>
    <w:rsid w:val="00720A17"/>
    <w:rsid w:val="00720BEA"/>
    <w:rsid w:val="00720E0F"/>
    <w:rsid w:val="007213B2"/>
    <w:rsid w:val="00722B9F"/>
    <w:rsid w:val="00723593"/>
    <w:rsid w:val="00724B85"/>
    <w:rsid w:val="007260AD"/>
    <w:rsid w:val="007261AD"/>
    <w:rsid w:val="0072632A"/>
    <w:rsid w:val="0072754B"/>
    <w:rsid w:val="00727C60"/>
    <w:rsid w:val="00727F0C"/>
    <w:rsid w:val="00730C5A"/>
    <w:rsid w:val="00730D50"/>
    <w:rsid w:val="007317B7"/>
    <w:rsid w:val="00731A40"/>
    <w:rsid w:val="007323E8"/>
    <w:rsid w:val="007327D5"/>
    <w:rsid w:val="00732F1D"/>
    <w:rsid w:val="00733800"/>
    <w:rsid w:val="0073660B"/>
    <w:rsid w:val="00737774"/>
    <w:rsid w:val="00737F4E"/>
    <w:rsid w:val="0074067B"/>
    <w:rsid w:val="0074261C"/>
    <w:rsid w:val="00742879"/>
    <w:rsid w:val="007428EB"/>
    <w:rsid w:val="00743494"/>
    <w:rsid w:val="00744F01"/>
    <w:rsid w:val="00745067"/>
    <w:rsid w:val="00745973"/>
    <w:rsid w:val="00745E03"/>
    <w:rsid w:val="007461C3"/>
    <w:rsid w:val="007469A3"/>
    <w:rsid w:val="00750A3F"/>
    <w:rsid w:val="00750CA5"/>
    <w:rsid w:val="00750D09"/>
    <w:rsid w:val="00750FF9"/>
    <w:rsid w:val="007516B6"/>
    <w:rsid w:val="00752623"/>
    <w:rsid w:val="0075459C"/>
    <w:rsid w:val="007550D0"/>
    <w:rsid w:val="007555D8"/>
    <w:rsid w:val="00756172"/>
    <w:rsid w:val="00756852"/>
    <w:rsid w:val="00756EBE"/>
    <w:rsid w:val="007573FE"/>
    <w:rsid w:val="0075756B"/>
    <w:rsid w:val="00757FA2"/>
    <w:rsid w:val="007609BF"/>
    <w:rsid w:val="007629C8"/>
    <w:rsid w:val="00763367"/>
    <w:rsid w:val="00763C27"/>
    <w:rsid w:val="00763E7E"/>
    <w:rsid w:val="00763EF7"/>
    <w:rsid w:val="00764076"/>
    <w:rsid w:val="00764D86"/>
    <w:rsid w:val="00764E4D"/>
    <w:rsid w:val="0076509D"/>
    <w:rsid w:val="00765339"/>
    <w:rsid w:val="0076547D"/>
    <w:rsid w:val="0076591E"/>
    <w:rsid w:val="0076610D"/>
    <w:rsid w:val="007662AF"/>
    <w:rsid w:val="00766547"/>
    <w:rsid w:val="0076683A"/>
    <w:rsid w:val="00767546"/>
    <w:rsid w:val="007676D7"/>
    <w:rsid w:val="00767AA0"/>
    <w:rsid w:val="0077047D"/>
    <w:rsid w:val="00770A47"/>
    <w:rsid w:val="00771498"/>
    <w:rsid w:val="007720D1"/>
    <w:rsid w:val="00772717"/>
    <w:rsid w:val="00772913"/>
    <w:rsid w:val="0077305D"/>
    <w:rsid w:val="007739AC"/>
    <w:rsid w:val="00773E2A"/>
    <w:rsid w:val="0077479C"/>
    <w:rsid w:val="00774A66"/>
    <w:rsid w:val="00774FD2"/>
    <w:rsid w:val="00775ED4"/>
    <w:rsid w:val="00775F9F"/>
    <w:rsid w:val="0077629A"/>
    <w:rsid w:val="007774F5"/>
    <w:rsid w:val="00777A4F"/>
    <w:rsid w:val="00777A82"/>
    <w:rsid w:val="007803A2"/>
    <w:rsid w:val="00781505"/>
    <w:rsid w:val="0078183B"/>
    <w:rsid w:val="00781C94"/>
    <w:rsid w:val="0078322A"/>
    <w:rsid w:val="00783315"/>
    <w:rsid w:val="0078391A"/>
    <w:rsid w:val="007847F6"/>
    <w:rsid w:val="007854FA"/>
    <w:rsid w:val="00785721"/>
    <w:rsid w:val="007865C4"/>
    <w:rsid w:val="007865CF"/>
    <w:rsid w:val="00786B70"/>
    <w:rsid w:val="00786BF9"/>
    <w:rsid w:val="00787D7F"/>
    <w:rsid w:val="0079066B"/>
    <w:rsid w:val="007925D9"/>
    <w:rsid w:val="00792B6A"/>
    <w:rsid w:val="00793A06"/>
    <w:rsid w:val="00793C96"/>
    <w:rsid w:val="00793FA6"/>
    <w:rsid w:val="00794810"/>
    <w:rsid w:val="00794E07"/>
    <w:rsid w:val="007954B6"/>
    <w:rsid w:val="00796215"/>
    <w:rsid w:val="007962FF"/>
    <w:rsid w:val="0079649D"/>
    <w:rsid w:val="007A01F6"/>
    <w:rsid w:val="007A0C21"/>
    <w:rsid w:val="007A3FCC"/>
    <w:rsid w:val="007A5119"/>
    <w:rsid w:val="007A6226"/>
    <w:rsid w:val="007A6CF3"/>
    <w:rsid w:val="007A6FF5"/>
    <w:rsid w:val="007A7904"/>
    <w:rsid w:val="007B3406"/>
    <w:rsid w:val="007B39C4"/>
    <w:rsid w:val="007B5485"/>
    <w:rsid w:val="007B54DF"/>
    <w:rsid w:val="007B5D07"/>
    <w:rsid w:val="007B63FB"/>
    <w:rsid w:val="007B6BA5"/>
    <w:rsid w:val="007B6E90"/>
    <w:rsid w:val="007B715C"/>
    <w:rsid w:val="007C02C9"/>
    <w:rsid w:val="007C06B9"/>
    <w:rsid w:val="007C0F0F"/>
    <w:rsid w:val="007C2263"/>
    <w:rsid w:val="007C3225"/>
    <w:rsid w:val="007C3390"/>
    <w:rsid w:val="007C33E7"/>
    <w:rsid w:val="007C3A5B"/>
    <w:rsid w:val="007C3A82"/>
    <w:rsid w:val="007C4BD7"/>
    <w:rsid w:val="007C4F4B"/>
    <w:rsid w:val="007C6205"/>
    <w:rsid w:val="007C6501"/>
    <w:rsid w:val="007C7EB5"/>
    <w:rsid w:val="007D0501"/>
    <w:rsid w:val="007D089A"/>
    <w:rsid w:val="007D1B26"/>
    <w:rsid w:val="007D2B14"/>
    <w:rsid w:val="007D2EE8"/>
    <w:rsid w:val="007D3417"/>
    <w:rsid w:val="007D3843"/>
    <w:rsid w:val="007D3AD0"/>
    <w:rsid w:val="007D4AE5"/>
    <w:rsid w:val="007D5D4B"/>
    <w:rsid w:val="007D6157"/>
    <w:rsid w:val="007D6594"/>
    <w:rsid w:val="007D7963"/>
    <w:rsid w:val="007D7DEE"/>
    <w:rsid w:val="007E01E9"/>
    <w:rsid w:val="007E11EC"/>
    <w:rsid w:val="007E1D74"/>
    <w:rsid w:val="007E2144"/>
    <w:rsid w:val="007E2F59"/>
    <w:rsid w:val="007E37A9"/>
    <w:rsid w:val="007E3D17"/>
    <w:rsid w:val="007E3EA3"/>
    <w:rsid w:val="007E4096"/>
    <w:rsid w:val="007E487A"/>
    <w:rsid w:val="007E4A70"/>
    <w:rsid w:val="007E55A9"/>
    <w:rsid w:val="007E63F3"/>
    <w:rsid w:val="007E6453"/>
    <w:rsid w:val="007E67CF"/>
    <w:rsid w:val="007E6946"/>
    <w:rsid w:val="007E6A9D"/>
    <w:rsid w:val="007F03E7"/>
    <w:rsid w:val="007F101F"/>
    <w:rsid w:val="007F1925"/>
    <w:rsid w:val="007F3687"/>
    <w:rsid w:val="007F379A"/>
    <w:rsid w:val="007F37C5"/>
    <w:rsid w:val="007F52AE"/>
    <w:rsid w:val="007F5314"/>
    <w:rsid w:val="007F5BDD"/>
    <w:rsid w:val="007F6611"/>
    <w:rsid w:val="007F663A"/>
    <w:rsid w:val="007F76D6"/>
    <w:rsid w:val="007F7E63"/>
    <w:rsid w:val="0080047F"/>
    <w:rsid w:val="00800C7C"/>
    <w:rsid w:val="00800E89"/>
    <w:rsid w:val="008018EB"/>
    <w:rsid w:val="008027B4"/>
    <w:rsid w:val="00803D5E"/>
    <w:rsid w:val="00803D76"/>
    <w:rsid w:val="00804488"/>
    <w:rsid w:val="00805E61"/>
    <w:rsid w:val="00806E08"/>
    <w:rsid w:val="0081032D"/>
    <w:rsid w:val="008109CF"/>
    <w:rsid w:val="008111D0"/>
    <w:rsid w:val="008113B9"/>
    <w:rsid w:val="00811920"/>
    <w:rsid w:val="00812162"/>
    <w:rsid w:val="00812229"/>
    <w:rsid w:val="00812331"/>
    <w:rsid w:val="008126DB"/>
    <w:rsid w:val="00812A6D"/>
    <w:rsid w:val="00812EC5"/>
    <w:rsid w:val="00813871"/>
    <w:rsid w:val="00813971"/>
    <w:rsid w:val="00814B1E"/>
    <w:rsid w:val="00815AD0"/>
    <w:rsid w:val="00815EDB"/>
    <w:rsid w:val="00820B0D"/>
    <w:rsid w:val="00820DC9"/>
    <w:rsid w:val="00821153"/>
    <w:rsid w:val="00822520"/>
    <w:rsid w:val="008242D7"/>
    <w:rsid w:val="00824D49"/>
    <w:rsid w:val="008257B1"/>
    <w:rsid w:val="00826D8B"/>
    <w:rsid w:val="00826F54"/>
    <w:rsid w:val="008301F9"/>
    <w:rsid w:val="0083031B"/>
    <w:rsid w:val="008309EF"/>
    <w:rsid w:val="00831536"/>
    <w:rsid w:val="00832334"/>
    <w:rsid w:val="00833723"/>
    <w:rsid w:val="00833B54"/>
    <w:rsid w:val="00833DED"/>
    <w:rsid w:val="00834119"/>
    <w:rsid w:val="008348B9"/>
    <w:rsid w:val="008348E6"/>
    <w:rsid w:val="008354FD"/>
    <w:rsid w:val="00835998"/>
    <w:rsid w:val="0083624D"/>
    <w:rsid w:val="008364DA"/>
    <w:rsid w:val="00836C95"/>
    <w:rsid w:val="00837079"/>
    <w:rsid w:val="00837BFE"/>
    <w:rsid w:val="00837DE4"/>
    <w:rsid w:val="00837E90"/>
    <w:rsid w:val="00840064"/>
    <w:rsid w:val="00840193"/>
    <w:rsid w:val="00840504"/>
    <w:rsid w:val="008407F6"/>
    <w:rsid w:val="00840A34"/>
    <w:rsid w:val="008415B8"/>
    <w:rsid w:val="0084182B"/>
    <w:rsid w:val="00841FCF"/>
    <w:rsid w:val="00842030"/>
    <w:rsid w:val="0084231C"/>
    <w:rsid w:val="00842523"/>
    <w:rsid w:val="00842E75"/>
    <w:rsid w:val="00843767"/>
    <w:rsid w:val="0084426C"/>
    <w:rsid w:val="0084472F"/>
    <w:rsid w:val="0084501B"/>
    <w:rsid w:val="00845E23"/>
    <w:rsid w:val="00847A4B"/>
    <w:rsid w:val="00850272"/>
    <w:rsid w:val="00851334"/>
    <w:rsid w:val="0085151E"/>
    <w:rsid w:val="0085174A"/>
    <w:rsid w:val="00852C76"/>
    <w:rsid w:val="00853631"/>
    <w:rsid w:val="00853A81"/>
    <w:rsid w:val="00853C38"/>
    <w:rsid w:val="0085456A"/>
    <w:rsid w:val="00854D61"/>
    <w:rsid w:val="00854FBE"/>
    <w:rsid w:val="0085526E"/>
    <w:rsid w:val="008556FB"/>
    <w:rsid w:val="00855A78"/>
    <w:rsid w:val="0086137A"/>
    <w:rsid w:val="008613AB"/>
    <w:rsid w:val="0086149F"/>
    <w:rsid w:val="0086166B"/>
    <w:rsid w:val="00864494"/>
    <w:rsid w:val="0086589A"/>
    <w:rsid w:val="00865DE3"/>
    <w:rsid w:val="00866185"/>
    <w:rsid w:val="0086663C"/>
    <w:rsid w:val="00866B6B"/>
    <w:rsid w:val="008679D9"/>
    <w:rsid w:val="00867A12"/>
    <w:rsid w:val="00870134"/>
    <w:rsid w:val="00871F0B"/>
    <w:rsid w:val="008726F6"/>
    <w:rsid w:val="00873853"/>
    <w:rsid w:val="00873C69"/>
    <w:rsid w:val="00873D72"/>
    <w:rsid w:val="00875F69"/>
    <w:rsid w:val="008761F6"/>
    <w:rsid w:val="00876DF8"/>
    <w:rsid w:val="00877219"/>
    <w:rsid w:val="0087760E"/>
    <w:rsid w:val="008823F0"/>
    <w:rsid w:val="008849ED"/>
    <w:rsid w:val="00884C48"/>
    <w:rsid w:val="0088505A"/>
    <w:rsid w:val="00885A81"/>
    <w:rsid w:val="00885FBE"/>
    <w:rsid w:val="00886BF0"/>
    <w:rsid w:val="00887754"/>
    <w:rsid w:val="008878DE"/>
    <w:rsid w:val="00887F93"/>
    <w:rsid w:val="00891689"/>
    <w:rsid w:val="00894D0E"/>
    <w:rsid w:val="00895560"/>
    <w:rsid w:val="0089689B"/>
    <w:rsid w:val="008977A9"/>
    <w:rsid w:val="008979B1"/>
    <w:rsid w:val="008A1593"/>
    <w:rsid w:val="008A172C"/>
    <w:rsid w:val="008A1ED5"/>
    <w:rsid w:val="008A2B13"/>
    <w:rsid w:val="008A4F6E"/>
    <w:rsid w:val="008A5811"/>
    <w:rsid w:val="008A6B25"/>
    <w:rsid w:val="008A6C4F"/>
    <w:rsid w:val="008A6E45"/>
    <w:rsid w:val="008A7774"/>
    <w:rsid w:val="008B1629"/>
    <w:rsid w:val="008B1E62"/>
    <w:rsid w:val="008B22E4"/>
    <w:rsid w:val="008B2335"/>
    <w:rsid w:val="008B28BE"/>
    <w:rsid w:val="008B2E36"/>
    <w:rsid w:val="008B3399"/>
    <w:rsid w:val="008B3601"/>
    <w:rsid w:val="008B4386"/>
    <w:rsid w:val="008B4451"/>
    <w:rsid w:val="008B4DF3"/>
    <w:rsid w:val="008B4F87"/>
    <w:rsid w:val="008B5861"/>
    <w:rsid w:val="008B5B43"/>
    <w:rsid w:val="008B5CD1"/>
    <w:rsid w:val="008B7696"/>
    <w:rsid w:val="008B7798"/>
    <w:rsid w:val="008C038C"/>
    <w:rsid w:val="008C2DE8"/>
    <w:rsid w:val="008C3834"/>
    <w:rsid w:val="008C47FF"/>
    <w:rsid w:val="008C4974"/>
    <w:rsid w:val="008C562B"/>
    <w:rsid w:val="008C6039"/>
    <w:rsid w:val="008C69B7"/>
    <w:rsid w:val="008C6EEA"/>
    <w:rsid w:val="008C7343"/>
    <w:rsid w:val="008C784D"/>
    <w:rsid w:val="008D03EF"/>
    <w:rsid w:val="008D0601"/>
    <w:rsid w:val="008D06F1"/>
    <w:rsid w:val="008D158C"/>
    <w:rsid w:val="008D19DC"/>
    <w:rsid w:val="008D2DB7"/>
    <w:rsid w:val="008D2DE0"/>
    <w:rsid w:val="008D4607"/>
    <w:rsid w:val="008D4FE1"/>
    <w:rsid w:val="008D5E35"/>
    <w:rsid w:val="008D6F70"/>
    <w:rsid w:val="008D78D4"/>
    <w:rsid w:val="008D7B41"/>
    <w:rsid w:val="008E0002"/>
    <w:rsid w:val="008E05E4"/>
    <w:rsid w:val="008E0678"/>
    <w:rsid w:val="008E0935"/>
    <w:rsid w:val="008E0B5E"/>
    <w:rsid w:val="008E0C20"/>
    <w:rsid w:val="008E173E"/>
    <w:rsid w:val="008E17B4"/>
    <w:rsid w:val="008E1ABE"/>
    <w:rsid w:val="008E20A3"/>
    <w:rsid w:val="008E2DD9"/>
    <w:rsid w:val="008E35A6"/>
    <w:rsid w:val="008E3761"/>
    <w:rsid w:val="008E4D81"/>
    <w:rsid w:val="008E59D5"/>
    <w:rsid w:val="008E60F7"/>
    <w:rsid w:val="008E61BB"/>
    <w:rsid w:val="008E7CCD"/>
    <w:rsid w:val="008F06CA"/>
    <w:rsid w:val="008F1D47"/>
    <w:rsid w:val="008F31D2"/>
    <w:rsid w:val="008F401D"/>
    <w:rsid w:val="008F5367"/>
    <w:rsid w:val="008F54BC"/>
    <w:rsid w:val="008F7888"/>
    <w:rsid w:val="008F7FD4"/>
    <w:rsid w:val="00900418"/>
    <w:rsid w:val="00900636"/>
    <w:rsid w:val="009007D3"/>
    <w:rsid w:val="00900813"/>
    <w:rsid w:val="009008ED"/>
    <w:rsid w:val="0090107B"/>
    <w:rsid w:val="00901712"/>
    <w:rsid w:val="00901F03"/>
    <w:rsid w:val="009046CE"/>
    <w:rsid w:val="00905F40"/>
    <w:rsid w:val="00907EB1"/>
    <w:rsid w:val="00907F78"/>
    <w:rsid w:val="009100C6"/>
    <w:rsid w:val="009119E5"/>
    <w:rsid w:val="0091316C"/>
    <w:rsid w:val="00914550"/>
    <w:rsid w:val="00914953"/>
    <w:rsid w:val="00915308"/>
    <w:rsid w:val="00915843"/>
    <w:rsid w:val="00915EF6"/>
    <w:rsid w:val="00915F64"/>
    <w:rsid w:val="009160C5"/>
    <w:rsid w:val="0091671B"/>
    <w:rsid w:val="00917696"/>
    <w:rsid w:val="00917ADA"/>
    <w:rsid w:val="00920220"/>
    <w:rsid w:val="00920433"/>
    <w:rsid w:val="0092104E"/>
    <w:rsid w:val="00921D37"/>
    <w:rsid w:val="00922348"/>
    <w:rsid w:val="009223CA"/>
    <w:rsid w:val="009227F7"/>
    <w:rsid w:val="009248C4"/>
    <w:rsid w:val="00925D14"/>
    <w:rsid w:val="00926520"/>
    <w:rsid w:val="0092711F"/>
    <w:rsid w:val="0092777E"/>
    <w:rsid w:val="00927F31"/>
    <w:rsid w:val="009315EF"/>
    <w:rsid w:val="00931B65"/>
    <w:rsid w:val="00931DBD"/>
    <w:rsid w:val="00931DD6"/>
    <w:rsid w:val="00932650"/>
    <w:rsid w:val="009327CA"/>
    <w:rsid w:val="00934275"/>
    <w:rsid w:val="0093623E"/>
    <w:rsid w:val="0093672C"/>
    <w:rsid w:val="00936DBC"/>
    <w:rsid w:val="00940147"/>
    <w:rsid w:val="009405E5"/>
    <w:rsid w:val="009407D7"/>
    <w:rsid w:val="00940F93"/>
    <w:rsid w:val="009410C5"/>
    <w:rsid w:val="009414BB"/>
    <w:rsid w:val="009416A2"/>
    <w:rsid w:val="009424A0"/>
    <w:rsid w:val="009437CF"/>
    <w:rsid w:val="009448C3"/>
    <w:rsid w:val="0094609F"/>
    <w:rsid w:val="00946AB1"/>
    <w:rsid w:val="009472D3"/>
    <w:rsid w:val="00950CE5"/>
    <w:rsid w:val="009524B5"/>
    <w:rsid w:val="00954292"/>
    <w:rsid w:val="00954E73"/>
    <w:rsid w:val="00956017"/>
    <w:rsid w:val="0095682A"/>
    <w:rsid w:val="00960526"/>
    <w:rsid w:val="00961881"/>
    <w:rsid w:val="00961F69"/>
    <w:rsid w:val="00962167"/>
    <w:rsid w:val="009633CD"/>
    <w:rsid w:val="00963F17"/>
    <w:rsid w:val="00964CA0"/>
    <w:rsid w:val="00964E21"/>
    <w:rsid w:val="009658EE"/>
    <w:rsid w:val="009667F7"/>
    <w:rsid w:val="00967F83"/>
    <w:rsid w:val="009708B2"/>
    <w:rsid w:val="00972372"/>
    <w:rsid w:val="009739A1"/>
    <w:rsid w:val="00974CD7"/>
    <w:rsid w:val="009760F3"/>
    <w:rsid w:val="00976CFB"/>
    <w:rsid w:val="009775BD"/>
    <w:rsid w:val="0097783B"/>
    <w:rsid w:val="0098183A"/>
    <w:rsid w:val="0098252D"/>
    <w:rsid w:val="00982709"/>
    <w:rsid w:val="00982ADD"/>
    <w:rsid w:val="00982FB3"/>
    <w:rsid w:val="00983C13"/>
    <w:rsid w:val="00983DAE"/>
    <w:rsid w:val="0098565A"/>
    <w:rsid w:val="00985C3E"/>
    <w:rsid w:val="00985FBA"/>
    <w:rsid w:val="00986AC9"/>
    <w:rsid w:val="00986C49"/>
    <w:rsid w:val="00987480"/>
    <w:rsid w:val="00987E94"/>
    <w:rsid w:val="00990AD6"/>
    <w:rsid w:val="00990C0C"/>
    <w:rsid w:val="0099306B"/>
    <w:rsid w:val="00993AA2"/>
    <w:rsid w:val="009954F0"/>
    <w:rsid w:val="00995A62"/>
    <w:rsid w:val="0099692C"/>
    <w:rsid w:val="00996C60"/>
    <w:rsid w:val="00997318"/>
    <w:rsid w:val="009A0830"/>
    <w:rsid w:val="009A0E8D"/>
    <w:rsid w:val="009A2822"/>
    <w:rsid w:val="009A423E"/>
    <w:rsid w:val="009A561B"/>
    <w:rsid w:val="009A6288"/>
    <w:rsid w:val="009A6B9E"/>
    <w:rsid w:val="009A79FC"/>
    <w:rsid w:val="009A7D2E"/>
    <w:rsid w:val="009B03AA"/>
    <w:rsid w:val="009B26E7"/>
    <w:rsid w:val="009B2EC3"/>
    <w:rsid w:val="009B3422"/>
    <w:rsid w:val="009B60EF"/>
    <w:rsid w:val="009B64BB"/>
    <w:rsid w:val="009B6700"/>
    <w:rsid w:val="009B6899"/>
    <w:rsid w:val="009B71D6"/>
    <w:rsid w:val="009B735B"/>
    <w:rsid w:val="009C039D"/>
    <w:rsid w:val="009C051D"/>
    <w:rsid w:val="009C0592"/>
    <w:rsid w:val="009C0E4F"/>
    <w:rsid w:val="009C1E39"/>
    <w:rsid w:val="009C3F31"/>
    <w:rsid w:val="009C5537"/>
    <w:rsid w:val="009C5539"/>
    <w:rsid w:val="009C5880"/>
    <w:rsid w:val="009C6FFF"/>
    <w:rsid w:val="009C743A"/>
    <w:rsid w:val="009D015D"/>
    <w:rsid w:val="009D040E"/>
    <w:rsid w:val="009D09AF"/>
    <w:rsid w:val="009D1057"/>
    <w:rsid w:val="009D10A7"/>
    <w:rsid w:val="009D24EC"/>
    <w:rsid w:val="009D5D8C"/>
    <w:rsid w:val="009D61EC"/>
    <w:rsid w:val="009D76E5"/>
    <w:rsid w:val="009D7727"/>
    <w:rsid w:val="009E00D9"/>
    <w:rsid w:val="009E0495"/>
    <w:rsid w:val="009E08B4"/>
    <w:rsid w:val="009E0FE6"/>
    <w:rsid w:val="009E1B35"/>
    <w:rsid w:val="009E2803"/>
    <w:rsid w:val="009E4498"/>
    <w:rsid w:val="009E4CA7"/>
    <w:rsid w:val="009E4D35"/>
    <w:rsid w:val="009E589D"/>
    <w:rsid w:val="009E6B4F"/>
    <w:rsid w:val="009E6FCD"/>
    <w:rsid w:val="009E70C0"/>
    <w:rsid w:val="009E7671"/>
    <w:rsid w:val="009E7972"/>
    <w:rsid w:val="009F0CCC"/>
    <w:rsid w:val="009F0DA1"/>
    <w:rsid w:val="009F1302"/>
    <w:rsid w:val="009F38C3"/>
    <w:rsid w:val="009F48C3"/>
    <w:rsid w:val="009F5149"/>
    <w:rsid w:val="009F5224"/>
    <w:rsid w:val="009F6F3D"/>
    <w:rsid w:val="009F71AD"/>
    <w:rsid w:val="009F72A8"/>
    <w:rsid w:val="009F7C7D"/>
    <w:rsid w:val="00A00697"/>
    <w:rsid w:val="00A00A3F"/>
    <w:rsid w:val="00A01489"/>
    <w:rsid w:val="00A02267"/>
    <w:rsid w:val="00A0266F"/>
    <w:rsid w:val="00A03CE7"/>
    <w:rsid w:val="00A04E7C"/>
    <w:rsid w:val="00A056CB"/>
    <w:rsid w:val="00A05CFB"/>
    <w:rsid w:val="00A0711D"/>
    <w:rsid w:val="00A0759F"/>
    <w:rsid w:val="00A07A4B"/>
    <w:rsid w:val="00A101C7"/>
    <w:rsid w:val="00A10A87"/>
    <w:rsid w:val="00A11FF5"/>
    <w:rsid w:val="00A13DD3"/>
    <w:rsid w:val="00A141B6"/>
    <w:rsid w:val="00A1498D"/>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1D8"/>
    <w:rsid w:val="00A3443C"/>
    <w:rsid w:val="00A351EE"/>
    <w:rsid w:val="00A35280"/>
    <w:rsid w:val="00A3529A"/>
    <w:rsid w:val="00A35BE0"/>
    <w:rsid w:val="00A35CE2"/>
    <w:rsid w:val="00A36F38"/>
    <w:rsid w:val="00A37A0A"/>
    <w:rsid w:val="00A4149D"/>
    <w:rsid w:val="00A422AB"/>
    <w:rsid w:val="00A4241C"/>
    <w:rsid w:val="00A42CA7"/>
    <w:rsid w:val="00A4310D"/>
    <w:rsid w:val="00A43C7B"/>
    <w:rsid w:val="00A4465E"/>
    <w:rsid w:val="00A44945"/>
    <w:rsid w:val="00A44F2F"/>
    <w:rsid w:val="00A456E2"/>
    <w:rsid w:val="00A471DA"/>
    <w:rsid w:val="00A5062C"/>
    <w:rsid w:val="00A50F2A"/>
    <w:rsid w:val="00A51214"/>
    <w:rsid w:val="00A52C48"/>
    <w:rsid w:val="00A547E1"/>
    <w:rsid w:val="00A55BD5"/>
    <w:rsid w:val="00A55E33"/>
    <w:rsid w:val="00A5639F"/>
    <w:rsid w:val="00A5648B"/>
    <w:rsid w:val="00A60403"/>
    <w:rsid w:val="00A6129C"/>
    <w:rsid w:val="00A61D36"/>
    <w:rsid w:val="00A623D3"/>
    <w:rsid w:val="00A631AE"/>
    <w:rsid w:val="00A639B7"/>
    <w:rsid w:val="00A649A7"/>
    <w:rsid w:val="00A649B3"/>
    <w:rsid w:val="00A651A6"/>
    <w:rsid w:val="00A656D2"/>
    <w:rsid w:val="00A65C1B"/>
    <w:rsid w:val="00A66466"/>
    <w:rsid w:val="00A67013"/>
    <w:rsid w:val="00A674A9"/>
    <w:rsid w:val="00A67F73"/>
    <w:rsid w:val="00A719D2"/>
    <w:rsid w:val="00A71F0C"/>
    <w:rsid w:val="00A723C0"/>
    <w:rsid w:val="00A72F22"/>
    <w:rsid w:val="00A7360F"/>
    <w:rsid w:val="00A73AA8"/>
    <w:rsid w:val="00A748A6"/>
    <w:rsid w:val="00A754C7"/>
    <w:rsid w:val="00A758AD"/>
    <w:rsid w:val="00A769F4"/>
    <w:rsid w:val="00A77480"/>
    <w:rsid w:val="00A776B4"/>
    <w:rsid w:val="00A81830"/>
    <w:rsid w:val="00A81BE6"/>
    <w:rsid w:val="00A81EAB"/>
    <w:rsid w:val="00A82239"/>
    <w:rsid w:val="00A82839"/>
    <w:rsid w:val="00A840A3"/>
    <w:rsid w:val="00A85DF2"/>
    <w:rsid w:val="00A90737"/>
    <w:rsid w:val="00A90B99"/>
    <w:rsid w:val="00A90D13"/>
    <w:rsid w:val="00A90DE7"/>
    <w:rsid w:val="00A91868"/>
    <w:rsid w:val="00A94361"/>
    <w:rsid w:val="00A9529E"/>
    <w:rsid w:val="00A95B8F"/>
    <w:rsid w:val="00A95BEA"/>
    <w:rsid w:val="00A9796D"/>
    <w:rsid w:val="00AA0970"/>
    <w:rsid w:val="00AA293C"/>
    <w:rsid w:val="00AA29D7"/>
    <w:rsid w:val="00AA2FAC"/>
    <w:rsid w:val="00AA4B8A"/>
    <w:rsid w:val="00AA6410"/>
    <w:rsid w:val="00AB0521"/>
    <w:rsid w:val="00AB1A14"/>
    <w:rsid w:val="00AB240F"/>
    <w:rsid w:val="00AB250F"/>
    <w:rsid w:val="00AB261B"/>
    <w:rsid w:val="00AB4161"/>
    <w:rsid w:val="00AB41C8"/>
    <w:rsid w:val="00AB4288"/>
    <w:rsid w:val="00AB4C23"/>
    <w:rsid w:val="00AB5A9D"/>
    <w:rsid w:val="00AB5F5D"/>
    <w:rsid w:val="00AB70D2"/>
    <w:rsid w:val="00AC0D6E"/>
    <w:rsid w:val="00AC0E4F"/>
    <w:rsid w:val="00AC1878"/>
    <w:rsid w:val="00AC1B9E"/>
    <w:rsid w:val="00AC2411"/>
    <w:rsid w:val="00AC25A6"/>
    <w:rsid w:val="00AC30CD"/>
    <w:rsid w:val="00AC33A9"/>
    <w:rsid w:val="00AC4A89"/>
    <w:rsid w:val="00AC516E"/>
    <w:rsid w:val="00AC5746"/>
    <w:rsid w:val="00AC6845"/>
    <w:rsid w:val="00AC6954"/>
    <w:rsid w:val="00AC7D6D"/>
    <w:rsid w:val="00AD026C"/>
    <w:rsid w:val="00AD0373"/>
    <w:rsid w:val="00AD03A4"/>
    <w:rsid w:val="00AD1875"/>
    <w:rsid w:val="00AD1CFE"/>
    <w:rsid w:val="00AD29B7"/>
    <w:rsid w:val="00AD4DE7"/>
    <w:rsid w:val="00AD57CC"/>
    <w:rsid w:val="00AD58C6"/>
    <w:rsid w:val="00AD67D2"/>
    <w:rsid w:val="00AD6867"/>
    <w:rsid w:val="00AD724C"/>
    <w:rsid w:val="00AD77E9"/>
    <w:rsid w:val="00AD7AFB"/>
    <w:rsid w:val="00AE1018"/>
    <w:rsid w:val="00AE227A"/>
    <w:rsid w:val="00AE22CC"/>
    <w:rsid w:val="00AE2978"/>
    <w:rsid w:val="00AE2BB4"/>
    <w:rsid w:val="00AE39E4"/>
    <w:rsid w:val="00AE4606"/>
    <w:rsid w:val="00AE55A3"/>
    <w:rsid w:val="00AE560E"/>
    <w:rsid w:val="00AE59F8"/>
    <w:rsid w:val="00AE6A56"/>
    <w:rsid w:val="00AE6AB2"/>
    <w:rsid w:val="00AF0DFA"/>
    <w:rsid w:val="00AF2D1C"/>
    <w:rsid w:val="00AF3519"/>
    <w:rsid w:val="00AF357D"/>
    <w:rsid w:val="00AF36DC"/>
    <w:rsid w:val="00AF4012"/>
    <w:rsid w:val="00AF5546"/>
    <w:rsid w:val="00B00550"/>
    <w:rsid w:val="00B02C77"/>
    <w:rsid w:val="00B02FA2"/>
    <w:rsid w:val="00B031B5"/>
    <w:rsid w:val="00B049D4"/>
    <w:rsid w:val="00B04DCB"/>
    <w:rsid w:val="00B056D3"/>
    <w:rsid w:val="00B056DD"/>
    <w:rsid w:val="00B059AF"/>
    <w:rsid w:val="00B06EEF"/>
    <w:rsid w:val="00B10359"/>
    <w:rsid w:val="00B109D1"/>
    <w:rsid w:val="00B10C68"/>
    <w:rsid w:val="00B10D3F"/>
    <w:rsid w:val="00B10F12"/>
    <w:rsid w:val="00B11162"/>
    <w:rsid w:val="00B111D2"/>
    <w:rsid w:val="00B11364"/>
    <w:rsid w:val="00B1181B"/>
    <w:rsid w:val="00B11EEC"/>
    <w:rsid w:val="00B12675"/>
    <w:rsid w:val="00B12F10"/>
    <w:rsid w:val="00B1333B"/>
    <w:rsid w:val="00B1482D"/>
    <w:rsid w:val="00B14952"/>
    <w:rsid w:val="00B16705"/>
    <w:rsid w:val="00B16D32"/>
    <w:rsid w:val="00B16DFC"/>
    <w:rsid w:val="00B1760A"/>
    <w:rsid w:val="00B20B03"/>
    <w:rsid w:val="00B21131"/>
    <w:rsid w:val="00B218D2"/>
    <w:rsid w:val="00B22890"/>
    <w:rsid w:val="00B23CFA"/>
    <w:rsid w:val="00B244D5"/>
    <w:rsid w:val="00B24531"/>
    <w:rsid w:val="00B25146"/>
    <w:rsid w:val="00B27584"/>
    <w:rsid w:val="00B2767A"/>
    <w:rsid w:val="00B30179"/>
    <w:rsid w:val="00B30213"/>
    <w:rsid w:val="00B30C42"/>
    <w:rsid w:val="00B30DCA"/>
    <w:rsid w:val="00B3152F"/>
    <w:rsid w:val="00B319F8"/>
    <w:rsid w:val="00B338F0"/>
    <w:rsid w:val="00B34597"/>
    <w:rsid w:val="00B34D13"/>
    <w:rsid w:val="00B35BBC"/>
    <w:rsid w:val="00B36F33"/>
    <w:rsid w:val="00B377F2"/>
    <w:rsid w:val="00B4014E"/>
    <w:rsid w:val="00B409FB"/>
    <w:rsid w:val="00B41E75"/>
    <w:rsid w:val="00B421C1"/>
    <w:rsid w:val="00B427F2"/>
    <w:rsid w:val="00B43E3F"/>
    <w:rsid w:val="00B44E1C"/>
    <w:rsid w:val="00B45C61"/>
    <w:rsid w:val="00B45E24"/>
    <w:rsid w:val="00B46376"/>
    <w:rsid w:val="00B4694E"/>
    <w:rsid w:val="00B47340"/>
    <w:rsid w:val="00B50083"/>
    <w:rsid w:val="00B51278"/>
    <w:rsid w:val="00B5155D"/>
    <w:rsid w:val="00B5297C"/>
    <w:rsid w:val="00B53402"/>
    <w:rsid w:val="00B5373D"/>
    <w:rsid w:val="00B53B42"/>
    <w:rsid w:val="00B53C21"/>
    <w:rsid w:val="00B54595"/>
    <w:rsid w:val="00B5479C"/>
    <w:rsid w:val="00B54B50"/>
    <w:rsid w:val="00B55C71"/>
    <w:rsid w:val="00B5602B"/>
    <w:rsid w:val="00B5625D"/>
    <w:rsid w:val="00B56B46"/>
    <w:rsid w:val="00B56CB9"/>
    <w:rsid w:val="00B56E4A"/>
    <w:rsid w:val="00B56E9C"/>
    <w:rsid w:val="00B57A44"/>
    <w:rsid w:val="00B57AF1"/>
    <w:rsid w:val="00B600BA"/>
    <w:rsid w:val="00B60CC2"/>
    <w:rsid w:val="00B60FA6"/>
    <w:rsid w:val="00B61227"/>
    <w:rsid w:val="00B6133E"/>
    <w:rsid w:val="00B61F8A"/>
    <w:rsid w:val="00B6265A"/>
    <w:rsid w:val="00B64112"/>
    <w:rsid w:val="00B64B1F"/>
    <w:rsid w:val="00B64E6B"/>
    <w:rsid w:val="00B64F90"/>
    <w:rsid w:val="00B6553F"/>
    <w:rsid w:val="00B660E2"/>
    <w:rsid w:val="00B6782E"/>
    <w:rsid w:val="00B67E40"/>
    <w:rsid w:val="00B70FB8"/>
    <w:rsid w:val="00B719DC"/>
    <w:rsid w:val="00B72040"/>
    <w:rsid w:val="00B722F6"/>
    <w:rsid w:val="00B72AAF"/>
    <w:rsid w:val="00B7392E"/>
    <w:rsid w:val="00B73ABD"/>
    <w:rsid w:val="00B7417C"/>
    <w:rsid w:val="00B74AC2"/>
    <w:rsid w:val="00B754B4"/>
    <w:rsid w:val="00B75BBF"/>
    <w:rsid w:val="00B77D05"/>
    <w:rsid w:val="00B802AB"/>
    <w:rsid w:val="00B80410"/>
    <w:rsid w:val="00B80510"/>
    <w:rsid w:val="00B80543"/>
    <w:rsid w:val="00B805BA"/>
    <w:rsid w:val="00B807FB"/>
    <w:rsid w:val="00B810DA"/>
    <w:rsid w:val="00B81206"/>
    <w:rsid w:val="00B81865"/>
    <w:rsid w:val="00B81D4A"/>
    <w:rsid w:val="00B81E12"/>
    <w:rsid w:val="00B81F11"/>
    <w:rsid w:val="00B824E3"/>
    <w:rsid w:val="00B84455"/>
    <w:rsid w:val="00B86995"/>
    <w:rsid w:val="00B87585"/>
    <w:rsid w:val="00B90E14"/>
    <w:rsid w:val="00B919E8"/>
    <w:rsid w:val="00B92EB7"/>
    <w:rsid w:val="00B94084"/>
    <w:rsid w:val="00B948BF"/>
    <w:rsid w:val="00B95FCD"/>
    <w:rsid w:val="00B96FA2"/>
    <w:rsid w:val="00B9731C"/>
    <w:rsid w:val="00BA0553"/>
    <w:rsid w:val="00BA1175"/>
    <w:rsid w:val="00BA186D"/>
    <w:rsid w:val="00BA1D7F"/>
    <w:rsid w:val="00BA3140"/>
    <w:rsid w:val="00BA3D0B"/>
    <w:rsid w:val="00BA5F63"/>
    <w:rsid w:val="00BA6479"/>
    <w:rsid w:val="00BA666C"/>
    <w:rsid w:val="00BA6682"/>
    <w:rsid w:val="00BA7E58"/>
    <w:rsid w:val="00BB07E3"/>
    <w:rsid w:val="00BB15E2"/>
    <w:rsid w:val="00BB18BD"/>
    <w:rsid w:val="00BB34EF"/>
    <w:rsid w:val="00BB3A38"/>
    <w:rsid w:val="00BB3BCC"/>
    <w:rsid w:val="00BB4DD1"/>
    <w:rsid w:val="00BB5A77"/>
    <w:rsid w:val="00BB6965"/>
    <w:rsid w:val="00BB6AD4"/>
    <w:rsid w:val="00BB6E7F"/>
    <w:rsid w:val="00BB7A2B"/>
    <w:rsid w:val="00BB7E9D"/>
    <w:rsid w:val="00BC05EB"/>
    <w:rsid w:val="00BC0D6F"/>
    <w:rsid w:val="00BC0FF7"/>
    <w:rsid w:val="00BC1E70"/>
    <w:rsid w:val="00BC2749"/>
    <w:rsid w:val="00BC3196"/>
    <w:rsid w:val="00BC3862"/>
    <w:rsid w:val="00BC3FA0"/>
    <w:rsid w:val="00BC4DD0"/>
    <w:rsid w:val="00BC53CC"/>
    <w:rsid w:val="00BC53DF"/>
    <w:rsid w:val="00BC53ED"/>
    <w:rsid w:val="00BC5899"/>
    <w:rsid w:val="00BC5F11"/>
    <w:rsid w:val="00BC74E9"/>
    <w:rsid w:val="00BC77C7"/>
    <w:rsid w:val="00BC786C"/>
    <w:rsid w:val="00BD148D"/>
    <w:rsid w:val="00BD14D5"/>
    <w:rsid w:val="00BD15DE"/>
    <w:rsid w:val="00BD200E"/>
    <w:rsid w:val="00BD28FC"/>
    <w:rsid w:val="00BD36C2"/>
    <w:rsid w:val="00BD3C52"/>
    <w:rsid w:val="00BD577F"/>
    <w:rsid w:val="00BD5B30"/>
    <w:rsid w:val="00BD5C17"/>
    <w:rsid w:val="00BD65F7"/>
    <w:rsid w:val="00BD7693"/>
    <w:rsid w:val="00BE0C8A"/>
    <w:rsid w:val="00BE16A2"/>
    <w:rsid w:val="00BE17A5"/>
    <w:rsid w:val="00BE1BD1"/>
    <w:rsid w:val="00BE233D"/>
    <w:rsid w:val="00BE3738"/>
    <w:rsid w:val="00BE3DEB"/>
    <w:rsid w:val="00BE607D"/>
    <w:rsid w:val="00BE6174"/>
    <w:rsid w:val="00BE6885"/>
    <w:rsid w:val="00BE6DE8"/>
    <w:rsid w:val="00BE767F"/>
    <w:rsid w:val="00BE790C"/>
    <w:rsid w:val="00BE7B51"/>
    <w:rsid w:val="00BF0CC5"/>
    <w:rsid w:val="00BF140B"/>
    <w:rsid w:val="00BF2352"/>
    <w:rsid w:val="00BF337D"/>
    <w:rsid w:val="00BF4318"/>
    <w:rsid w:val="00BF4426"/>
    <w:rsid w:val="00BF5588"/>
    <w:rsid w:val="00BF68A8"/>
    <w:rsid w:val="00C009C6"/>
    <w:rsid w:val="00C01E5F"/>
    <w:rsid w:val="00C0223B"/>
    <w:rsid w:val="00C03C11"/>
    <w:rsid w:val="00C04025"/>
    <w:rsid w:val="00C04A51"/>
    <w:rsid w:val="00C04CE9"/>
    <w:rsid w:val="00C0611A"/>
    <w:rsid w:val="00C062DE"/>
    <w:rsid w:val="00C07DC9"/>
    <w:rsid w:val="00C10136"/>
    <w:rsid w:val="00C11A03"/>
    <w:rsid w:val="00C11EED"/>
    <w:rsid w:val="00C1355C"/>
    <w:rsid w:val="00C13EE3"/>
    <w:rsid w:val="00C14D71"/>
    <w:rsid w:val="00C171E2"/>
    <w:rsid w:val="00C17565"/>
    <w:rsid w:val="00C17C00"/>
    <w:rsid w:val="00C20B2C"/>
    <w:rsid w:val="00C2189C"/>
    <w:rsid w:val="00C22C0C"/>
    <w:rsid w:val="00C22E3D"/>
    <w:rsid w:val="00C23626"/>
    <w:rsid w:val="00C24065"/>
    <w:rsid w:val="00C24776"/>
    <w:rsid w:val="00C2547F"/>
    <w:rsid w:val="00C263E3"/>
    <w:rsid w:val="00C2709D"/>
    <w:rsid w:val="00C277BB"/>
    <w:rsid w:val="00C27AD6"/>
    <w:rsid w:val="00C27AE2"/>
    <w:rsid w:val="00C309F9"/>
    <w:rsid w:val="00C30B56"/>
    <w:rsid w:val="00C31C71"/>
    <w:rsid w:val="00C31CB4"/>
    <w:rsid w:val="00C34099"/>
    <w:rsid w:val="00C34FD4"/>
    <w:rsid w:val="00C3568B"/>
    <w:rsid w:val="00C35811"/>
    <w:rsid w:val="00C36761"/>
    <w:rsid w:val="00C40775"/>
    <w:rsid w:val="00C40777"/>
    <w:rsid w:val="00C41FA0"/>
    <w:rsid w:val="00C422E5"/>
    <w:rsid w:val="00C425BA"/>
    <w:rsid w:val="00C42C9B"/>
    <w:rsid w:val="00C442D3"/>
    <w:rsid w:val="00C44A45"/>
    <w:rsid w:val="00C44F52"/>
    <w:rsid w:val="00C45199"/>
    <w:rsid w:val="00C4527F"/>
    <w:rsid w:val="00C45E4C"/>
    <w:rsid w:val="00C45E9C"/>
    <w:rsid w:val="00C46050"/>
    <w:rsid w:val="00C4624E"/>
    <w:rsid w:val="00C463DD"/>
    <w:rsid w:val="00C469B7"/>
    <w:rsid w:val="00C46EEF"/>
    <w:rsid w:val="00C4724C"/>
    <w:rsid w:val="00C47F27"/>
    <w:rsid w:val="00C47FFB"/>
    <w:rsid w:val="00C50207"/>
    <w:rsid w:val="00C5060C"/>
    <w:rsid w:val="00C50B08"/>
    <w:rsid w:val="00C5259E"/>
    <w:rsid w:val="00C549EE"/>
    <w:rsid w:val="00C57506"/>
    <w:rsid w:val="00C5760F"/>
    <w:rsid w:val="00C6069D"/>
    <w:rsid w:val="00C60758"/>
    <w:rsid w:val="00C60770"/>
    <w:rsid w:val="00C623B5"/>
    <w:rsid w:val="00C629A0"/>
    <w:rsid w:val="00C6307D"/>
    <w:rsid w:val="00C632C9"/>
    <w:rsid w:val="00C63EF6"/>
    <w:rsid w:val="00C64629"/>
    <w:rsid w:val="00C64690"/>
    <w:rsid w:val="00C6688C"/>
    <w:rsid w:val="00C67F81"/>
    <w:rsid w:val="00C70D4F"/>
    <w:rsid w:val="00C71293"/>
    <w:rsid w:val="00C716B0"/>
    <w:rsid w:val="00C72CDC"/>
    <w:rsid w:val="00C73188"/>
    <w:rsid w:val="00C733F7"/>
    <w:rsid w:val="00C73BC0"/>
    <w:rsid w:val="00C745C3"/>
    <w:rsid w:val="00C74878"/>
    <w:rsid w:val="00C763AE"/>
    <w:rsid w:val="00C810B0"/>
    <w:rsid w:val="00C83F55"/>
    <w:rsid w:val="00C8466B"/>
    <w:rsid w:val="00C870F9"/>
    <w:rsid w:val="00C87E71"/>
    <w:rsid w:val="00C901AE"/>
    <w:rsid w:val="00C903C1"/>
    <w:rsid w:val="00C92B9F"/>
    <w:rsid w:val="00C93507"/>
    <w:rsid w:val="00C93939"/>
    <w:rsid w:val="00C93C01"/>
    <w:rsid w:val="00C943F6"/>
    <w:rsid w:val="00C950D7"/>
    <w:rsid w:val="00C967F4"/>
    <w:rsid w:val="00C968D8"/>
    <w:rsid w:val="00C96AA4"/>
    <w:rsid w:val="00C96DF2"/>
    <w:rsid w:val="00C97F44"/>
    <w:rsid w:val="00CA0FC7"/>
    <w:rsid w:val="00CA2644"/>
    <w:rsid w:val="00CA279D"/>
    <w:rsid w:val="00CA300D"/>
    <w:rsid w:val="00CA7249"/>
    <w:rsid w:val="00CA7D36"/>
    <w:rsid w:val="00CA7FB8"/>
    <w:rsid w:val="00CB0E97"/>
    <w:rsid w:val="00CB1212"/>
    <w:rsid w:val="00CB1ADF"/>
    <w:rsid w:val="00CB30FE"/>
    <w:rsid w:val="00CB3A47"/>
    <w:rsid w:val="00CB3E03"/>
    <w:rsid w:val="00CB76F5"/>
    <w:rsid w:val="00CC06FA"/>
    <w:rsid w:val="00CC0E13"/>
    <w:rsid w:val="00CC0FBB"/>
    <w:rsid w:val="00CC0FC9"/>
    <w:rsid w:val="00CC36EE"/>
    <w:rsid w:val="00CC3D33"/>
    <w:rsid w:val="00CC4375"/>
    <w:rsid w:val="00CC4F65"/>
    <w:rsid w:val="00CC77C2"/>
    <w:rsid w:val="00CC7B77"/>
    <w:rsid w:val="00CC7E16"/>
    <w:rsid w:val="00CD327F"/>
    <w:rsid w:val="00CD38D7"/>
    <w:rsid w:val="00CD40B3"/>
    <w:rsid w:val="00CD4AA6"/>
    <w:rsid w:val="00CD5242"/>
    <w:rsid w:val="00CD53EF"/>
    <w:rsid w:val="00CD57AE"/>
    <w:rsid w:val="00CD597F"/>
    <w:rsid w:val="00CD5FF9"/>
    <w:rsid w:val="00CD6693"/>
    <w:rsid w:val="00CD6E69"/>
    <w:rsid w:val="00CD769D"/>
    <w:rsid w:val="00CD79CE"/>
    <w:rsid w:val="00CD7AAD"/>
    <w:rsid w:val="00CE0565"/>
    <w:rsid w:val="00CE0EF7"/>
    <w:rsid w:val="00CE26B2"/>
    <w:rsid w:val="00CE46AC"/>
    <w:rsid w:val="00CE4A8F"/>
    <w:rsid w:val="00CE515D"/>
    <w:rsid w:val="00CE59BD"/>
    <w:rsid w:val="00CE617B"/>
    <w:rsid w:val="00CE6378"/>
    <w:rsid w:val="00CE654D"/>
    <w:rsid w:val="00CE7E9E"/>
    <w:rsid w:val="00CF0F59"/>
    <w:rsid w:val="00CF1D78"/>
    <w:rsid w:val="00CF3E42"/>
    <w:rsid w:val="00CF4777"/>
    <w:rsid w:val="00CF4C95"/>
    <w:rsid w:val="00CF5001"/>
    <w:rsid w:val="00CF538E"/>
    <w:rsid w:val="00CF627A"/>
    <w:rsid w:val="00CF7989"/>
    <w:rsid w:val="00D0135F"/>
    <w:rsid w:val="00D040AF"/>
    <w:rsid w:val="00D0413F"/>
    <w:rsid w:val="00D04D88"/>
    <w:rsid w:val="00D04FD5"/>
    <w:rsid w:val="00D056F3"/>
    <w:rsid w:val="00D05DD0"/>
    <w:rsid w:val="00D05E8E"/>
    <w:rsid w:val="00D078D1"/>
    <w:rsid w:val="00D07D46"/>
    <w:rsid w:val="00D12AE8"/>
    <w:rsid w:val="00D158D8"/>
    <w:rsid w:val="00D15B58"/>
    <w:rsid w:val="00D15BEB"/>
    <w:rsid w:val="00D17A8A"/>
    <w:rsid w:val="00D2031B"/>
    <w:rsid w:val="00D208B9"/>
    <w:rsid w:val="00D21412"/>
    <w:rsid w:val="00D216D4"/>
    <w:rsid w:val="00D22280"/>
    <w:rsid w:val="00D2232A"/>
    <w:rsid w:val="00D2242F"/>
    <w:rsid w:val="00D23CA2"/>
    <w:rsid w:val="00D23CE0"/>
    <w:rsid w:val="00D23F63"/>
    <w:rsid w:val="00D24527"/>
    <w:rsid w:val="00D248B6"/>
    <w:rsid w:val="00D2555A"/>
    <w:rsid w:val="00D256AF"/>
    <w:rsid w:val="00D25FE2"/>
    <w:rsid w:val="00D26546"/>
    <w:rsid w:val="00D26E07"/>
    <w:rsid w:val="00D272ED"/>
    <w:rsid w:val="00D278FA"/>
    <w:rsid w:val="00D279FF"/>
    <w:rsid w:val="00D27C71"/>
    <w:rsid w:val="00D30125"/>
    <w:rsid w:val="00D3038E"/>
    <w:rsid w:val="00D30F94"/>
    <w:rsid w:val="00D314FE"/>
    <w:rsid w:val="00D32826"/>
    <w:rsid w:val="00D3414E"/>
    <w:rsid w:val="00D34521"/>
    <w:rsid w:val="00D345AF"/>
    <w:rsid w:val="00D34710"/>
    <w:rsid w:val="00D34FB8"/>
    <w:rsid w:val="00D35AC7"/>
    <w:rsid w:val="00D36297"/>
    <w:rsid w:val="00D3767C"/>
    <w:rsid w:val="00D3773A"/>
    <w:rsid w:val="00D40583"/>
    <w:rsid w:val="00D40D77"/>
    <w:rsid w:val="00D42B9B"/>
    <w:rsid w:val="00D42C72"/>
    <w:rsid w:val="00D42F77"/>
    <w:rsid w:val="00D43252"/>
    <w:rsid w:val="00D442AB"/>
    <w:rsid w:val="00D444F1"/>
    <w:rsid w:val="00D445EE"/>
    <w:rsid w:val="00D44762"/>
    <w:rsid w:val="00D45100"/>
    <w:rsid w:val="00D46813"/>
    <w:rsid w:val="00D472E5"/>
    <w:rsid w:val="00D4751F"/>
    <w:rsid w:val="00D4765E"/>
    <w:rsid w:val="00D47EE6"/>
    <w:rsid w:val="00D47EEA"/>
    <w:rsid w:val="00D51A4C"/>
    <w:rsid w:val="00D51EB2"/>
    <w:rsid w:val="00D520E6"/>
    <w:rsid w:val="00D52783"/>
    <w:rsid w:val="00D528EF"/>
    <w:rsid w:val="00D52CE6"/>
    <w:rsid w:val="00D53FFA"/>
    <w:rsid w:val="00D57ED5"/>
    <w:rsid w:val="00D57FB9"/>
    <w:rsid w:val="00D613A3"/>
    <w:rsid w:val="00D61FEE"/>
    <w:rsid w:val="00D62BFB"/>
    <w:rsid w:val="00D62F52"/>
    <w:rsid w:val="00D6337B"/>
    <w:rsid w:val="00D647E9"/>
    <w:rsid w:val="00D64DF8"/>
    <w:rsid w:val="00D6700D"/>
    <w:rsid w:val="00D673EA"/>
    <w:rsid w:val="00D67436"/>
    <w:rsid w:val="00D6798A"/>
    <w:rsid w:val="00D67D03"/>
    <w:rsid w:val="00D7002B"/>
    <w:rsid w:val="00D709B4"/>
    <w:rsid w:val="00D70C52"/>
    <w:rsid w:val="00D72E17"/>
    <w:rsid w:val="00D73AE1"/>
    <w:rsid w:val="00D74EAB"/>
    <w:rsid w:val="00D7515A"/>
    <w:rsid w:val="00D75759"/>
    <w:rsid w:val="00D75CA9"/>
    <w:rsid w:val="00D773DF"/>
    <w:rsid w:val="00D779C2"/>
    <w:rsid w:val="00D8007F"/>
    <w:rsid w:val="00D82135"/>
    <w:rsid w:val="00D82315"/>
    <w:rsid w:val="00D83A6A"/>
    <w:rsid w:val="00D84A44"/>
    <w:rsid w:val="00D84AF8"/>
    <w:rsid w:val="00D84CFC"/>
    <w:rsid w:val="00D84EA7"/>
    <w:rsid w:val="00D86C2C"/>
    <w:rsid w:val="00D90364"/>
    <w:rsid w:val="00D90BEA"/>
    <w:rsid w:val="00D90C8A"/>
    <w:rsid w:val="00D9137D"/>
    <w:rsid w:val="00D91419"/>
    <w:rsid w:val="00D9199A"/>
    <w:rsid w:val="00D9236B"/>
    <w:rsid w:val="00D932C1"/>
    <w:rsid w:val="00D9377E"/>
    <w:rsid w:val="00D95303"/>
    <w:rsid w:val="00D955F6"/>
    <w:rsid w:val="00D978C6"/>
    <w:rsid w:val="00DA0613"/>
    <w:rsid w:val="00DA0EC5"/>
    <w:rsid w:val="00DA153F"/>
    <w:rsid w:val="00DA1BFA"/>
    <w:rsid w:val="00DA3C1C"/>
    <w:rsid w:val="00DA43B4"/>
    <w:rsid w:val="00DA4BB1"/>
    <w:rsid w:val="00DA707E"/>
    <w:rsid w:val="00DA71CD"/>
    <w:rsid w:val="00DA7C26"/>
    <w:rsid w:val="00DA7DAB"/>
    <w:rsid w:val="00DB05B4"/>
    <w:rsid w:val="00DB1739"/>
    <w:rsid w:val="00DB1D81"/>
    <w:rsid w:val="00DB3352"/>
    <w:rsid w:val="00DB4D6D"/>
    <w:rsid w:val="00DB5691"/>
    <w:rsid w:val="00DB5CBF"/>
    <w:rsid w:val="00DB600C"/>
    <w:rsid w:val="00DB6FFF"/>
    <w:rsid w:val="00DB7358"/>
    <w:rsid w:val="00DB7AF6"/>
    <w:rsid w:val="00DC0FFA"/>
    <w:rsid w:val="00DC1DA1"/>
    <w:rsid w:val="00DC25A7"/>
    <w:rsid w:val="00DC2616"/>
    <w:rsid w:val="00DC293F"/>
    <w:rsid w:val="00DC2D48"/>
    <w:rsid w:val="00DC2F83"/>
    <w:rsid w:val="00DC44AC"/>
    <w:rsid w:val="00DC4F9C"/>
    <w:rsid w:val="00DC50BD"/>
    <w:rsid w:val="00DC5899"/>
    <w:rsid w:val="00DC6CFB"/>
    <w:rsid w:val="00DC6D39"/>
    <w:rsid w:val="00DC7476"/>
    <w:rsid w:val="00DC78BD"/>
    <w:rsid w:val="00DD0844"/>
    <w:rsid w:val="00DD1747"/>
    <w:rsid w:val="00DD1B11"/>
    <w:rsid w:val="00DD2D65"/>
    <w:rsid w:val="00DD2DA8"/>
    <w:rsid w:val="00DD325E"/>
    <w:rsid w:val="00DD3D54"/>
    <w:rsid w:val="00DD4068"/>
    <w:rsid w:val="00DD469F"/>
    <w:rsid w:val="00DD4716"/>
    <w:rsid w:val="00DD52EA"/>
    <w:rsid w:val="00DD71DB"/>
    <w:rsid w:val="00DD7523"/>
    <w:rsid w:val="00DD7B1B"/>
    <w:rsid w:val="00DE0585"/>
    <w:rsid w:val="00DE09DD"/>
    <w:rsid w:val="00DE1652"/>
    <w:rsid w:val="00DE1C22"/>
    <w:rsid w:val="00DE21CB"/>
    <w:rsid w:val="00DE2B03"/>
    <w:rsid w:val="00DE2C48"/>
    <w:rsid w:val="00DE3866"/>
    <w:rsid w:val="00DE3B91"/>
    <w:rsid w:val="00DE48ED"/>
    <w:rsid w:val="00DE5A86"/>
    <w:rsid w:val="00DE6172"/>
    <w:rsid w:val="00DE6C7C"/>
    <w:rsid w:val="00DE749B"/>
    <w:rsid w:val="00DE76B5"/>
    <w:rsid w:val="00DF00EB"/>
    <w:rsid w:val="00DF0129"/>
    <w:rsid w:val="00DF2658"/>
    <w:rsid w:val="00DF5859"/>
    <w:rsid w:val="00DF63AF"/>
    <w:rsid w:val="00DF6FDC"/>
    <w:rsid w:val="00DF7705"/>
    <w:rsid w:val="00DF774E"/>
    <w:rsid w:val="00DF77BE"/>
    <w:rsid w:val="00E01128"/>
    <w:rsid w:val="00E0189D"/>
    <w:rsid w:val="00E01AB3"/>
    <w:rsid w:val="00E01DE5"/>
    <w:rsid w:val="00E022E9"/>
    <w:rsid w:val="00E0351E"/>
    <w:rsid w:val="00E039DD"/>
    <w:rsid w:val="00E03D58"/>
    <w:rsid w:val="00E046DF"/>
    <w:rsid w:val="00E058DA"/>
    <w:rsid w:val="00E05AB4"/>
    <w:rsid w:val="00E0675C"/>
    <w:rsid w:val="00E07A95"/>
    <w:rsid w:val="00E126B4"/>
    <w:rsid w:val="00E12A5A"/>
    <w:rsid w:val="00E12D6D"/>
    <w:rsid w:val="00E139F3"/>
    <w:rsid w:val="00E145E6"/>
    <w:rsid w:val="00E14A59"/>
    <w:rsid w:val="00E1648E"/>
    <w:rsid w:val="00E1712C"/>
    <w:rsid w:val="00E17856"/>
    <w:rsid w:val="00E178D5"/>
    <w:rsid w:val="00E17985"/>
    <w:rsid w:val="00E17A0B"/>
    <w:rsid w:val="00E17ED0"/>
    <w:rsid w:val="00E212AA"/>
    <w:rsid w:val="00E228EE"/>
    <w:rsid w:val="00E22B0C"/>
    <w:rsid w:val="00E23702"/>
    <w:rsid w:val="00E23B6F"/>
    <w:rsid w:val="00E2446D"/>
    <w:rsid w:val="00E24DF9"/>
    <w:rsid w:val="00E2553A"/>
    <w:rsid w:val="00E2584C"/>
    <w:rsid w:val="00E2648B"/>
    <w:rsid w:val="00E26D78"/>
    <w:rsid w:val="00E27346"/>
    <w:rsid w:val="00E273B6"/>
    <w:rsid w:val="00E27B01"/>
    <w:rsid w:val="00E30B0D"/>
    <w:rsid w:val="00E30C77"/>
    <w:rsid w:val="00E31B6F"/>
    <w:rsid w:val="00E32298"/>
    <w:rsid w:val="00E323B9"/>
    <w:rsid w:val="00E32D12"/>
    <w:rsid w:val="00E33A88"/>
    <w:rsid w:val="00E33BA2"/>
    <w:rsid w:val="00E34FE6"/>
    <w:rsid w:val="00E35376"/>
    <w:rsid w:val="00E370DF"/>
    <w:rsid w:val="00E37CBC"/>
    <w:rsid w:val="00E40306"/>
    <w:rsid w:val="00E40A45"/>
    <w:rsid w:val="00E41258"/>
    <w:rsid w:val="00E41C16"/>
    <w:rsid w:val="00E422BC"/>
    <w:rsid w:val="00E44E28"/>
    <w:rsid w:val="00E45CA7"/>
    <w:rsid w:val="00E4763C"/>
    <w:rsid w:val="00E50E14"/>
    <w:rsid w:val="00E5290C"/>
    <w:rsid w:val="00E5367D"/>
    <w:rsid w:val="00E536AE"/>
    <w:rsid w:val="00E53D46"/>
    <w:rsid w:val="00E53EBA"/>
    <w:rsid w:val="00E55BEA"/>
    <w:rsid w:val="00E560CA"/>
    <w:rsid w:val="00E57515"/>
    <w:rsid w:val="00E57BA2"/>
    <w:rsid w:val="00E617C8"/>
    <w:rsid w:val="00E623CD"/>
    <w:rsid w:val="00E62E2C"/>
    <w:rsid w:val="00E63B25"/>
    <w:rsid w:val="00E63C29"/>
    <w:rsid w:val="00E657F2"/>
    <w:rsid w:val="00E659CA"/>
    <w:rsid w:val="00E660F6"/>
    <w:rsid w:val="00E679B1"/>
    <w:rsid w:val="00E701BF"/>
    <w:rsid w:val="00E709C5"/>
    <w:rsid w:val="00E71565"/>
    <w:rsid w:val="00E7157A"/>
    <w:rsid w:val="00E71BC8"/>
    <w:rsid w:val="00E7260F"/>
    <w:rsid w:val="00E72B6A"/>
    <w:rsid w:val="00E73595"/>
    <w:rsid w:val="00E73F5D"/>
    <w:rsid w:val="00E74C75"/>
    <w:rsid w:val="00E76010"/>
    <w:rsid w:val="00E7711C"/>
    <w:rsid w:val="00E7753B"/>
    <w:rsid w:val="00E77E4E"/>
    <w:rsid w:val="00E805F4"/>
    <w:rsid w:val="00E805FD"/>
    <w:rsid w:val="00E82434"/>
    <w:rsid w:val="00E83DF5"/>
    <w:rsid w:val="00E8566B"/>
    <w:rsid w:val="00E86016"/>
    <w:rsid w:val="00E87858"/>
    <w:rsid w:val="00E905FE"/>
    <w:rsid w:val="00E91053"/>
    <w:rsid w:val="00E915DC"/>
    <w:rsid w:val="00E91E08"/>
    <w:rsid w:val="00E92643"/>
    <w:rsid w:val="00E9350D"/>
    <w:rsid w:val="00E936BB"/>
    <w:rsid w:val="00E939B7"/>
    <w:rsid w:val="00E954F8"/>
    <w:rsid w:val="00E95526"/>
    <w:rsid w:val="00E9580C"/>
    <w:rsid w:val="00E95831"/>
    <w:rsid w:val="00E95DBC"/>
    <w:rsid w:val="00E96578"/>
    <w:rsid w:val="00E96630"/>
    <w:rsid w:val="00E96CFF"/>
    <w:rsid w:val="00E96D35"/>
    <w:rsid w:val="00E97871"/>
    <w:rsid w:val="00EA0171"/>
    <w:rsid w:val="00EA1EC0"/>
    <w:rsid w:val="00EA2A77"/>
    <w:rsid w:val="00EA40F5"/>
    <w:rsid w:val="00EA4619"/>
    <w:rsid w:val="00EA5D3D"/>
    <w:rsid w:val="00EA5F08"/>
    <w:rsid w:val="00EB0C78"/>
    <w:rsid w:val="00EB0D44"/>
    <w:rsid w:val="00EB136D"/>
    <w:rsid w:val="00EB20F1"/>
    <w:rsid w:val="00EB2240"/>
    <w:rsid w:val="00EB26C0"/>
    <w:rsid w:val="00EB3CB0"/>
    <w:rsid w:val="00EB3D43"/>
    <w:rsid w:val="00EB40F8"/>
    <w:rsid w:val="00EB423A"/>
    <w:rsid w:val="00EB5294"/>
    <w:rsid w:val="00EB532D"/>
    <w:rsid w:val="00EB5EDB"/>
    <w:rsid w:val="00EB79C8"/>
    <w:rsid w:val="00EB7DCC"/>
    <w:rsid w:val="00EB7FCF"/>
    <w:rsid w:val="00EC1025"/>
    <w:rsid w:val="00EC1301"/>
    <w:rsid w:val="00EC16D3"/>
    <w:rsid w:val="00EC214F"/>
    <w:rsid w:val="00EC215C"/>
    <w:rsid w:val="00EC2576"/>
    <w:rsid w:val="00EC26E0"/>
    <w:rsid w:val="00EC2A30"/>
    <w:rsid w:val="00EC620E"/>
    <w:rsid w:val="00EC649D"/>
    <w:rsid w:val="00EC67A7"/>
    <w:rsid w:val="00EC7B9B"/>
    <w:rsid w:val="00ED003B"/>
    <w:rsid w:val="00ED099A"/>
    <w:rsid w:val="00ED16AB"/>
    <w:rsid w:val="00ED1F55"/>
    <w:rsid w:val="00ED29B2"/>
    <w:rsid w:val="00ED35A3"/>
    <w:rsid w:val="00ED3C23"/>
    <w:rsid w:val="00ED4462"/>
    <w:rsid w:val="00ED4A55"/>
    <w:rsid w:val="00ED4BA2"/>
    <w:rsid w:val="00ED5117"/>
    <w:rsid w:val="00ED51DF"/>
    <w:rsid w:val="00ED57F2"/>
    <w:rsid w:val="00ED6601"/>
    <w:rsid w:val="00ED7A2A"/>
    <w:rsid w:val="00EE10C9"/>
    <w:rsid w:val="00EE18DB"/>
    <w:rsid w:val="00EE2BC9"/>
    <w:rsid w:val="00EE2F94"/>
    <w:rsid w:val="00EE4B10"/>
    <w:rsid w:val="00EE4C0B"/>
    <w:rsid w:val="00EE6036"/>
    <w:rsid w:val="00EE644F"/>
    <w:rsid w:val="00EE6990"/>
    <w:rsid w:val="00EE6C24"/>
    <w:rsid w:val="00EE7B9B"/>
    <w:rsid w:val="00EF1972"/>
    <w:rsid w:val="00EF1D7F"/>
    <w:rsid w:val="00EF30C1"/>
    <w:rsid w:val="00EF4709"/>
    <w:rsid w:val="00EF5C17"/>
    <w:rsid w:val="00EF5E5A"/>
    <w:rsid w:val="00EF6B2D"/>
    <w:rsid w:val="00EF6EBB"/>
    <w:rsid w:val="00EF7534"/>
    <w:rsid w:val="00EF77CA"/>
    <w:rsid w:val="00EF795A"/>
    <w:rsid w:val="00EF7B98"/>
    <w:rsid w:val="00F00B0D"/>
    <w:rsid w:val="00F00D2A"/>
    <w:rsid w:val="00F01BDE"/>
    <w:rsid w:val="00F033B9"/>
    <w:rsid w:val="00F038DA"/>
    <w:rsid w:val="00F04CEC"/>
    <w:rsid w:val="00F068F9"/>
    <w:rsid w:val="00F073FF"/>
    <w:rsid w:val="00F10230"/>
    <w:rsid w:val="00F10610"/>
    <w:rsid w:val="00F1210B"/>
    <w:rsid w:val="00F12A8A"/>
    <w:rsid w:val="00F13531"/>
    <w:rsid w:val="00F14CF5"/>
    <w:rsid w:val="00F1590F"/>
    <w:rsid w:val="00F15B55"/>
    <w:rsid w:val="00F15EA3"/>
    <w:rsid w:val="00F16A95"/>
    <w:rsid w:val="00F1748C"/>
    <w:rsid w:val="00F17941"/>
    <w:rsid w:val="00F20F48"/>
    <w:rsid w:val="00F20F78"/>
    <w:rsid w:val="00F210D5"/>
    <w:rsid w:val="00F21AE5"/>
    <w:rsid w:val="00F229F3"/>
    <w:rsid w:val="00F2306A"/>
    <w:rsid w:val="00F234C1"/>
    <w:rsid w:val="00F23EC8"/>
    <w:rsid w:val="00F24D4F"/>
    <w:rsid w:val="00F24F47"/>
    <w:rsid w:val="00F24FCD"/>
    <w:rsid w:val="00F26264"/>
    <w:rsid w:val="00F30AB4"/>
    <w:rsid w:val="00F31796"/>
    <w:rsid w:val="00F31D20"/>
    <w:rsid w:val="00F31E0E"/>
    <w:rsid w:val="00F31E5F"/>
    <w:rsid w:val="00F32000"/>
    <w:rsid w:val="00F33B50"/>
    <w:rsid w:val="00F33EC1"/>
    <w:rsid w:val="00F343F4"/>
    <w:rsid w:val="00F34BE5"/>
    <w:rsid w:val="00F355D2"/>
    <w:rsid w:val="00F35E30"/>
    <w:rsid w:val="00F37620"/>
    <w:rsid w:val="00F405F0"/>
    <w:rsid w:val="00F40CD8"/>
    <w:rsid w:val="00F41619"/>
    <w:rsid w:val="00F432DE"/>
    <w:rsid w:val="00F44EA1"/>
    <w:rsid w:val="00F452FE"/>
    <w:rsid w:val="00F45C5A"/>
    <w:rsid w:val="00F464E1"/>
    <w:rsid w:val="00F46C9E"/>
    <w:rsid w:val="00F503A7"/>
    <w:rsid w:val="00F505CF"/>
    <w:rsid w:val="00F52151"/>
    <w:rsid w:val="00F52315"/>
    <w:rsid w:val="00F5235A"/>
    <w:rsid w:val="00F530DF"/>
    <w:rsid w:val="00F54876"/>
    <w:rsid w:val="00F549A8"/>
    <w:rsid w:val="00F54DA5"/>
    <w:rsid w:val="00F5542C"/>
    <w:rsid w:val="00F56655"/>
    <w:rsid w:val="00F56FA3"/>
    <w:rsid w:val="00F57935"/>
    <w:rsid w:val="00F600C3"/>
    <w:rsid w:val="00F60EC8"/>
    <w:rsid w:val="00F6100A"/>
    <w:rsid w:val="00F61770"/>
    <w:rsid w:val="00F61B8F"/>
    <w:rsid w:val="00F6231B"/>
    <w:rsid w:val="00F6256C"/>
    <w:rsid w:val="00F62EEC"/>
    <w:rsid w:val="00F635B5"/>
    <w:rsid w:val="00F63A24"/>
    <w:rsid w:val="00F63ECE"/>
    <w:rsid w:val="00F641B6"/>
    <w:rsid w:val="00F642D3"/>
    <w:rsid w:val="00F642ED"/>
    <w:rsid w:val="00F6442C"/>
    <w:rsid w:val="00F64634"/>
    <w:rsid w:val="00F64B8E"/>
    <w:rsid w:val="00F6601E"/>
    <w:rsid w:val="00F7037E"/>
    <w:rsid w:val="00F703C7"/>
    <w:rsid w:val="00F708CF"/>
    <w:rsid w:val="00F72B27"/>
    <w:rsid w:val="00F72FAF"/>
    <w:rsid w:val="00F738D2"/>
    <w:rsid w:val="00F740B4"/>
    <w:rsid w:val="00F741C1"/>
    <w:rsid w:val="00F7524E"/>
    <w:rsid w:val="00F752C6"/>
    <w:rsid w:val="00F76386"/>
    <w:rsid w:val="00F7638E"/>
    <w:rsid w:val="00F7729C"/>
    <w:rsid w:val="00F80DFF"/>
    <w:rsid w:val="00F8141F"/>
    <w:rsid w:val="00F8235D"/>
    <w:rsid w:val="00F8371B"/>
    <w:rsid w:val="00F84048"/>
    <w:rsid w:val="00F84794"/>
    <w:rsid w:val="00F84BAD"/>
    <w:rsid w:val="00F854D3"/>
    <w:rsid w:val="00F858DA"/>
    <w:rsid w:val="00F86303"/>
    <w:rsid w:val="00F87F45"/>
    <w:rsid w:val="00F87FB8"/>
    <w:rsid w:val="00F900B9"/>
    <w:rsid w:val="00F90345"/>
    <w:rsid w:val="00F90594"/>
    <w:rsid w:val="00F90F7D"/>
    <w:rsid w:val="00F91004"/>
    <w:rsid w:val="00F9280E"/>
    <w:rsid w:val="00F92869"/>
    <w:rsid w:val="00F9372E"/>
    <w:rsid w:val="00F93781"/>
    <w:rsid w:val="00F94C3B"/>
    <w:rsid w:val="00FA09A7"/>
    <w:rsid w:val="00FA1316"/>
    <w:rsid w:val="00FA150D"/>
    <w:rsid w:val="00FA2B41"/>
    <w:rsid w:val="00FA32B4"/>
    <w:rsid w:val="00FA35CF"/>
    <w:rsid w:val="00FA4F2E"/>
    <w:rsid w:val="00FA52BB"/>
    <w:rsid w:val="00FA58CA"/>
    <w:rsid w:val="00FA5FCE"/>
    <w:rsid w:val="00FA6FB9"/>
    <w:rsid w:val="00FB2A70"/>
    <w:rsid w:val="00FB3D9F"/>
    <w:rsid w:val="00FB40AC"/>
    <w:rsid w:val="00FB4746"/>
    <w:rsid w:val="00FB4D5D"/>
    <w:rsid w:val="00FB53FB"/>
    <w:rsid w:val="00FB613B"/>
    <w:rsid w:val="00FB6220"/>
    <w:rsid w:val="00FC1DD3"/>
    <w:rsid w:val="00FC2CC8"/>
    <w:rsid w:val="00FC30E6"/>
    <w:rsid w:val="00FC5F27"/>
    <w:rsid w:val="00FC68B7"/>
    <w:rsid w:val="00FC68C5"/>
    <w:rsid w:val="00FC753E"/>
    <w:rsid w:val="00FC79A8"/>
    <w:rsid w:val="00FD01B5"/>
    <w:rsid w:val="00FD1410"/>
    <w:rsid w:val="00FD1689"/>
    <w:rsid w:val="00FD22E6"/>
    <w:rsid w:val="00FD3B21"/>
    <w:rsid w:val="00FD3C93"/>
    <w:rsid w:val="00FD3F98"/>
    <w:rsid w:val="00FD46FF"/>
    <w:rsid w:val="00FD53B5"/>
    <w:rsid w:val="00FD647F"/>
    <w:rsid w:val="00FD76B5"/>
    <w:rsid w:val="00FE0BA2"/>
    <w:rsid w:val="00FE106A"/>
    <w:rsid w:val="00FE1E73"/>
    <w:rsid w:val="00FE2053"/>
    <w:rsid w:val="00FE284D"/>
    <w:rsid w:val="00FE529B"/>
    <w:rsid w:val="00FE58F2"/>
    <w:rsid w:val="00FE62C3"/>
    <w:rsid w:val="00FE6D60"/>
    <w:rsid w:val="00FE7450"/>
    <w:rsid w:val="00FE7477"/>
    <w:rsid w:val="00FE783A"/>
    <w:rsid w:val="00FE78DA"/>
    <w:rsid w:val="00FE7D6E"/>
    <w:rsid w:val="00FE7F51"/>
    <w:rsid w:val="00FF0188"/>
    <w:rsid w:val="00FF0275"/>
    <w:rsid w:val="00FF08C4"/>
    <w:rsid w:val="00FF145D"/>
    <w:rsid w:val="00FF14D4"/>
    <w:rsid w:val="00FF249A"/>
    <w:rsid w:val="00FF27EC"/>
    <w:rsid w:val="00FF2A8E"/>
    <w:rsid w:val="00FF2FAA"/>
    <w:rsid w:val="00FF4028"/>
    <w:rsid w:val="00FF4F2A"/>
    <w:rsid w:val="00FF6DBC"/>
    <w:rsid w:val="00FF6EB8"/>
    <w:rsid w:val="00FF770E"/>
    <w:rsid w:val="00FF7A16"/>
    <w:rsid w:val="00FF7B7E"/>
    <w:rsid w:val="00FF7CF8"/>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0DA792BD"/>
  <w15:docId w15:val="{1764059B-9B2D-4E11-B57D-1C39AC78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Spacing"/>
    <w:next w:val="Normal"/>
    <w:link w:val="Heading2Char"/>
    <w:qFormat/>
    <w:rsid w:val="00E27B01"/>
    <w:pPr>
      <w:outlineLvl w:val="1"/>
    </w:pPr>
  </w:style>
  <w:style w:type="paragraph" w:styleId="Heading3">
    <w:name w:val="heading 3"/>
    <w:basedOn w:val="11Paragraph"/>
    <w:next w:val="Normal"/>
    <w:link w:val="Heading3Char"/>
    <w:qFormat/>
    <w:rsid w:val="00E27B01"/>
    <w:pPr>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1Paragraph"/>
    <w:next w:val="Normal"/>
    <w:link w:val="HChGChar"/>
    <w:qFormat/>
    <w:rsid w:val="00E27B01"/>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qFormat/>
    <w:rsid w:val="000646F4"/>
    <w:p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rsid w:val="008A6C4F"/>
    <w:pPr>
      <w:numPr>
        <w:numId w:val="11"/>
      </w:numPr>
    </w:pPr>
  </w:style>
  <w:style w:type="numbering" w:styleId="1ai">
    <w:name w:val="Outline List 1"/>
    <w:basedOn w:val="NoList"/>
    <w:uiPriority w:val="99"/>
    <w:rsid w:val="008A6C4F"/>
    <w:pPr>
      <w:numPr>
        <w:numId w:val="12"/>
      </w:numPr>
    </w:pPr>
  </w:style>
  <w:style w:type="numbering" w:styleId="ArticleSection">
    <w:name w:val="Outline List 3"/>
    <w:basedOn w:val="NoList"/>
    <w:uiPriority w:val="99"/>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uiPriority w:val="99"/>
    <w:rsid w:val="008A6C4F"/>
  </w:style>
  <w:style w:type="character" w:styleId="Emphasis">
    <w:name w:val="Emphasis"/>
    <w:uiPriority w:val="20"/>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qFormat/>
    <w:rsid w:val="008A6C4F"/>
    <w:rPr>
      <w:b/>
      <w:bCs/>
    </w:rPr>
  </w:style>
  <w:style w:type="paragraph" w:styleId="Subtitle">
    <w:name w:val="Subtitle"/>
    <w:basedOn w:val="Title"/>
    <w:link w:val="SubtitleChar"/>
    <w:uiPriority w:val="99"/>
    <w:qFormat/>
    <w:rsid w:val="00E27B01"/>
  </w:style>
  <w:style w:type="table" w:styleId="Table3Deffects1">
    <w:name w:val="Table 3D effects 1"/>
    <w:basedOn w:val="TableNormal"/>
    <w:uiPriority w:val="99"/>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FB2A70"/>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figure"/>
    <w:basedOn w:val="Normal"/>
    <w:link w:val="HeaderChar"/>
    <w:uiPriority w:val="99"/>
    <w:qFormat/>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5_G_6 Char"/>
    <w:link w:val="FootnoteText"/>
    <w:rsid w:val="00DD2DA8"/>
    <w:rPr>
      <w:sz w:val="18"/>
      <w:lang w:val="en-GB" w:eastAsia="en-US"/>
    </w:rPr>
  </w:style>
  <w:style w:type="character" w:customStyle="1" w:styleId="HChGChar">
    <w:name w:val="_ H _Ch_G Char"/>
    <w:link w:val="HChG"/>
    <w:rsid w:val="00E27B01"/>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uiPriority w:val="99"/>
    <w:rsid w:val="00DD2DA8"/>
    <w:rPr>
      <w:b/>
      <w:sz w:val="18"/>
      <w:lang w:val="en-GB" w:eastAsia="en-US"/>
    </w:rPr>
  </w:style>
  <w:style w:type="character" w:customStyle="1" w:styleId="Heading1Char">
    <w:name w:val="Heading 1 Char"/>
    <w:aliases w:val="Table_G Char,h1 Char,TRL Head1 Char"/>
    <w:link w:val="Heading1"/>
    <w:rsid w:val="00DD2DA8"/>
    <w:rPr>
      <w:lang w:val="en-GB" w:eastAsia="en-US"/>
    </w:rPr>
  </w:style>
  <w:style w:type="character" w:customStyle="1" w:styleId="Heading2Char">
    <w:name w:val="Heading 2 Char"/>
    <w:link w:val="Heading2"/>
    <w:rsid w:val="00E27B01"/>
    <w:rPr>
      <w:b/>
      <w:sz w:val="28"/>
      <w:lang w:val="en-GB" w:eastAsia="en-US"/>
    </w:rPr>
  </w:style>
  <w:style w:type="character" w:customStyle="1" w:styleId="Heading3Char">
    <w:name w:val="Heading 3 Char"/>
    <w:link w:val="Heading3"/>
    <w:rsid w:val="00E27B01"/>
    <w:rPr>
      <w:b/>
      <w:sz w:val="24"/>
      <w:lang w:val="en-GB" w:eastAsia="en-US"/>
    </w:rPr>
  </w:style>
  <w:style w:type="character" w:customStyle="1" w:styleId="Heading4Char">
    <w:name w:val="Heading 4 Char"/>
    <w:link w:val="Heading4"/>
    <w:rsid w:val="00DD2DA8"/>
    <w:rPr>
      <w:lang w:val="en-GB" w:eastAsia="en-US"/>
    </w:rPr>
  </w:style>
  <w:style w:type="character" w:customStyle="1" w:styleId="Heading5Char">
    <w:name w:val="Heading 5 Char"/>
    <w:link w:val="Heading5"/>
    <w:rsid w:val="00DD2DA8"/>
    <w:rPr>
      <w:lang w:val="en-GB" w:eastAsia="en-US"/>
    </w:rPr>
  </w:style>
  <w:style w:type="character" w:customStyle="1" w:styleId="Heading6Char">
    <w:name w:val="Heading 6 Char"/>
    <w:link w:val="Heading6"/>
    <w:rsid w:val="00DD2DA8"/>
    <w:rPr>
      <w:lang w:val="en-GB" w:eastAsia="en-US"/>
    </w:rPr>
  </w:style>
  <w:style w:type="character" w:customStyle="1" w:styleId="Heading7Char">
    <w:name w:val="Heading 7 Char"/>
    <w:link w:val="Heading7"/>
    <w:rsid w:val="00DD2DA8"/>
    <w:rPr>
      <w:lang w:val="en-GB" w:eastAsia="en-US"/>
    </w:rPr>
  </w:style>
  <w:style w:type="character" w:customStyle="1" w:styleId="Heading8Char">
    <w:name w:val="Heading 8 Char"/>
    <w:link w:val="Heading8"/>
    <w:rsid w:val="00DD2DA8"/>
    <w:rPr>
      <w:lang w:val="en-GB" w:eastAsia="en-US"/>
    </w:rPr>
  </w:style>
  <w:style w:type="character" w:customStyle="1" w:styleId="Heading9Char">
    <w:name w:val="Heading 9 Char"/>
    <w:link w:val="Heading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rsid w:val="00DD2DA8"/>
    <w:rPr>
      <w:lang w:val="en-GB" w:eastAsia="en-US"/>
    </w:rPr>
  </w:style>
  <w:style w:type="character" w:customStyle="1" w:styleId="BodyTextIndentChar">
    <w:name w:val="Body Text Indent Char"/>
    <w:link w:val="BodyTextIndent"/>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rsid w:val="00DD2DA8"/>
    <w:rPr>
      <w:lang w:val="en-GB" w:eastAsia="en-US"/>
    </w:rPr>
  </w:style>
  <w:style w:type="character" w:customStyle="1" w:styleId="BodyTextIndent3Char">
    <w:name w:val="Body Text Indent 3 Char"/>
    <w:link w:val="BodyTextIndent3"/>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E27B01"/>
    <w:rPr>
      <w:b/>
      <w:sz w:val="28"/>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FB2A70"/>
    <w:rPr>
      <w:b/>
      <w:sz w:val="28"/>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sz w:val="24"/>
      <w:szCs w:val="24"/>
      <w:lang w:val="de-DE" w:eastAsia="de-DE"/>
    </w:rPr>
  </w:style>
  <w:style w:type="paragraph" w:customStyle="1" w:styleId="Default">
    <w:name w:val="Default"/>
    <w:rsid w:val="00DD2DA8"/>
    <w:pPr>
      <w:autoSpaceDE w:val="0"/>
      <w:autoSpaceDN w:val="0"/>
      <w:adjustRightInd w:val="0"/>
    </w:pPr>
    <w:rPr>
      <w:rFonts w:ascii="Arial" w:hAnsi="Arial" w:cs="Arial"/>
      <w:color w:val="000000"/>
      <w:sz w:val="24"/>
      <w:szCs w:val="24"/>
      <w:lang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lang w:val="en-GB"/>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rPr>
  </w:style>
  <w:style w:type="paragraph" w:customStyle="1" w:styleId="XHeadline">
    <w:name w:val="X Headline"/>
    <w:basedOn w:val="ParaLevel1"/>
    <w:next w:val="Normal"/>
    <w:qFormat/>
    <w:rsid w:val="00FB2A70"/>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DD2DA8"/>
    <w:rPr>
      <w:rFonts w:ascii="Tahoma" w:hAnsi="Tahoma" w:cs="Tahoma"/>
      <w:sz w:val="16"/>
      <w:szCs w:val="16"/>
    </w:rPr>
  </w:style>
  <w:style w:type="paragraph" w:styleId="DocumentMap">
    <w:name w:val="Document Map"/>
    <w:basedOn w:val="Normal"/>
    <w:link w:val="DocumentMapChar"/>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nhideWhenUsed/>
    <w:rsid w:val="00DD2DA8"/>
    <w:pPr>
      <w:suppressAutoHyphens w:val="0"/>
      <w:spacing w:line="240" w:lineRule="auto"/>
      <w:ind w:left="240" w:hanging="240"/>
      <w:jc w:val="both"/>
    </w:pPr>
    <w:rPr>
      <w:sz w:val="24"/>
    </w:rPr>
  </w:style>
  <w:style w:type="paragraph" w:styleId="IndexHeading">
    <w:name w:val="index heading"/>
    <w:basedOn w:val="Normal"/>
    <w:next w:val="Index1"/>
    <w:rsid w:val="00DD2DA8"/>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basedOn w:val="XHeadline"/>
    <w:uiPriority w:val="1"/>
    <w:qFormat/>
    <w:rsid w:val="00FB2A70"/>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basedOn w:val="HChG"/>
    <w:link w:val="NoSpacingChar"/>
    <w:uiPriority w:val="1"/>
    <w:qFormat/>
    <w:rsid w:val="00E27B01"/>
  </w:style>
  <w:style w:type="paragraph" w:customStyle="1" w:styleId="ManualHeading2">
    <w:name w:val="Manual Heading 2"/>
    <w:basedOn w:val="Normal"/>
    <w:next w:val="Normal"/>
    <w:uiPriority w:val="99"/>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uiPriority w:val="99"/>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hAnsi="Arial"/>
      <w:b/>
      <w:lang w:eastAsia="ja-JP"/>
    </w:rPr>
  </w:style>
  <w:style w:type="paragraph" w:customStyle="1" w:styleId="a3">
    <w:name w:val="a3"/>
    <w:basedOn w:val="Heading3"/>
    <w:next w:val="Normal"/>
    <w:uiPriority w:val="99"/>
    <w:rsid w:val="00DD2DA8"/>
    <w:pPr>
      <w:tabs>
        <w:tab w:val="left" w:pos="640"/>
        <w:tab w:val="left" w:pos="880"/>
      </w:tabs>
      <w:overflowPunct w:val="0"/>
      <w:autoSpaceDE w:val="0"/>
      <w:autoSpaceDN w:val="0"/>
      <w:adjustRightInd w:val="0"/>
      <w:spacing w:before="60" w:line="-250" w:lineRule="auto"/>
      <w:jc w:val="both"/>
      <w:textAlignment w:val="baseline"/>
      <w:outlineLvl w:val="9"/>
    </w:pPr>
    <w:rPr>
      <w:rFonts w:ascii="Arial"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val="en-GB"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val="en-GB"/>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1Paragraph"/>
    <w:next w:val="Normal"/>
    <w:qFormat/>
    <w:rsid w:val="00FB2A70"/>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basedOn w:val="Normal"/>
    <w:qFormat/>
    <w:rsid w:val="00E27B01"/>
    <w:pPr>
      <w:keepNext/>
      <w:keepLines/>
      <w:tabs>
        <w:tab w:val="right" w:pos="851"/>
      </w:tabs>
      <w:spacing w:before="360" w:after="240" w:line="300" w:lineRule="exact"/>
      <w:ind w:left="1134" w:right="1134" w:hanging="1134"/>
    </w:pPr>
    <w:rPr>
      <w:b/>
      <w:sz w:val="28"/>
    </w:rPr>
  </w:style>
  <w:style w:type="paragraph" w:customStyle="1" w:styleId="11Paragraph">
    <w:name w:val="1.1 Paragraph"/>
    <w:basedOn w:val="H1G"/>
    <w:qFormat/>
    <w:rsid w:val="00584923"/>
  </w:style>
  <w:style w:type="paragraph" w:customStyle="1" w:styleId="111Paragraph">
    <w:name w:val="1.1.1 Paragraph"/>
    <w:basedOn w:val="11Paragraph"/>
    <w:qFormat/>
    <w:rsid w:val="00DD2DA8"/>
    <w:pPr>
      <w:numPr>
        <w:ilvl w:val="2"/>
      </w:numPr>
      <w:ind w:left="1134" w:hanging="1134"/>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rPr>
  </w:style>
  <w:style w:type="table" w:styleId="LightGrid">
    <w:name w:val="Light Grid"/>
    <w:basedOn w:val="TableNormal"/>
    <w:uiPriority w:val="62"/>
    <w:rsid w:val="00DD2DA8"/>
    <w:rPr>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uiPriority w:val="99"/>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basedOn w:val="Normal"/>
    <w:qFormat/>
    <w:rsid w:val="00034A34"/>
    <w:pPr>
      <w:tabs>
        <w:tab w:val="center" w:pos="4677"/>
        <w:tab w:val="right" w:pos="9355"/>
      </w:tabs>
      <w:spacing w:line="240" w:lineRule="auto"/>
    </w:pPr>
    <w:rPr>
      <w:rFonts w:eastAsia="Times New Roman"/>
      <w:color w:val="00000A"/>
      <w:sz w:val="24"/>
      <w:szCs w:val="24"/>
      <w:lang w:val="fr-FR" w:eastAsia="ar-SA"/>
    </w:rPr>
  </w:style>
  <w:style w:type="paragraph" w:customStyle="1" w:styleId="Annex0">
    <w:name w:val="Annex"/>
    <w:basedOn w:val="Heading2"/>
    <w:autoRedefine/>
    <w:qFormat/>
    <w:rsid w:val="00521FD6"/>
    <w:pPr>
      <w:ind w:left="0" w:firstLine="0"/>
    </w:pPr>
  </w:style>
  <w:style w:type="numbering" w:customStyle="1" w:styleId="NoList3">
    <w:name w:val="No List3"/>
    <w:next w:val="NoList"/>
    <w:uiPriority w:val="99"/>
    <w:semiHidden/>
    <w:unhideWhenUsed/>
    <w:rsid w:val="0070193A"/>
  </w:style>
  <w:style w:type="table" w:customStyle="1" w:styleId="TableGrid10">
    <w:name w:val="Table Grid1"/>
    <w:basedOn w:val="TableNormal"/>
    <w:next w:val="TableGrid"/>
    <w:uiPriority w:val="39"/>
    <w:rsid w:val="0070193A"/>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70193A"/>
    <w:pPr>
      <w:numPr>
        <w:numId w:val="50"/>
      </w:numPr>
      <w:suppressAutoHyphens w:val="0"/>
    </w:pPr>
    <w:rPr>
      <w:rFonts w:eastAsia="Times New Roman"/>
      <w:lang w:eastAsia="fr-FR"/>
    </w:rPr>
  </w:style>
  <w:style w:type="numbering" w:customStyle="1" w:styleId="KeineListe12">
    <w:name w:val="Keine Liste12"/>
    <w:next w:val="NoList"/>
    <w:uiPriority w:val="99"/>
    <w:semiHidden/>
    <w:unhideWhenUsed/>
    <w:rsid w:val="0070193A"/>
  </w:style>
  <w:style w:type="numbering" w:customStyle="1" w:styleId="KeineListe111">
    <w:name w:val="Keine Liste111"/>
    <w:next w:val="NoList"/>
    <w:uiPriority w:val="99"/>
    <w:semiHidden/>
    <w:unhideWhenUsed/>
    <w:rsid w:val="0070193A"/>
  </w:style>
  <w:style w:type="table" w:customStyle="1" w:styleId="TableSimple11">
    <w:name w:val="Table Simple 11"/>
    <w:basedOn w:val="TableNormal"/>
    <w:next w:val="TableSimple1"/>
    <w:rsid w:val="0070193A"/>
    <w:pPr>
      <w:suppressAutoHyphens/>
      <w:spacing w:line="24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
    <w:name w:val="Tabellenraster2"/>
    <w:basedOn w:val="TableNormal"/>
    <w:next w:val="TableGrid"/>
    <w:uiPriority w:val="59"/>
    <w:rsid w:val="0070193A"/>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70193A"/>
    <w:rPr>
      <w:b/>
      <w:sz w:val="28"/>
      <w:lang w:val="en-GB"/>
    </w:rPr>
  </w:style>
  <w:style w:type="table" w:customStyle="1" w:styleId="Tabellenraster3">
    <w:name w:val="Tabellenraster3"/>
    <w:basedOn w:val="TableNormal"/>
    <w:next w:val="TableGrid"/>
    <w:uiPriority w:val="39"/>
    <w:rsid w:val="0070193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70193A"/>
    <w:rPr>
      <w:lang w:val="en-GB"/>
    </w:rPr>
  </w:style>
  <w:style w:type="table" w:customStyle="1" w:styleId="TableGrid20">
    <w:name w:val="Table Grid2"/>
    <w:basedOn w:val="TableNormal"/>
    <w:next w:val="TableGrid"/>
    <w:uiPriority w:val="39"/>
    <w:rsid w:val="0070193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uiPriority w:val="59"/>
    <w:rsid w:val="0070193A"/>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0193A"/>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0193A"/>
  </w:style>
  <w:style w:type="table" w:customStyle="1" w:styleId="TableGrid40">
    <w:name w:val="Table Grid4"/>
    <w:basedOn w:val="TableNormal"/>
    <w:next w:val="TableGrid"/>
    <w:uiPriority w:val="59"/>
    <w:rsid w:val="0070193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laceholderText1">
    <w:name w:val="Placeholder Text1"/>
    <w:basedOn w:val="DefaultParagraphFont"/>
    <w:uiPriority w:val="99"/>
    <w:semiHidden/>
    <w:rsid w:val="0070193A"/>
    <w:rPr>
      <w:color w:val="808080"/>
    </w:rPr>
  </w:style>
  <w:style w:type="numbering" w:customStyle="1" w:styleId="NoList111">
    <w:name w:val="No List111"/>
    <w:next w:val="NoList"/>
    <w:uiPriority w:val="99"/>
    <w:semiHidden/>
    <w:unhideWhenUsed/>
    <w:rsid w:val="0070193A"/>
  </w:style>
  <w:style w:type="table" w:customStyle="1" w:styleId="TableGrid11">
    <w:name w:val="Table Grid11"/>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70193A"/>
    <w:rPr>
      <w:color w:val="605E5C"/>
      <w:shd w:val="clear" w:color="auto" w:fill="E1DFDD"/>
    </w:rPr>
  </w:style>
  <w:style w:type="numbering" w:customStyle="1" w:styleId="KeineListe121">
    <w:name w:val="Keine Liste121"/>
    <w:next w:val="NoList"/>
    <w:uiPriority w:val="99"/>
    <w:semiHidden/>
    <w:unhideWhenUsed/>
    <w:rsid w:val="0070193A"/>
  </w:style>
  <w:style w:type="numbering" w:customStyle="1" w:styleId="KeineListe1111">
    <w:name w:val="Keine Liste1111"/>
    <w:next w:val="NoList"/>
    <w:uiPriority w:val="99"/>
    <w:semiHidden/>
    <w:unhideWhenUsed/>
    <w:rsid w:val="0070193A"/>
  </w:style>
  <w:style w:type="table" w:customStyle="1" w:styleId="TableSimple111">
    <w:name w:val="Table Simple 111"/>
    <w:basedOn w:val="TableNormal"/>
    <w:next w:val="TableSimple1"/>
    <w:rsid w:val="0070193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commendations">
    <w:name w:val="Recommendations"/>
    <w:basedOn w:val="Normal"/>
    <w:link w:val="RecommendationsChar"/>
    <w:rsid w:val="0070193A"/>
    <w:pPr>
      <w:suppressAutoHyphens w:val="0"/>
      <w:spacing w:after="120" w:line="240" w:lineRule="auto"/>
    </w:pPr>
    <w:rPr>
      <w:rFonts w:ascii="Corbel" w:eastAsia="SimSun" w:hAnsi="Corbel" w:cs="Roboto-Light"/>
      <w:color w:val="000000"/>
      <w:sz w:val="22"/>
      <w:szCs w:val="22"/>
      <w:lang w:val="en-US" w:eastAsia="en-GB"/>
    </w:rPr>
  </w:style>
  <w:style w:type="character" w:customStyle="1" w:styleId="RecommendationsChar">
    <w:name w:val="Recommendations Char"/>
    <w:basedOn w:val="DefaultParagraphFont"/>
    <w:link w:val="Recommendations"/>
    <w:rsid w:val="0070193A"/>
    <w:rPr>
      <w:rFonts w:ascii="Corbel" w:eastAsia="SimSun" w:hAnsi="Corbel" w:cs="Roboto-Light"/>
      <w:color w:val="000000"/>
      <w:sz w:val="22"/>
      <w:szCs w:val="22"/>
      <w:lang w:eastAsia="en-GB"/>
    </w:rPr>
  </w:style>
  <w:style w:type="paragraph" w:customStyle="1" w:styleId="Date1">
    <w:name w:val="Date1"/>
    <w:basedOn w:val="Normal"/>
    <w:next w:val="Normal"/>
    <w:rsid w:val="0070193A"/>
    <w:rPr>
      <w:rFonts w:eastAsia="SimSun"/>
    </w:rPr>
  </w:style>
  <w:style w:type="character" w:customStyle="1" w:styleId="shorttext">
    <w:name w:val="short_text"/>
    <w:basedOn w:val="DefaultParagraphFont"/>
    <w:rsid w:val="0070193A"/>
  </w:style>
  <w:style w:type="character" w:customStyle="1" w:styleId="st">
    <w:name w:val="st"/>
    <w:basedOn w:val="DefaultParagraphFont"/>
    <w:rsid w:val="0070193A"/>
  </w:style>
  <w:style w:type="paragraph" w:customStyle="1" w:styleId="BlockText1">
    <w:name w:val="Block Text1"/>
    <w:basedOn w:val="Normal"/>
    <w:next w:val="BlockText"/>
    <w:semiHidden/>
    <w:unhideWhenUsed/>
    <w:rsid w:val="0070193A"/>
    <w:pPr>
      <w:pBdr>
        <w:top w:val="single" w:sz="2" w:space="10" w:color="4F81BD"/>
        <w:left w:val="single" w:sz="2" w:space="10" w:color="4F81BD"/>
        <w:bottom w:val="single" w:sz="2" w:space="10" w:color="4F81BD"/>
        <w:right w:val="single" w:sz="2" w:space="10" w:color="4F81BD"/>
      </w:pBdr>
      <w:ind w:left="1152" w:right="1152"/>
    </w:pPr>
    <w:rPr>
      <w:rFonts w:ascii="Calibri" w:eastAsia="SimSun" w:hAnsi="Calibri" w:cs="Arial"/>
      <w:i/>
      <w:iCs/>
      <w:color w:val="4F81BD"/>
    </w:rPr>
  </w:style>
  <w:style w:type="table" w:customStyle="1" w:styleId="TableGrid22">
    <w:name w:val="Table Grid22"/>
    <w:basedOn w:val="TableNormal"/>
    <w:next w:val="TableGrid"/>
    <w:uiPriority w:val="39"/>
    <w:rsid w:val="0070193A"/>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9Text">
    <w:name w:val="_ WP29_Text"/>
    <w:basedOn w:val="SingleTxtG"/>
    <w:link w:val="WP29TextChar"/>
    <w:qFormat/>
    <w:rsid w:val="0070193A"/>
    <w:pPr>
      <w:ind w:left="2268"/>
    </w:pPr>
    <w:rPr>
      <w:lang w:eastAsia="fr-FR"/>
    </w:rPr>
  </w:style>
  <w:style w:type="paragraph" w:customStyle="1" w:styleId="WP29NumPara">
    <w:name w:val="_ WP29 NumPara"/>
    <w:basedOn w:val="Normal"/>
    <w:link w:val="WP29NumParaChar"/>
    <w:qFormat/>
    <w:rsid w:val="0070193A"/>
    <w:pPr>
      <w:keepLines/>
      <w:spacing w:after="120"/>
      <w:ind w:left="2268" w:right="1133" w:hanging="1134"/>
      <w:jc w:val="both"/>
    </w:pPr>
    <w:rPr>
      <w:lang w:eastAsia="fr-FR"/>
    </w:rPr>
  </w:style>
  <w:style w:type="character" w:customStyle="1" w:styleId="WP29TextChar">
    <w:name w:val="_ WP29_Text Char"/>
    <w:basedOn w:val="SingleTxtGChar"/>
    <w:link w:val="WP29Text"/>
    <w:rsid w:val="0070193A"/>
    <w:rPr>
      <w:lang w:val="en-GB" w:eastAsia="fr-FR" w:bidi="ar-SA"/>
    </w:rPr>
  </w:style>
  <w:style w:type="character" w:customStyle="1" w:styleId="WP29NumParaChar">
    <w:name w:val="_ WP29 NumPara Char"/>
    <w:basedOn w:val="DefaultParagraphFont"/>
    <w:link w:val="WP29NumPara"/>
    <w:rsid w:val="0070193A"/>
    <w:rPr>
      <w:lang w:val="en-GB" w:eastAsia="fr-FR"/>
    </w:rPr>
  </w:style>
  <w:style w:type="character" w:customStyle="1" w:styleId="DateChar1">
    <w:name w:val="Date Char1"/>
    <w:basedOn w:val="DefaultParagraphFont"/>
    <w:rsid w:val="0070193A"/>
    <w:rPr>
      <w:lang w:val="en-GB"/>
    </w:rPr>
  </w:style>
  <w:style w:type="paragraph" w:customStyle="1" w:styleId="BlockText2">
    <w:name w:val="Block Text2"/>
    <w:basedOn w:val="Normal"/>
    <w:next w:val="BlockText"/>
    <w:semiHidden/>
    <w:unhideWhenUsed/>
    <w:rsid w:val="0070193A"/>
    <w:pPr>
      <w:pBdr>
        <w:top w:val="single" w:sz="2" w:space="10" w:color="5B9BD5"/>
        <w:left w:val="single" w:sz="2" w:space="10" w:color="5B9BD5"/>
        <w:bottom w:val="single" w:sz="2" w:space="10" w:color="5B9BD5"/>
        <w:right w:val="single" w:sz="2" w:space="10" w:color="5B9BD5"/>
      </w:pBdr>
      <w:ind w:left="1152" w:right="1152"/>
    </w:pPr>
    <w:rPr>
      <w:rFonts w:ascii="Calibri" w:eastAsia="SimSun" w:hAnsi="Calibri" w:cs="Arial"/>
      <w:i/>
      <w:iCs/>
      <w:color w:val="5B9BD5"/>
    </w:rPr>
  </w:style>
  <w:style w:type="table" w:customStyle="1" w:styleId="TableGrid50">
    <w:name w:val="Table Grid5"/>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Mentionnonrsolue1">
    <w:name w:val="Mention non résolue1"/>
    <w:basedOn w:val="DefaultParagraphFont"/>
    <w:uiPriority w:val="99"/>
    <w:semiHidden/>
    <w:unhideWhenUsed/>
    <w:rsid w:val="0070193A"/>
    <w:rPr>
      <w:color w:val="605E5C"/>
      <w:shd w:val="clear" w:color="auto" w:fill="E1DFDD"/>
    </w:rPr>
  </w:style>
  <w:style w:type="table" w:customStyle="1" w:styleId="TableGrid31">
    <w:name w:val="Table Grid31"/>
    <w:basedOn w:val="TableNormal"/>
    <w:uiPriority w:val="39"/>
    <w:rsid w:val="0070193A"/>
    <w:rPr>
      <w:rFonts w:ascii="Yu Mincho" w:eastAsia="Yu Mincho" w:hAnsi="Yu Mincho"/>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0193A"/>
    <w:rPr>
      <w:color w:val="605E5C"/>
      <w:shd w:val="clear" w:color="auto" w:fill="E1DFDD"/>
    </w:rPr>
  </w:style>
  <w:style w:type="paragraph" w:customStyle="1" w:styleId="TOCHeading1">
    <w:name w:val="TOC Heading1"/>
    <w:basedOn w:val="Heading1"/>
    <w:next w:val="Normal"/>
    <w:uiPriority w:val="39"/>
    <w:unhideWhenUsed/>
    <w:qFormat/>
    <w:rsid w:val="0070193A"/>
    <w:pPr>
      <w:keepNext/>
      <w:keepLines/>
      <w:suppressAutoHyphens w:val="0"/>
      <w:spacing w:before="240" w:line="259" w:lineRule="auto"/>
      <w:ind w:left="0"/>
      <w:outlineLvl w:val="9"/>
    </w:pPr>
    <w:rPr>
      <w:rFonts w:ascii="Calibri Light" w:eastAsia="SimSun" w:hAnsi="Calibri Light"/>
      <w:color w:val="2E74B5"/>
      <w:sz w:val="32"/>
      <w:szCs w:val="32"/>
      <w:lang w:val="en-US"/>
    </w:rPr>
  </w:style>
  <w:style w:type="table" w:customStyle="1" w:styleId="TableGrid12">
    <w:name w:val="Table Grid12"/>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3">
    <w:name w:val="Table Grid13"/>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4">
    <w:name w:val="Table Grid14"/>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
      <w:bodyDiv w:val="1"/>
      <w:marLeft w:val="0"/>
      <w:marRight w:val="0"/>
      <w:marTop w:val="0"/>
      <w:marBottom w:val="0"/>
      <w:divBdr>
        <w:top w:val="none" w:sz="0" w:space="0" w:color="auto"/>
        <w:left w:val="none" w:sz="0" w:space="0" w:color="auto"/>
        <w:bottom w:val="none" w:sz="0" w:space="0" w:color="auto"/>
        <w:right w:val="none" w:sz="0" w:space="0" w:color="auto"/>
      </w:divBdr>
    </w:div>
    <w:div w:id="36468138">
      <w:bodyDiv w:val="1"/>
      <w:marLeft w:val="0"/>
      <w:marRight w:val="0"/>
      <w:marTop w:val="0"/>
      <w:marBottom w:val="0"/>
      <w:divBdr>
        <w:top w:val="none" w:sz="0" w:space="0" w:color="auto"/>
        <w:left w:val="none" w:sz="0" w:space="0" w:color="auto"/>
        <w:bottom w:val="none" w:sz="0" w:space="0" w:color="auto"/>
        <w:right w:val="none" w:sz="0" w:space="0" w:color="auto"/>
      </w:divBdr>
    </w:div>
    <w:div w:id="39787494">
      <w:bodyDiv w:val="1"/>
      <w:marLeft w:val="0"/>
      <w:marRight w:val="0"/>
      <w:marTop w:val="0"/>
      <w:marBottom w:val="0"/>
      <w:divBdr>
        <w:top w:val="none" w:sz="0" w:space="0" w:color="auto"/>
        <w:left w:val="none" w:sz="0" w:space="0" w:color="auto"/>
        <w:bottom w:val="none" w:sz="0" w:space="0" w:color="auto"/>
        <w:right w:val="none" w:sz="0" w:space="0" w:color="auto"/>
      </w:divBdr>
    </w:div>
    <w:div w:id="59252412">
      <w:bodyDiv w:val="1"/>
      <w:marLeft w:val="0"/>
      <w:marRight w:val="0"/>
      <w:marTop w:val="0"/>
      <w:marBottom w:val="0"/>
      <w:divBdr>
        <w:top w:val="none" w:sz="0" w:space="0" w:color="auto"/>
        <w:left w:val="none" w:sz="0" w:space="0" w:color="auto"/>
        <w:bottom w:val="none" w:sz="0" w:space="0" w:color="auto"/>
        <w:right w:val="none" w:sz="0" w:space="0" w:color="auto"/>
      </w:divBdr>
    </w:div>
    <w:div w:id="73824284">
      <w:bodyDiv w:val="1"/>
      <w:marLeft w:val="0"/>
      <w:marRight w:val="0"/>
      <w:marTop w:val="0"/>
      <w:marBottom w:val="0"/>
      <w:divBdr>
        <w:top w:val="none" w:sz="0" w:space="0" w:color="auto"/>
        <w:left w:val="none" w:sz="0" w:space="0" w:color="auto"/>
        <w:bottom w:val="none" w:sz="0" w:space="0" w:color="auto"/>
        <w:right w:val="none" w:sz="0" w:space="0" w:color="auto"/>
      </w:divBdr>
    </w:div>
    <w:div w:id="79716203">
      <w:bodyDiv w:val="1"/>
      <w:marLeft w:val="0"/>
      <w:marRight w:val="0"/>
      <w:marTop w:val="0"/>
      <w:marBottom w:val="0"/>
      <w:divBdr>
        <w:top w:val="none" w:sz="0" w:space="0" w:color="auto"/>
        <w:left w:val="none" w:sz="0" w:space="0" w:color="auto"/>
        <w:bottom w:val="none" w:sz="0" w:space="0" w:color="auto"/>
        <w:right w:val="none" w:sz="0" w:space="0" w:color="auto"/>
      </w:divBdr>
    </w:div>
    <w:div w:id="94907053">
      <w:bodyDiv w:val="1"/>
      <w:marLeft w:val="0"/>
      <w:marRight w:val="0"/>
      <w:marTop w:val="0"/>
      <w:marBottom w:val="0"/>
      <w:divBdr>
        <w:top w:val="none" w:sz="0" w:space="0" w:color="auto"/>
        <w:left w:val="none" w:sz="0" w:space="0" w:color="auto"/>
        <w:bottom w:val="none" w:sz="0" w:space="0" w:color="auto"/>
        <w:right w:val="none" w:sz="0" w:space="0" w:color="auto"/>
      </w:divBdr>
    </w:div>
    <w:div w:id="104662348">
      <w:bodyDiv w:val="1"/>
      <w:marLeft w:val="0"/>
      <w:marRight w:val="0"/>
      <w:marTop w:val="0"/>
      <w:marBottom w:val="0"/>
      <w:divBdr>
        <w:top w:val="none" w:sz="0" w:space="0" w:color="auto"/>
        <w:left w:val="none" w:sz="0" w:space="0" w:color="auto"/>
        <w:bottom w:val="none" w:sz="0" w:space="0" w:color="auto"/>
        <w:right w:val="none" w:sz="0" w:space="0" w:color="auto"/>
      </w:divBdr>
    </w:div>
    <w:div w:id="111558081">
      <w:bodyDiv w:val="1"/>
      <w:marLeft w:val="0"/>
      <w:marRight w:val="0"/>
      <w:marTop w:val="0"/>
      <w:marBottom w:val="0"/>
      <w:divBdr>
        <w:top w:val="none" w:sz="0" w:space="0" w:color="auto"/>
        <w:left w:val="none" w:sz="0" w:space="0" w:color="auto"/>
        <w:bottom w:val="none" w:sz="0" w:space="0" w:color="auto"/>
        <w:right w:val="none" w:sz="0" w:space="0" w:color="auto"/>
      </w:divBdr>
    </w:div>
    <w:div w:id="133910641">
      <w:bodyDiv w:val="1"/>
      <w:marLeft w:val="0"/>
      <w:marRight w:val="0"/>
      <w:marTop w:val="0"/>
      <w:marBottom w:val="0"/>
      <w:divBdr>
        <w:top w:val="none" w:sz="0" w:space="0" w:color="auto"/>
        <w:left w:val="none" w:sz="0" w:space="0" w:color="auto"/>
        <w:bottom w:val="none" w:sz="0" w:space="0" w:color="auto"/>
        <w:right w:val="none" w:sz="0" w:space="0" w:color="auto"/>
      </w:divBdr>
    </w:div>
    <w:div w:id="136802954">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65632625">
      <w:bodyDiv w:val="1"/>
      <w:marLeft w:val="0"/>
      <w:marRight w:val="0"/>
      <w:marTop w:val="0"/>
      <w:marBottom w:val="0"/>
      <w:divBdr>
        <w:top w:val="none" w:sz="0" w:space="0" w:color="auto"/>
        <w:left w:val="none" w:sz="0" w:space="0" w:color="auto"/>
        <w:bottom w:val="none" w:sz="0" w:space="0" w:color="auto"/>
        <w:right w:val="none" w:sz="0" w:space="0" w:color="auto"/>
      </w:divBdr>
    </w:div>
    <w:div w:id="171528047">
      <w:bodyDiv w:val="1"/>
      <w:marLeft w:val="0"/>
      <w:marRight w:val="0"/>
      <w:marTop w:val="0"/>
      <w:marBottom w:val="0"/>
      <w:divBdr>
        <w:top w:val="none" w:sz="0" w:space="0" w:color="auto"/>
        <w:left w:val="none" w:sz="0" w:space="0" w:color="auto"/>
        <w:bottom w:val="none" w:sz="0" w:space="0" w:color="auto"/>
        <w:right w:val="none" w:sz="0" w:space="0" w:color="auto"/>
      </w:divBdr>
    </w:div>
    <w:div w:id="20055567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13392530">
      <w:bodyDiv w:val="1"/>
      <w:marLeft w:val="0"/>
      <w:marRight w:val="0"/>
      <w:marTop w:val="0"/>
      <w:marBottom w:val="0"/>
      <w:divBdr>
        <w:top w:val="none" w:sz="0" w:space="0" w:color="auto"/>
        <w:left w:val="none" w:sz="0" w:space="0" w:color="auto"/>
        <w:bottom w:val="none" w:sz="0" w:space="0" w:color="auto"/>
        <w:right w:val="none" w:sz="0" w:space="0" w:color="auto"/>
      </w:divBdr>
    </w:div>
    <w:div w:id="222104655">
      <w:bodyDiv w:val="1"/>
      <w:marLeft w:val="0"/>
      <w:marRight w:val="0"/>
      <w:marTop w:val="0"/>
      <w:marBottom w:val="0"/>
      <w:divBdr>
        <w:top w:val="none" w:sz="0" w:space="0" w:color="auto"/>
        <w:left w:val="none" w:sz="0" w:space="0" w:color="auto"/>
        <w:bottom w:val="none" w:sz="0" w:space="0" w:color="auto"/>
        <w:right w:val="none" w:sz="0" w:space="0" w:color="auto"/>
      </w:divBdr>
    </w:div>
    <w:div w:id="237637040">
      <w:bodyDiv w:val="1"/>
      <w:marLeft w:val="0"/>
      <w:marRight w:val="0"/>
      <w:marTop w:val="0"/>
      <w:marBottom w:val="0"/>
      <w:divBdr>
        <w:top w:val="none" w:sz="0" w:space="0" w:color="auto"/>
        <w:left w:val="none" w:sz="0" w:space="0" w:color="auto"/>
        <w:bottom w:val="none" w:sz="0" w:space="0" w:color="auto"/>
        <w:right w:val="none" w:sz="0" w:space="0" w:color="auto"/>
      </w:divBdr>
    </w:div>
    <w:div w:id="256447714">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324288456">
      <w:bodyDiv w:val="1"/>
      <w:marLeft w:val="0"/>
      <w:marRight w:val="0"/>
      <w:marTop w:val="0"/>
      <w:marBottom w:val="0"/>
      <w:divBdr>
        <w:top w:val="none" w:sz="0" w:space="0" w:color="auto"/>
        <w:left w:val="none" w:sz="0" w:space="0" w:color="auto"/>
        <w:bottom w:val="none" w:sz="0" w:space="0" w:color="auto"/>
        <w:right w:val="none" w:sz="0" w:space="0" w:color="auto"/>
      </w:divBdr>
    </w:div>
    <w:div w:id="340359861">
      <w:bodyDiv w:val="1"/>
      <w:marLeft w:val="0"/>
      <w:marRight w:val="0"/>
      <w:marTop w:val="0"/>
      <w:marBottom w:val="0"/>
      <w:divBdr>
        <w:top w:val="none" w:sz="0" w:space="0" w:color="auto"/>
        <w:left w:val="none" w:sz="0" w:space="0" w:color="auto"/>
        <w:bottom w:val="none" w:sz="0" w:space="0" w:color="auto"/>
        <w:right w:val="none" w:sz="0" w:space="0" w:color="auto"/>
      </w:divBdr>
    </w:div>
    <w:div w:id="351609929">
      <w:bodyDiv w:val="1"/>
      <w:marLeft w:val="0"/>
      <w:marRight w:val="0"/>
      <w:marTop w:val="0"/>
      <w:marBottom w:val="0"/>
      <w:divBdr>
        <w:top w:val="none" w:sz="0" w:space="0" w:color="auto"/>
        <w:left w:val="none" w:sz="0" w:space="0" w:color="auto"/>
        <w:bottom w:val="none" w:sz="0" w:space="0" w:color="auto"/>
        <w:right w:val="none" w:sz="0" w:space="0" w:color="auto"/>
      </w:divBdr>
    </w:div>
    <w:div w:id="354235346">
      <w:bodyDiv w:val="1"/>
      <w:marLeft w:val="0"/>
      <w:marRight w:val="0"/>
      <w:marTop w:val="0"/>
      <w:marBottom w:val="0"/>
      <w:divBdr>
        <w:top w:val="none" w:sz="0" w:space="0" w:color="auto"/>
        <w:left w:val="none" w:sz="0" w:space="0" w:color="auto"/>
        <w:bottom w:val="none" w:sz="0" w:space="0" w:color="auto"/>
        <w:right w:val="none" w:sz="0" w:space="0" w:color="auto"/>
      </w:divBdr>
    </w:div>
    <w:div w:id="362483602">
      <w:bodyDiv w:val="1"/>
      <w:marLeft w:val="0"/>
      <w:marRight w:val="0"/>
      <w:marTop w:val="0"/>
      <w:marBottom w:val="0"/>
      <w:divBdr>
        <w:top w:val="none" w:sz="0" w:space="0" w:color="auto"/>
        <w:left w:val="none" w:sz="0" w:space="0" w:color="auto"/>
        <w:bottom w:val="none" w:sz="0" w:space="0" w:color="auto"/>
        <w:right w:val="none" w:sz="0" w:space="0" w:color="auto"/>
      </w:divBdr>
    </w:div>
    <w:div w:id="367996364">
      <w:bodyDiv w:val="1"/>
      <w:marLeft w:val="0"/>
      <w:marRight w:val="0"/>
      <w:marTop w:val="0"/>
      <w:marBottom w:val="0"/>
      <w:divBdr>
        <w:top w:val="none" w:sz="0" w:space="0" w:color="auto"/>
        <w:left w:val="none" w:sz="0" w:space="0" w:color="auto"/>
        <w:bottom w:val="none" w:sz="0" w:space="0" w:color="auto"/>
        <w:right w:val="none" w:sz="0" w:space="0" w:color="auto"/>
      </w:divBdr>
    </w:div>
    <w:div w:id="373383677">
      <w:bodyDiv w:val="1"/>
      <w:marLeft w:val="0"/>
      <w:marRight w:val="0"/>
      <w:marTop w:val="0"/>
      <w:marBottom w:val="0"/>
      <w:divBdr>
        <w:top w:val="none" w:sz="0" w:space="0" w:color="auto"/>
        <w:left w:val="none" w:sz="0" w:space="0" w:color="auto"/>
        <w:bottom w:val="none" w:sz="0" w:space="0" w:color="auto"/>
        <w:right w:val="none" w:sz="0" w:space="0" w:color="auto"/>
      </w:divBdr>
    </w:div>
    <w:div w:id="374895585">
      <w:bodyDiv w:val="1"/>
      <w:marLeft w:val="0"/>
      <w:marRight w:val="0"/>
      <w:marTop w:val="0"/>
      <w:marBottom w:val="0"/>
      <w:divBdr>
        <w:top w:val="none" w:sz="0" w:space="0" w:color="auto"/>
        <w:left w:val="none" w:sz="0" w:space="0" w:color="auto"/>
        <w:bottom w:val="none" w:sz="0" w:space="0" w:color="auto"/>
        <w:right w:val="none" w:sz="0" w:space="0" w:color="auto"/>
      </w:divBdr>
    </w:div>
    <w:div w:id="392503356">
      <w:bodyDiv w:val="1"/>
      <w:marLeft w:val="0"/>
      <w:marRight w:val="0"/>
      <w:marTop w:val="0"/>
      <w:marBottom w:val="0"/>
      <w:divBdr>
        <w:top w:val="none" w:sz="0" w:space="0" w:color="auto"/>
        <w:left w:val="none" w:sz="0" w:space="0" w:color="auto"/>
        <w:bottom w:val="none" w:sz="0" w:space="0" w:color="auto"/>
        <w:right w:val="none" w:sz="0" w:space="0" w:color="auto"/>
      </w:divBdr>
    </w:div>
    <w:div w:id="399405431">
      <w:bodyDiv w:val="1"/>
      <w:marLeft w:val="0"/>
      <w:marRight w:val="0"/>
      <w:marTop w:val="0"/>
      <w:marBottom w:val="0"/>
      <w:divBdr>
        <w:top w:val="none" w:sz="0" w:space="0" w:color="auto"/>
        <w:left w:val="none" w:sz="0" w:space="0" w:color="auto"/>
        <w:bottom w:val="none" w:sz="0" w:space="0" w:color="auto"/>
        <w:right w:val="none" w:sz="0" w:space="0" w:color="auto"/>
      </w:divBdr>
    </w:div>
    <w:div w:id="404381660">
      <w:bodyDiv w:val="1"/>
      <w:marLeft w:val="0"/>
      <w:marRight w:val="0"/>
      <w:marTop w:val="0"/>
      <w:marBottom w:val="0"/>
      <w:divBdr>
        <w:top w:val="none" w:sz="0" w:space="0" w:color="auto"/>
        <w:left w:val="none" w:sz="0" w:space="0" w:color="auto"/>
        <w:bottom w:val="none" w:sz="0" w:space="0" w:color="auto"/>
        <w:right w:val="none" w:sz="0" w:space="0" w:color="auto"/>
      </w:divBdr>
    </w:div>
    <w:div w:id="410277874">
      <w:bodyDiv w:val="1"/>
      <w:marLeft w:val="0"/>
      <w:marRight w:val="0"/>
      <w:marTop w:val="0"/>
      <w:marBottom w:val="0"/>
      <w:divBdr>
        <w:top w:val="none" w:sz="0" w:space="0" w:color="auto"/>
        <w:left w:val="none" w:sz="0" w:space="0" w:color="auto"/>
        <w:bottom w:val="none" w:sz="0" w:space="0" w:color="auto"/>
        <w:right w:val="none" w:sz="0" w:space="0" w:color="auto"/>
      </w:divBdr>
    </w:div>
    <w:div w:id="468790370">
      <w:bodyDiv w:val="1"/>
      <w:marLeft w:val="0"/>
      <w:marRight w:val="0"/>
      <w:marTop w:val="0"/>
      <w:marBottom w:val="0"/>
      <w:divBdr>
        <w:top w:val="none" w:sz="0" w:space="0" w:color="auto"/>
        <w:left w:val="none" w:sz="0" w:space="0" w:color="auto"/>
        <w:bottom w:val="none" w:sz="0" w:space="0" w:color="auto"/>
        <w:right w:val="none" w:sz="0" w:space="0" w:color="auto"/>
      </w:divBdr>
    </w:div>
    <w:div w:id="529536304">
      <w:bodyDiv w:val="1"/>
      <w:marLeft w:val="0"/>
      <w:marRight w:val="0"/>
      <w:marTop w:val="0"/>
      <w:marBottom w:val="0"/>
      <w:divBdr>
        <w:top w:val="none" w:sz="0" w:space="0" w:color="auto"/>
        <w:left w:val="none" w:sz="0" w:space="0" w:color="auto"/>
        <w:bottom w:val="none" w:sz="0" w:space="0" w:color="auto"/>
        <w:right w:val="none" w:sz="0" w:space="0" w:color="auto"/>
      </w:divBdr>
    </w:div>
    <w:div w:id="549145961">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566108360">
      <w:bodyDiv w:val="1"/>
      <w:marLeft w:val="0"/>
      <w:marRight w:val="0"/>
      <w:marTop w:val="0"/>
      <w:marBottom w:val="0"/>
      <w:divBdr>
        <w:top w:val="none" w:sz="0" w:space="0" w:color="auto"/>
        <w:left w:val="none" w:sz="0" w:space="0" w:color="auto"/>
        <w:bottom w:val="none" w:sz="0" w:space="0" w:color="auto"/>
        <w:right w:val="none" w:sz="0" w:space="0" w:color="auto"/>
      </w:divBdr>
    </w:div>
    <w:div w:id="571240542">
      <w:bodyDiv w:val="1"/>
      <w:marLeft w:val="0"/>
      <w:marRight w:val="0"/>
      <w:marTop w:val="0"/>
      <w:marBottom w:val="0"/>
      <w:divBdr>
        <w:top w:val="none" w:sz="0" w:space="0" w:color="auto"/>
        <w:left w:val="none" w:sz="0" w:space="0" w:color="auto"/>
        <w:bottom w:val="none" w:sz="0" w:space="0" w:color="auto"/>
        <w:right w:val="none" w:sz="0" w:space="0" w:color="auto"/>
      </w:divBdr>
    </w:div>
    <w:div w:id="592326009">
      <w:bodyDiv w:val="1"/>
      <w:marLeft w:val="0"/>
      <w:marRight w:val="0"/>
      <w:marTop w:val="0"/>
      <w:marBottom w:val="0"/>
      <w:divBdr>
        <w:top w:val="none" w:sz="0" w:space="0" w:color="auto"/>
        <w:left w:val="none" w:sz="0" w:space="0" w:color="auto"/>
        <w:bottom w:val="none" w:sz="0" w:space="0" w:color="auto"/>
        <w:right w:val="none" w:sz="0" w:space="0" w:color="auto"/>
      </w:divBdr>
    </w:div>
    <w:div w:id="596598513">
      <w:bodyDiv w:val="1"/>
      <w:marLeft w:val="0"/>
      <w:marRight w:val="0"/>
      <w:marTop w:val="0"/>
      <w:marBottom w:val="0"/>
      <w:divBdr>
        <w:top w:val="none" w:sz="0" w:space="0" w:color="auto"/>
        <w:left w:val="none" w:sz="0" w:space="0" w:color="auto"/>
        <w:bottom w:val="none" w:sz="0" w:space="0" w:color="auto"/>
        <w:right w:val="none" w:sz="0" w:space="0" w:color="auto"/>
      </w:divBdr>
    </w:div>
    <w:div w:id="612632997">
      <w:bodyDiv w:val="1"/>
      <w:marLeft w:val="0"/>
      <w:marRight w:val="0"/>
      <w:marTop w:val="0"/>
      <w:marBottom w:val="0"/>
      <w:divBdr>
        <w:top w:val="none" w:sz="0" w:space="0" w:color="auto"/>
        <w:left w:val="none" w:sz="0" w:space="0" w:color="auto"/>
        <w:bottom w:val="none" w:sz="0" w:space="0" w:color="auto"/>
        <w:right w:val="none" w:sz="0" w:space="0" w:color="auto"/>
      </w:divBdr>
    </w:div>
    <w:div w:id="625818112">
      <w:bodyDiv w:val="1"/>
      <w:marLeft w:val="0"/>
      <w:marRight w:val="0"/>
      <w:marTop w:val="0"/>
      <w:marBottom w:val="0"/>
      <w:divBdr>
        <w:top w:val="none" w:sz="0" w:space="0" w:color="auto"/>
        <w:left w:val="none" w:sz="0" w:space="0" w:color="auto"/>
        <w:bottom w:val="none" w:sz="0" w:space="0" w:color="auto"/>
        <w:right w:val="none" w:sz="0" w:space="0" w:color="auto"/>
      </w:divBdr>
    </w:div>
    <w:div w:id="632102753">
      <w:bodyDiv w:val="1"/>
      <w:marLeft w:val="0"/>
      <w:marRight w:val="0"/>
      <w:marTop w:val="0"/>
      <w:marBottom w:val="0"/>
      <w:divBdr>
        <w:top w:val="none" w:sz="0" w:space="0" w:color="auto"/>
        <w:left w:val="none" w:sz="0" w:space="0" w:color="auto"/>
        <w:bottom w:val="none" w:sz="0" w:space="0" w:color="auto"/>
        <w:right w:val="none" w:sz="0" w:space="0" w:color="auto"/>
      </w:divBdr>
    </w:div>
    <w:div w:id="654191190">
      <w:bodyDiv w:val="1"/>
      <w:marLeft w:val="0"/>
      <w:marRight w:val="0"/>
      <w:marTop w:val="0"/>
      <w:marBottom w:val="0"/>
      <w:divBdr>
        <w:top w:val="none" w:sz="0" w:space="0" w:color="auto"/>
        <w:left w:val="none" w:sz="0" w:space="0" w:color="auto"/>
        <w:bottom w:val="none" w:sz="0" w:space="0" w:color="auto"/>
        <w:right w:val="none" w:sz="0" w:space="0" w:color="auto"/>
      </w:divBdr>
    </w:div>
    <w:div w:id="658074005">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01249253">
      <w:bodyDiv w:val="1"/>
      <w:marLeft w:val="0"/>
      <w:marRight w:val="0"/>
      <w:marTop w:val="0"/>
      <w:marBottom w:val="0"/>
      <w:divBdr>
        <w:top w:val="none" w:sz="0" w:space="0" w:color="auto"/>
        <w:left w:val="none" w:sz="0" w:space="0" w:color="auto"/>
        <w:bottom w:val="none" w:sz="0" w:space="0" w:color="auto"/>
        <w:right w:val="none" w:sz="0" w:space="0" w:color="auto"/>
      </w:divBdr>
    </w:div>
    <w:div w:id="711341417">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36318657">
      <w:bodyDiv w:val="1"/>
      <w:marLeft w:val="0"/>
      <w:marRight w:val="0"/>
      <w:marTop w:val="0"/>
      <w:marBottom w:val="0"/>
      <w:divBdr>
        <w:top w:val="none" w:sz="0" w:space="0" w:color="auto"/>
        <w:left w:val="none" w:sz="0" w:space="0" w:color="auto"/>
        <w:bottom w:val="none" w:sz="0" w:space="0" w:color="auto"/>
        <w:right w:val="none" w:sz="0" w:space="0" w:color="auto"/>
      </w:divBdr>
    </w:div>
    <w:div w:id="738745846">
      <w:bodyDiv w:val="1"/>
      <w:marLeft w:val="0"/>
      <w:marRight w:val="0"/>
      <w:marTop w:val="0"/>
      <w:marBottom w:val="0"/>
      <w:divBdr>
        <w:top w:val="none" w:sz="0" w:space="0" w:color="auto"/>
        <w:left w:val="none" w:sz="0" w:space="0" w:color="auto"/>
        <w:bottom w:val="none" w:sz="0" w:space="0" w:color="auto"/>
        <w:right w:val="none" w:sz="0" w:space="0" w:color="auto"/>
      </w:divBdr>
    </w:div>
    <w:div w:id="749623265">
      <w:bodyDiv w:val="1"/>
      <w:marLeft w:val="0"/>
      <w:marRight w:val="0"/>
      <w:marTop w:val="0"/>
      <w:marBottom w:val="0"/>
      <w:divBdr>
        <w:top w:val="none" w:sz="0" w:space="0" w:color="auto"/>
        <w:left w:val="none" w:sz="0" w:space="0" w:color="auto"/>
        <w:bottom w:val="none" w:sz="0" w:space="0" w:color="auto"/>
        <w:right w:val="none" w:sz="0" w:space="0" w:color="auto"/>
      </w:divBdr>
    </w:div>
    <w:div w:id="758869099">
      <w:bodyDiv w:val="1"/>
      <w:marLeft w:val="0"/>
      <w:marRight w:val="0"/>
      <w:marTop w:val="0"/>
      <w:marBottom w:val="0"/>
      <w:divBdr>
        <w:top w:val="none" w:sz="0" w:space="0" w:color="auto"/>
        <w:left w:val="none" w:sz="0" w:space="0" w:color="auto"/>
        <w:bottom w:val="none" w:sz="0" w:space="0" w:color="auto"/>
        <w:right w:val="none" w:sz="0" w:space="0" w:color="auto"/>
      </w:divBdr>
    </w:div>
    <w:div w:id="764956695">
      <w:bodyDiv w:val="1"/>
      <w:marLeft w:val="0"/>
      <w:marRight w:val="0"/>
      <w:marTop w:val="0"/>
      <w:marBottom w:val="0"/>
      <w:divBdr>
        <w:top w:val="none" w:sz="0" w:space="0" w:color="auto"/>
        <w:left w:val="none" w:sz="0" w:space="0" w:color="auto"/>
        <w:bottom w:val="none" w:sz="0" w:space="0" w:color="auto"/>
        <w:right w:val="none" w:sz="0" w:space="0" w:color="auto"/>
      </w:divBdr>
    </w:div>
    <w:div w:id="794640192">
      <w:bodyDiv w:val="1"/>
      <w:marLeft w:val="0"/>
      <w:marRight w:val="0"/>
      <w:marTop w:val="0"/>
      <w:marBottom w:val="0"/>
      <w:divBdr>
        <w:top w:val="none" w:sz="0" w:space="0" w:color="auto"/>
        <w:left w:val="none" w:sz="0" w:space="0" w:color="auto"/>
        <w:bottom w:val="none" w:sz="0" w:space="0" w:color="auto"/>
        <w:right w:val="none" w:sz="0" w:space="0" w:color="auto"/>
      </w:divBdr>
    </w:div>
    <w:div w:id="799305128">
      <w:bodyDiv w:val="1"/>
      <w:marLeft w:val="0"/>
      <w:marRight w:val="0"/>
      <w:marTop w:val="0"/>
      <w:marBottom w:val="0"/>
      <w:divBdr>
        <w:top w:val="none" w:sz="0" w:space="0" w:color="auto"/>
        <w:left w:val="none" w:sz="0" w:space="0" w:color="auto"/>
        <w:bottom w:val="none" w:sz="0" w:space="0" w:color="auto"/>
        <w:right w:val="none" w:sz="0" w:space="0" w:color="auto"/>
      </w:divBdr>
    </w:div>
    <w:div w:id="821970360">
      <w:bodyDiv w:val="1"/>
      <w:marLeft w:val="0"/>
      <w:marRight w:val="0"/>
      <w:marTop w:val="0"/>
      <w:marBottom w:val="0"/>
      <w:divBdr>
        <w:top w:val="none" w:sz="0" w:space="0" w:color="auto"/>
        <w:left w:val="none" w:sz="0" w:space="0" w:color="auto"/>
        <w:bottom w:val="none" w:sz="0" w:space="0" w:color="auto"/>
        <w:right w:val="none" w:sz="0" w:space="0" w:color="auto"/>
      </w:divBdr>
    </w:div>
    <w:div w:id="833450749">
      <w:bodyDiv w:val="1"/>
      <w:marLeft w:val="0"/>
      <w:marRight w:val="0"/>
      <w:marTop w:val="0"/>
      <w:marBottom w:val="0"/>
      <w:divBdr>
        <w:top w:val="none" w:sz="0" w:space="0" w:color="auto"/>
        <w:left w:val="none" w:sz="0" w:space="0" w:color="auto"/>
        <w:bottom w:val="none" w:sz="0" w:space="0" w:color="auto"/>
        <w:right w:val="none" w:sz="0" w:space="0" w:color="auto"/>
      </w:divBdr>
    </w:div>
    <w:div w:id="853688387">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857038391">
      <w:bodyDiv w:val="1"/>
      <w:marLeft w:val="0"/>
      <w:marRight w:val="0"/>
      <w:marTop w:val="0"/>
      <w:marBottom w:val="0"/>
      <w:divBdr>
        <w:top w:val="none" w:sz="0" w:space="0" w:color="auto"/>
        <w:left w:val="none" w:sz="0" w:space="0" w:color="auto"/>
        <w:bottom w:val="none" w:sz="0" w:space="0" w:color="auto"/>
        <w:right w:val="none" w:sz="0" w:space="0" w:color="auto"/>
      </w:divBdr>
    </w:div>
    <w:div w:id="907888310">
      <w:bodyDiv w:val="1"/>
      <w:marLeft w:val="0"/>
      <w:marRight w:val="0"/>
      <w:marTop w:val="0"/>
      <w:marBottom w:val="0"/>
      <w:divBdr>
        <w:top w:val="none" w:sz="0" w:space="0" w:color="auto"/>
        <w:left w:val="none" w:sz="0" w:space="0" w:color="auto"/>
        <w:bottom w:val="none" w:sz="0" w:space="0" w:color="auto"/>
        <w:right w:val="none" w:sz="0" w:space="0" w:color="auto"/>
      </w:divBdr>
    </w:div>
    <w:div w:id="910698374">
      <w:bodyDiv w:val="1"/>
      <w:marLeft w:val="0"/>
      <w:marRight w:val="0"/>
      <w:marTop w:val="0"/>
      <w:marBottom w:val="0"/>
      <w:divBdr>
        <w:top w:val="none" w:sz="0" w:space="0" w:color="auto"/>
        <w:left w:val="none" w:sz="0" w:space="0" w:color="auto"/>
        <w:bottom w:val="none" w:sz="0" w:space="0" w:color="auto"/>
        <w:right w:val="none" w:sz="0" w:space="0" w:color="auto"/>
      </w:divBdr>
    </w:div>
    <w:div w:id="929776232">
      <w:bodyDiv w:val="1"/>
      <w:marLeft w:val="0"/>
      <w:marRight w:val="0"/>
      <w:marTop w:val="0"/>
      <w:marBottom w:val="0"/>
      <w:divBdr>
        <w:top w:val="none" w:sz="0" w:space="0" w:color="auto"/>
        <w:left w:val="none" w:sz="0" w:space="0" w:color="auto"/>
        <w:bottom w:val="none" w:sz="0" w:space="0" w:color="auto"/>
        <w:right w:val="none" w:sz="0" w:space="0" w:color="auto"/>
      </w:divBdr>
    </w:div>
    <w:div w:id="939918591">
      <w:bodyDiv w:val="1"/>
      <w:marLeft w:val="0"/>
      <w:marRight w:val="0"/>
      <w:marTop w:val="0"/>
      <w:marBottom w:val="0"/>
      <w:divBdr>
        <w:top w:val="none" w:sz="0" w:space="0" w:color="auto"/>
        <w:left w:val="none" w:sz="0" w:space="0" w:color="auto"/>
        <w:bottom w:val="none" w:sz="0" w:space="0" w:color="auto"/>
        <w:right w:val="none" w:sz="0" w:space="0" w:color="auto"/>
      </w:divBdr>
    </w:div>
    <w:div w:id="942767757">
      <w:bodyDiv w:val="1"/>
      <w:marLeft w:val="0"/>
      <w:marRight w:val="0"/>
      <w:marTop w:val="0"/>
      <w:marBottom w:val="0"/>
      <w:divBdr>
        <w:top w:val="none" w:sz="0" w:space="0" w:color="auto"/>
        <w:left w:val="none" w:sz="0" w:space="0" w:color="auto"/>
        <w:bottom w:val="none" w:sz="0" w:space="0" w:color="auto"/>
        <w:right w:val="none" w:sz="0" w:space="0" w:color="auto"/>
      </w:divBdr>
    </w:div>
    <w:div w:id="967468227">
      <w:bodyDiv w:val="1"/>
      <w:marLeft w:val="0"/>
      <w:marRight w:val="0"/>
      <w:marTop w:val="0"/>
      <w:marBottom w:val="0"/>
      <w:divBdr>
        <w:top w:val="none" w:sz="0" w:space="0" w:color="auto"/>
        <w:left w:val="none" w:sz="0" w:space="0" w:color="auto"/>
        <w:bottom w:val="none" w:sz="0" w:space="0" w:color="auto"/>
        <w:right w:val="none" w:sz="0" w:space="0" w:color="auto"/>
      </w:divBdr>
    </w:div>
    <w:div w:id="995693297">
      <w:bodyDiv w:val="1"/>
      <w:marLeft w:val="0"/>
      <w:marRight w:val="0"/>
      <w:marTop w:val="0"/>
      <w:marBottom w:val="0"/>
      <w:divBdr>
        <w:top w:val="none" w:sz="0" w:space="0" w:color="auto"/>
        <w:left w:val="none" w:sz="0" w:space="0" w:color="auto"/>
        <w:bottom w:val="none" w:sz="0" w:space="0" w:color="auto"/>
        <w:right w:val="none" w:sz="0" w:space="0" w:color="auto"/>
      </w:divBdr>
    </w:div>
    <w:div w:id="1015617182">
      <w:bodyDiv w:val="1"/>
      <w:marLeft w:val="0"/>
      <w:marRight w:val="0"/>
      <w:marTop w:val="0"/>
      <w:marBottom w:val="0"/>
      <w:divBdr>
        <w:top w:val="none" w:sz="0" w:space="0" w:color="auto"/>
        <w:left w:val="none" w:sz="0" w:space="0" w:color="auto"/>
        <w:bottom w:val="none" w:sz="0" w:space="0" w:color="auto"/>
        <w:right w:val="none" w:sz="0" w:space="0" w:color="auto"/>
      </w:divBdr>
    </w:div>
    <w:div w:id="1024792468">
      <w:bodyDiv w:val="1"/>
      <w:marLeft w:val="0"/>
      <w:marRight w:val="0"/>
      <w:marTop w:val="0"/>
      <w:marBottom w:val="0"/>
      <w:divBdr>
        <w:top w:val="none" w:sz="0" w:space="0" w:color="auto"/>
        <w:left w:val="none" w:sz="0" w:space="0" w:color="auto"/>
        <w:bottom w:val="none" w:sz="0" w:space="0" w:color="auto"/>
        <w:right w:val="none" w:sz="0" w:space="0" w:color="auto"/>
      </w:divBdr>
    </w:div>
    <w:div w:id="1045717108">
      <w:bodyDiv w:val="1"/>
      <w:marLeft w:val="0"/>
      <w:marRight w:val="0"/>
      <w:marTop w:val="0"/>
      <w:marBottom w:val="0"/>
      <w:divBdr>
        <w:top w:val="none" w:sz="0" w:space="0" w:color="auto"/>
        <w:left w:val="none" w:sz="0" w:space="0" w:color="auto"/>
        <w:bottom w:val="none" w:sz="0" w:space="0" w:color="auto"/>
        <w:right w:val="none" w:sz="0" w:space="0" w:color="auto"/>
      </w:divBdr>
    </w:div>
    <w:div w:id="1051804395">
      <w:bodyDiv w:val="1"/>
      <w:marLeft w:val="0"/>
      <w:marRight w:val="0"/>
      <w:marTop w:val="0"/>
      <w:marBottom w:val="0"/>
      <w:divBdr>
        <w:top w:val="none" w:sz="0" w:space="0" w:color="auto"/>
        <w:left w:val="none" w:sz="0" w:space="0" w:color="auto"/>
        <w:bottom w:val="none" w:sz="0" w:space="0" w:color="auto"/>
        <w:right w:val="none" w:sz="0" w:space="0" w:color="auto"/>
      </w:divBdr>
    </w:div>
    <w:div w:id="1055155832">
      <w:bodyDiv w:val="1"/>
      <w:marLeft w:val="0"/>
      <w:marRight w:val="0"/>
      <w:marTop w:val="0"/>
      <w:marBottom w:val="0"/>
      <w:divBdr>
        <w:top w:val="none" w:sz="0" w:space="0" w:color="auto"/>
        <w:left w:val="none" w:sz="0" w:space="0" w:color="auto"/>
        <w:bottom w:val="none" w:sz="0" w:space="0" w:color="auto"/>
        <w:right w:val="none" w:sz="0" w:space="0" w:color="auto"/>
      </w:divBdr>
    </w:div>
    <w:div w:id="1058285048">
      <w:bodyDiv w:val="1"/>
      <w:marLeft w:val="0"/>
      <w:marRight w:val="0"/>
      <w:marTop w:val="0"/>
      <w:marBottom w:val="0"/>
      <w:divBdr>
        <w:top w:val="none" w:sz="0" w:space="0" w:color="auto"/>
        <w:left w:val="none" w:sz="0" w:space="0" w:color="auto"/>
        <w:bottom w:val="none" w:sz="0" w:space="0" w:color="auto"/>
        <w:right w:val="none" w:sz="0" w:space="0" w:color="auto"/>
      </w:divBdr>
    </w:div>
    <w:div w:id="1063527306">
      <w:bodyDiv w:val="1"/>
      <w:marLeft w:val="0"/>
      <w:marRight w:val="0"/>
      <w:marTop w:val="0"/>
      <w:marBottom w:val="0"/>
      <w:divBdr>
        <w:top w:val="none" w:sz="0" w:space="0" w:color="auto"/>
        <w:left w:val="none" w:sz="0" w:space="0" w:color="auto"/>
        <w:bottom w:val="none" w:sz="0" w:space="0" w:color="auto"/>
        <w:right w:val="none" w:sz="0" w:space="0" w:color="auto"/>
      </w:divBdr>
    </w:div>
    <w:div w:id="1067070629">
      <w:bodyDiv w:val="1"/>
      <w:marLeft w:val="0"/>
      <w:marRight w:val="0"/>
      <w:marTop w:val="0"/>
      <w:marBottom w:val="0"/>
      <w:divBdr>
        <w:top w:val="none" w:sz="0" w:space="0" w:color="auto"/>
        <w:left w:val="none" w:sz="0" w:space="0" w:color="auto"/>
        <w:bottom w:val="none" w:sz="0" w:space="0" w:color="auto"/>
        <w:right w:val="none" w:sz="0" w:space="0" w:color="auto"/>
      </w:divBdr>
    </w:div>
    <w:div w:id="1074546250">
      <w:bodyDiv w:val="1"/>
      <w:marLeft w:val="0"/>
      <w:marRight w:val="0"/>
      <w:marTop w:val="0"/>
      <w:marBottom w:val="0"/>
      <w:divBdr>
        <w:top w:val="none" w:sz="0" w:space="0" w:color="auto"/>
        <w:left w:val="none" w:sz="0" w:space="0" w:color="auto"/>
        <w:bottom w:val="none" w:sz="0" w:space="0" w:color="auto"/>
        <w:right w:val="none" w:sz="0" w:space="0" w:color="auto"/>
      </w:divBdr>
    </w:div>
    <w:div w:id="1077478671">
      <w:bodyDiv w:val="1"/>
      <w:marLeft w:val="0"/>
      <w:marRight w:val="0"/>
      <w:marTop w:val="0"/>
      <w:marBottom w:val="0"/>
      <w:divBdr>
        <w:top w:val="none" w:sz="0" w:space="0" w:color="auto"/>
        <w:left w:val="none" w:sz="0" w:space="0" w:color="auto"/>
        <w:bottom w:val="none" w:sz="0" w:space="0" w:color="auto"/>
        <w:right w:val="none" w:sz="0" w:space="0" w:color="auto"/>
      </w:divBdr>
    </w:div>
    <w:div w:id="1084716737">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34248752">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200239921">
      <w:bodyDiv w:val="1"/>
      <w:marLeft w:val="0"/>
      <w:marRight w:val="0"/>
      <w:marTop w:val="0"/>
      <w:marBottom w:val="0"/>
      <w:divBdr>
        <w:top w:val="none" w:sz="0" w:space="0" w:color="auto"/>
        <w:left w:val="none" w:sz="0" w:space="0" w:color="auto"/>
        <w:bottom w:val="none" w:sz="0" w:space="0" w:color="auto"/>
        <w:right w:val="none" w:sz="0" w:space="0" w:color="auto"/>
      </w:divBdr>
    </w:div>
    <w:div w:id="1204245450">
      <w:bodyDiv w:val="1"/>
      <w:marLeft w:val="0"/>
      <w:marRight w:val="0"/>
      <w:marTop w:val="0"/>
      <w:marBottom w:val="0"/>
      <w:divBdr>
        <w:top w:val="none" w:sz="0" w:space="0" w:color="auto"/>
        <w:left w:val="none" w:sz="0" w:space="0" w:color="auto"/>
        <w:bottom w:val="none" w:sz="0" w:space="0" w:color="auto"/>
        <w:right w:val="none" w:sz="0" w:space="0" w:color="auto"/>
      </w:divBdr>
    </w:div>
    <w:div w:id="1221481412">
      <w:bodyDiv w:val="1"/>
      <w:marLeft w:val="0"/>
      <w:marRight w:val="0"/>
      <w:marTop w:val="0"/>
      <w:marBottom w:val="0"/>
      <w:divBdr>
        <w:top w:val="none" w:sz="0" w:space="0" w:color="auto"/>
        <w:left w:val="none" w:sz="0" w:space="0" w:color="auto"/>
        <w:bottom w:val="none" w:sz="0" w:space="0" w:color="auto"/>
        <w:right w:val="none" w:sz="0" w:space="0" w:color="auto"/>
      </w:divBdr>
    </w:div>
    <w:div w:id="1224409314">
      <w:bodyDiv w:val="1"/>
      <w:marLeft w:val="0"/>
      <w:marRight w:val="0"/>
      <w:marTop w:val="0"/>
      <w:marBottom w:val="0"/>
      <w:divBdr>
        <w:top w:val="none" w:sz="0" w:space="0" w:color="auto"/>
        <w:left w:val="none" w:sz="0" w:space="0" w:color="auto"/>
        <w:bottom w:val="none" w:sz="0" w:space="0" w:color="auto"/>
        <w:right w:val="none" w:sz="0" w:space="0" w:color="auto"/>
      </w:divBdr>
    </w:div>
    <w:div w:id="1237402606">
      <w:bodyDiv w:val="1"/>
      <w:marLeft w:val="0"/>
      <w:marRight w:val="0"/>
      <w:marTop w:val="0"/>
      <w:marBottom w:val="0"/>
      <w:divBdr>
        <w:top w:val="none" w:sz="0" w:space="0" w:color="auto"/>
        <w:left w:val="none" w:sz="0" w:space="0" w:color="auto"/>
        <w:bottom w:val="none" w:sz="0" w:space="0" w:color="auto"/>
        <w:right w:val="none" w:sz="0" w:space="0" w:color="auto"/>
      </w:divBdr>
    </w:div>
    <w:div w:id="1251040234">
      <w:bodyDiv w:val="1"/>
      <w:marLeft w:val="0"/>
      <w:marRight w:val="0"/>
      <w:marTop w:val="0"/>
      <w:marBottom w:val="0"/>
      <w:divBdr>
        <w:top w:val="none" w:sz="0" w:space="0" w:color="auto"/>
        <w:left w:val="none" w:sz="0" w:space="0" w:color="auto"/>
        <w:bottom w:val="none" w:sz="0" w:space="0" w:color="auto"/>
        <w:right w:val="none" w:sz="0" w:space="0" w:color="auto"/>
      </w:divBdr>
    </w:div>
    <w:div w:id="1256476463">
      <w:bodyDiv w:val="1"/>
      <w:marLeft w:val="0"/>
      <w:marRight w:val="0"/>
      <w:marTop w:val="0"/>
      <w:marBottom w:val="0"/>
      <w:divBdr>
        <w:top w:val="none" w:sz="0" w:space="0" w:color="auto"/>
        <w:left w:val="none" w:sz="0" w:space="0" w:color="auto"/>
        <w:bottom w:val="none" w:sz="0" w:space="0" w:color="auto"/>
        <w:right w:val="none" w:sz="0" w:space="0" w:color="auto"/>
      </w:divBdr>
    </w:div>
    <w:div w:id="1276404785">
      <w:bodyDiv w:val="1"/>
      <w:marLeft w:val="0"/>
      <w:marRight w:val="0"/>
      <w:marTop w:val="0"/>
      <w:marBottom w:val="0"/>
      <w:divBdr>
        <w:top w:val="none" w:sz="0" w:space="0" w:color="auto"/>
        <w:left w:val="none" w:sz="0" w:space="0" w:color="auto"/>
        <w:bottom w:val="none" w:sz="0" w:space="0" w:color="auto"/>
        <w:right w:val="none" w:sz="0" w:space="0" w:color="auto"/>
      </w:divBdr>
    </w:div>
    <w:div w:id="1292635629">
      <w:bodyDiv w:val="1"/>
      <w:marLeft w:val="0"/>
      <w:marRight w:val="0"/>
      <w:marTop w:val="0"/>
      <w:marBottom w:val="0"/>
      <w:divBdr>
        <w:top w:val="none" w:sz="0" w:space="0" w:color="auto"/>
        <w:left w:val="none" w:sz="0" w:space="0" w:color="auto"/>
        <w:bottom w:val="none" w:sz="0" w:space="0" w:color="auto"/>
        <w:right w:val="none" w:sz="0" w:space="0" w:color="auto"/>
      </w:divBdr>
    </w:div>
    <w:div w:id="1327057177">
      <w:bodyDiv w:val="1"/>
      <w:marLeft w:val="0"/>
      <w:marRight w:val="0"/>
      <w:marTop w:val="0"/>
      <w:marBottom w:val="0"/>
      <w:divBdr>
        <w:top w:val="none" w:sz="0" w:space="0" w:color="auto"/>
        <w:left w:val="none" w:sz="0" w:space="0" w:color="auto"/>
        <w:bottom w:val="none" w:sz="0" w:space="0" w:color="auto"/>
        <w:right w:val="none" w:sz="0" w:space="0" w:color="auto"/>
      </w:divBdr>
    </w:div>
    <w:div w:id="1341663252">
      <w:bodyDiv w:val="1"/>
      <w:marLeft w:val="0"/>
      <w:marRight w:val="0"/>
      <w:marTop w:val="0"/>
      <w:marBottom w:val="0"/>
      <w:divBdr>
        <w:top w:val="none" w:sz="0" w:space="0" w:color="auto"/>
        <w:left w:val="none" w:sz="0" w:space="0" w:color="auto"/>
        <w:bottom w:val="none" w:sz="0" w:space="0" w:color="auto"/>
        <w:right w:val="none" w:sz="0" w:space="0" w:color="auto"/>
      </w:divBdr>
    </w:div>
    <w:div w:id="1345789526">
      <w:bodyDiv w:val="1"/>
      <w:marLeft w:val="0"/>
      <w:marRight w:val="0"/>
      <w:marTop w:val="0"/>
      <w:marBottom w:val="0"/>
      <w:divBdr>
        <w:top w:val="none" w:sz="0" w:space="0" w:color="auto"/>
        <w:left w:val="none" w:sz="0" w:space="0" w:color="auto"/>
        <w:bottom w:val="none" w:sz="0" w:space="0" w:color="auto"/>
        <w:right w:val="none" w:sz="0" w:space="0" w:color="auto"/>
      </w:divBdr>
    </w:div>
    <w:div w:id="1352105156">
      <w:bodyDiv w:val="1"/>
      <w:marLeft w:val="0"/>
      <w:marRight w:val="0"/>
      <w:marTop w:val="0"/>
      <w:marBottom w:val="0"/>
      <w:divBdr>
        <w:top w:val="none" w:sz="0" w:space="0" w:color="auto"/>
        <w:left w:val="none" w:sz="0" w:space="0" w:color="auto"/>
        <w:bottom w:val="none" w:sz="0" w:space="0" w:color="auto"/>
        <w:right w:val="none" w:sz="0" w:space="0" w:color="auto"/>
      </w:divBdr>
    </w:div>
    <w:div w:id="1369136054">
      <w:bodyDiv w:val="1"/>
      <w:marLeft w:val="0"/>
      <w:marRight w:val="0"/>
      <w:marTop w:val="0"/>
      <w:marBottom w:val="0"/>
      <w:divBdr>
        <w:top w:val="none" w:sz="0" w:space="0" w:color="auto"/>
        <w:left w:val="none" w:sz="0" w:space="0" w:color="auto"/>
        <w:bottom w:val="none" w:sz="0" w:space="0" w:color="auto"/>
        <w:right w:val="none" w:sz="0" w:space="0" w:color="auto"/>
      </w:divBdr>
    </w:div>
    <w:div w:id="1376392031">
      <w:bodyDiv w:val="1"/>
      <w:marLeft w:val="0"/>
      <w:marRight w:val="0"/>
      <w:marTop w:val="0"/>
      <w:marBottom w:val="0"/>
      <w:divBdr>
        <w:top w:val="none" w:sz="0" w:space="0" w:color="auto"/>
        <w:left w:val="none" w:sz="0" w:space="0" w:color="auto"/>
        <w:bottom w:val="none" w:sz="0" w:space="0" w:color="auto"/>
        <w:right w:val="none" w:sz="0" w:space="0" w:color="auto"/>
      </w:divBdr>
    </w:div>
    <w:div w:id="1456867121">
      <w:bodyDiv w:val="1"/>
      <w:marLeft w:val="0"/>
      <w:marRight w:val="0"/>
      <w:marTop w:val="0"/>
      <w:marBottom w:val="0"/>
      <w:divBdr>
        <w:top w:val="none" w:sz="0" w:space="0" w:color="auto"/>
        <w:left w:val="none" w:sz="0" w:space="0" w:color="auto"/>
        <w:bottom w:val="none" w:sz="0" w:space="0" w:color="auto"/>
        <w:right w:val="none" w:sz="0" w:space="0" w:color="auto"/>
      </w:divBdr>
    </w:div>
    <w:div w:id="1471095398">
      <w:bodyDiv w:val="1"/>
      <w:marLeft w:val="0"/>
      <w:marRight w:val="0"/>
      <w:marTop w:val="0"/>
      <w:marBottom w:val="0"/>
      <w:divBdr>
        <w:top w:val="none" w:sz="0" w:space="0" w:color="auto"/>
        <w:left w:val="none" w:sz="0" w:space="0" w:color="auto"/>
        <w:bottom w:val="none" w:sz="0" w:space="0" w:color="auto"/>
        <w:right w:val="none" w:sz="0" w:space="0" w:color="auto"/>
      </w:divBdr>
    </w:div>
    <w:div w:id="1476685100">
      <w:bodyDiv w:val="1"/>
      <w:marLeft w:val="0"/>
      <w:marRight w:val="0"/>
      <w:marTop w:val="0"/>
      <w:marBottom w:val="0"/>
      <w:divBdr>
        <w:top w:val="none" w:sz="0" w:space="0" w:color="auto"/>
        <w:left w:val="none" w:sz="0" w:space="0" w:color="auto"/>
        <w:bottom w:val="none" w:sz="0" w:space="0" w:color="auto"/>
        <w:right w:val="none" w:sz="0" w:space="0" w:color="auto"/>
      </w:divBdr>
    </w:div>
    <w:div w:id="1480227589">
      <w:bodyDiv w:val="1"/>
      <w:marLeft w:val="0"/>
      <w:marRight w:val="0"/>
      <w:marTop w:val="0"/>
      <w:marBottom w:val="0"/>
      <w:divBdr>
        <w:top w:val="none" w:sz="0" w:space="0" w:color="auto"/>
        <w:left w:val="none" w:sz="0" w:space="0" w:color="auto"/>
        <w:bottom w:val="none" w:sz="0" w:space="0" w:color="auto"/>
        <w:right w:val="none" w:sz="0" w:space="0" w:color="auto"/>
      </w:divBdr>
    </w:div>
    <w:div w:id="1487169104">
      <w:bodyDiv w:val="1"/>
      <w:marLeft w:val="0"/>
      <w:marRight w:val="0"/>
      <w:marTop w:val="0"/>
      <w:marBottom w:val="0"/>
      <w:divBdr>
        <w:top w:val="none" w:sz="0" w:space="0" w:color="auto"/>
        <w:left w:val="none" w:sz="0" w:space="0" w:color="auto"/>
        <w:bottom w:val="none" w:sz="0" w:space="0" w:color="auto"/>
        <w:right w:val="none" w:sz="0" w:space="0" w:color="auto"/>
      </w:divBdr>
    </w:div>
    <w:div w:id="1510867827">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23518529">
      <w:bodyDiv w:val="1"/>
      <w:marLeft w:val="0"/>
      <w:marRight w:val="0"/>
      <w:marTop w:val="0"/>
      <w:marBottom w:val="0"/>
      <w:divBdr>
        <w:top w:val="none" w:sz="0" w:space="0" w:color="auto"/>
        <w:left w:val="none" w:sz="0" w:space="0" w:color="auto"/>
        <w:bottom w:val="none" w:sz="0" w:space="0" w:color="auto"/>
        <w:right w:val="none" w:sz="0" w:space="0" w:color="auto"/>
      </w:divBdr>
    </w:div>
    <w:div w:id="1540583324">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585798552">
      <w:bodyDiv w:val="1"/>
      <w:marLeft w:val="0"/>
      <w:marRight w:val="0"/>
      <w:marTop w:val="0"/>
      <w:marBottom w:val="0"/>
      <w:divBdr>
        <w:top w:val="none" w:sz="0" w:space="0" w:color="auto"/>
        <w:left w:val="none" w:sz="0" w:space="0" w:color="auto"/>
        <w:bottom w:val="none" w:sz="0" w:space="0" w:color="auto"/>
        <w:right w:val="none" w:sz="0" w:space="0" w:color="auto"/>
      </w:divBdr>
    </w:div>
    <w:div w:id="1608149391">
      <w:bodyDiv w:val="1"/>
      <w:marLeft w:val="0"/>
      <w:marRight w:val="0"/>
      <w:marTop w:val="0"/>
      <w:marBottom w:val="0"/>
      <w:divBdr>
        <w:top w:val="none" w:sz="0" w:space="0" w:color="auto"/>
        <w:left w:val="none" w:sz="0" w:space="0" w:color="auto"/>
        <w:bottom w:val="none" w:sz="0" w:space="0" w:color="auto"/>
        <w:right w:val="none" w:sz="0" w:space="0" w:color="auto"/>
      </w:divBdr>
    </w:div>
    <w:div w:id="1629704310">
      <w:bodyDiv w:val="1"/>
      <w:marLeft w:val="0"/>
      <w:marRight w:val="0"/>
      <w:marTop w:val="0"/>
      <w:marBottom w:val="0"/>
      <w:divBdr>
        <w:top w:val="none" w:sz="0" w:space="0" w:color="auto"/>
        <w:left w:val="none" w:sz="0" w:space="0" w:color="auto"/>
        <w:bottom w:val="none" w:sz="0" w:space="0" w:color="auto"/>
        <w:right w:val="none" w:sz="0" w:space="0" w:color="auto"/>
      </w:divBdr>
    </w:div>
    <w:div w:id="1630043926">
      <w:bodyDiv w:val="1"/>
      <w:marLeft w:val="0"/>
      <w:marRight w:val="0"/>
      <w:marTop w:val="0"/>
      <w:marBottom w:val="0"/>
      <w:divBdr>
        <w:top w:val="none" w:sz="0" w:space="0" w:color="auto"/>
        <w:left w:val="none" w:sz="0" w:space="0" w:color="auto"/>
        <w:bottom w:val="none" w:sz="0" w:space="0" w:color="auto"/>
        <w:right w:val="none" w:sz="0" w:space="0" w:color="auto"/>
      </w:divBdr>
    </w:div>
    <w:div w:id="1675261147">
      <w:bodyDiv w:val="1"/>
      <w:marLeft w:val="0"/>
      <w:marRight w:val="0"/>
      <w:marTop w:val="0"/>
      <w:marBottom w:val="0"/>
      <w:divBdr>
        <w:top w:val="none" w:sz="0" w:space="0" w:color="auto"/>
        <w:left w:val="none" w:sz="0" w:space="0" w:color="auto"/>
        <w:bottom w:val="none" w:sz="0" w:space="0" w:color="auto"/>
        <w:right w:val="none" w:sz="0" w:space="0" w:color="auto"/>
      </w:divBdr>
    </w:div>
    <w:div w:id="1682194401">
      <w:bodyDiv w:val="1"/>
      <w:marLeft w:val="0"/>
      <w:marRight w:val="0"/>
      <w:marTop w:val="0"/>
      <w:marBottom w:val="0"/>
      <w:divBdr>
        <w:top w:val="none" w:sz="0" w:space="0" w:color="auto"/>
        <w:left w:val="none" w:sz="0" w:space="0" w:color="auto"/>
        <w:bottom w:val="none" w:sz="0" w:space="0" w:color="auto"/>
        <w:right w:val="none" w:sz="0" w:space="0" w:color="auto"/>
      </w:divBdr>
    </w:div>
    <w:div w:id="1683631141">
      <w:bodyDiv w:val="1"/>
      <w:marLeft w:val="0"/>
      <w:marRight w:val="0"/>
      <w:marTop w:val="0"/>
      <w:marBottom w:val="0"/>
      <w:divBdr>
        <w:top w:val="none" w:sz="0" w:space="0" w:color="auto"/>
        <w:left w:val="none" w:sz="0" w:space="0" w:color="auto"/>
        <w:bottom w:val="none" w:sz="0" w:space="0" w:color="auto"/>
        <w:right w:val="none" w:sz="0" w:space="0" w:color="auto"/>
      </w:divBdr>
    </w:div>
    <w:div w:id="1692224775">
      <w:bodyDiv w:val="1"/>
      <w:marLeft w:val="0"/>
      <w:marRight w:val="0"/>
      <w:marTop w:val="0"/>
      <w:marBottom w:val="0"/>
      <w:divBdr>
        <w:top w:val="none" w:sz="0" w:space="0" w:color="auto"/>
        <w:left w:val="none" w:sz="0" w:space="0" w:color="auto"/>
        <w:bottom w:val="none" w:sz="0" w:space="0" w:color="auto"/>
        <w:right w:val="none" w:sz="0" w:space="0" w:color="auto"/>
      </w:divBdr>
    </w:div>
    <w:div w:id="1724711876">
      <w:bodyDiv w:val="1"/>
      <w:marLeft w:val="0"/>
      <w:marRight w:val="0"/>
      <w:marTop w:val="0"/>
      <w:marBottom w:val="0"/>
      <w:divBdr>
        <w:top w:val="none" w:sz="0" w:space="0" w:color="auto"/>
        <w:left w:val="none" w:sz="0" w:space="0" w:color="auto"/>
        <w:bottom w:val="none" w:sz="0" w:space="0" w:color="auto"/>
        <w:right w:val="none" w:sz="0" w:space="0" w:color="auto"/>
      </w:divBdr>
    </w:div>
    <w:div w:id="1736931523">
      <w:bodyDiv w:val="1"/>
      <w:marLeft w:val="0"/>
      <w:marRight w:val="0"/>
      <w:marTop w:val="0"/>
      <w:marBottom w:val="0"/>
      <w:divBdr>
        <w:top w:val="none" w:sz="0" w:space="0" w:color="auto"/>
        <w:left w:val="none" w:sz="0" w:space="0" w:color="auto"/>
        <w:bottom w:val="none" w:sz="0" w:space="0" w:color="auto"/>
        <w:right w:val="none" w:sz="0" w:space="0" w:color="auto"/>
      </w:divBdr>
    </w:div>
    <w:div w:id="1745759536">
      <w:bodyDiv w:val="1"/>
      <w:marLeft w:val="0"/>
      <w:marRight w:val="0"/>
      <w:marTop w:val="0"/>
      <w:marBottom w:val="0"/>
      <w:divBdr>
        <w:top w:val="none" w:sz="0" w:space="0" w:color="auto"/>
        <w:left w:val="none" w:sz="0" w:space="0" w:color="auto"/>
        <w:bottom w:val="none" w:sz="0" w:space="0" w:color="auto"/>
        <w:right w:val="none" w:sz="0" w:space="0" w:color="auto"/>
      </w:divBdr>
    </w:div>
    <w:div w:id="1750422692">
      <w:bodyDiv w:val="1"/>
      <w:marLeft w:val="0"/>
      <w:marRight w:val="0"/>
      <w:marTop w:val="0"/>
      <w:marBottom w:val="0"/>
      <w:divBdr>
        <w:top w:val="none" w:sz="0" w:space="0" w:color="auto"/>
        <w:left w:val="none" w:sz="0" w:space="0" w:color="auto"/>
        <w:bottom w:val="none" w:sz="0" w:space="0" w:color="auto"/>
        <w:right w:val="none" w:sz="0" w:space="0" w:color="auto"/>
      </w:divBdr>
    </w:div>
    <w:div w:id="1761637073">
      <w:bodyDiv w:val="1"/>
      <w:marLeft w:val="0"/>
      <w:marRight w:val="0"/>
      <w:marTop w:val="0"/>
      <w:marBottom w:val="0"/>
      <w:divBdr>
        <w:top w:val="none" w:sz="0" w:space="0" w:color="auto"/>
        <w:left w:val="none" w:sz="0" w:space="0" w:color="auto"/>
        <w:bottom w:val="none" w:sz="0" w:space="0" w:color="auto"/>
        <w:right w:val="none" w:sz="0" w:space="0" w:color="auto"/>
      </w:divBdr>
    </w:div>
    <w:div w:id="1767799203">
      <w:bodyDiv w:val="1"/>
      <w:marLeft w:val="0"/>
      <w:marRight w:val="0"/>
      <w:marTop w:val="0"/>
      <w:marBottom w:val="0"/>
      <w:divBdr>
        <w:top w:val="none" w:sz="0" w:space="0" w:color="auto"/>
        <w:left w:val="none" w:sz="0" w:space="0" w:color="auto"/>
        <w:bottom w:val="none" w:sz="0" w:space="0" w:color="auto"/>
        <w:right w:val="none" w:sz="0" w:space="0" w:color="auto"/>
      </w:divBdr>
    </w:div>
    <w:div w:id="1778451317">
      <w:bodyDiv w:val="1"/>
      <w:marLeft w:val="0"/>
      <w:marRight w:val="0"/>
      <w:marTop w:val="0"/>
      <w:marBottom w:val="0"/>
      <w:divBdr>
        <w:top w:val="none" w:sz="0" w:space="0" w:color="auto"/>
        <w:left w:val="none" w:sz="0" w:space="0" w:color="auto"/>
        <w:bottom w:val="none" w:sz="0" w:space="0" w:color="auto"/>
        <w:right w:val="none" w:sz="0" w:space="0" w:color="auto"/>
      </w:divBdr>
    </w:div>
    <w:div w:id="180711625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20146814">
      <w:bodyDiv w:val="1"/>
      <w:marLeft w:val="0"/>
      <w:marRight w:val="0"/>
      <w:marTop w:val="0"/>
      <w:marBottom w:val="0"/>
      <w:divBdr>
        <w:top w:val="none" w:sz="0" w:space="0" w:color="auto"/>
        <w:left w:val="none" w:sz="0" w:space="0" w:color="auto"/>
        <w:bottom w:val="none" w:sz="0" w:space="0" w:color="auto"/>
        <w:right w:val="none" w:sz="0" w:space="0" w:color="auto"/>
      </w:divBdr>
    </w:div>
    <w:div w:id="1833793465">
      <w:bodyDiv w:val="1"/>
      <w:marLeft w:val="0"/>
      <w:marRight w:val="0"/>
      <w:marTop w:val="0"/>
      <w:marBottom w:val="0"/>
      <w:divBdr>
        <w:top w:val="none" w:sz="0" w:space="0" w:color="auto"/>
        <w:left w:val="none" w:sz="0" w:space="0" w:color="auto"/>
        <w:bottom w:val="none" w:sz="0" w:space="0" w:color="auto"/>
        <w:right w:val="none" w:sz="0" w:space="0" w:color="auto"/>
      </w:divBdr>
    </w:div>
    <w:div w:id="1845363811">
      <w:bodyDiv w:val="1"/>
      <w:marLeft w:val="0"/>
      <w:marRight w:val="0"/>
      <w:marTop w:val="0"/>
      <w:marBottom w:val="0"/>
      <w:divBdr>
        <w:top w:val="none" w:sz="0" w:space="0" w:color="auto"/>
        <w:left w:val="none" w:sz="0" w:space="0" w:color="auto"/>
        <w:bottom w:val="none" w:sz="0" w:space="0" w:color="auto"/>
        <w:right w:val="none" w:sz="0" w:space="0" w:color="auto"/>
      </w:divBdr>
    </w:div>
    <w:div w:id="1858038931">
      <w:bodyDiv w:val="1"/>
      <w:marLeft w:val="0"/>
      <w:marRight w:val="0"/>
      <w:marTop w:val="0"/>
      <w:marBottom w:val="0"/>
      <w:divBdr>
        <w:top w:val="none" w:sz="0" w:space="0" w:color="auto"/>
        <w:left w:val="none" w:sz="0" w:space="0" w:color="auto"/>
        <w:bottom w:val="none" w:sz="0" w:space="0" w:color="auto"/>
        <w:right w:val="none" w:sz="0" w:space="0" w:color="auto"/>
      </w:divBdr>
    </w:div>
    <w:div w:id="1869179090">
      <w:bodyDiv w:val="1"/>
      <w:marLeft w:val="0"/>
      <w:marRight w:val="0"/>
      <w:marTop w:val="0"/>
      <w:marBottom w:val="0"/>
      <w:divBdr>
        <w:top w:val="none" w:sz="0" w:space="0" w:color="auto"/>
        <w:left w:val="none" w:sz="0" w:space="0" w:color="auto"/>
        <w:bottom w:val="none" w:sz="0" w:space="0" w:color="auto"/>
        <w:right w:val="none" w:sz="0" w:space="0" w:color="auto"/>
      </w:divBdr>
    </w:div>
    <w:div w:id="1881743351">
      <w:bodyDiv w:val="1"/>
      <w:marLeft w:val="0"/>
      <w:marRight w:val="0"/>
      <w:marTop w:val="0"/>
      <w:marBottom w:val="0"/>
      <w:divBdr>
        <w:top w:val="none" w:sz="0" w:space="0" w:color="auto"/>
        <w:left w:val="none" w:sz="0" w:space="0" w:color="auto"/>
        <w:bottom w:val="none" w:sz="0" w:space="0" w:color="auto"/>
        <w:right w:val="none" w:sz="0" w:space="0" w:color="auto"/>
      </w:divBdr>
    </w:div>
    <w:div w:id="1890607052">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18055">
      <w:bodyDiv w:val="1"/>
      <w:marLeft w:val="0"/>
      <w:marRight w:val="0"/>
      <w:marTop w:val="0"/>
      <w:marBottom w:val="0"/>
      <w:divBdr>
        <w:top w:val="none" w:sz="0" w:space="0" w:color="auto"/>
        <w:left w:val="none" w:sz="0" w:space="0" w:color="auto"/>
        <w:bottom w:val="none" w:sz="0" w:space="0" w:color="auto"/>
        <w:right w:val="none" w:sz="0" w:space="0" w:color="auto"/>
      </w:divBdr>
    </w:div>
    <w:div w:id="1921057688">
      <w:bodyDiv w:val="1"/>
      <w:marLeft w:val="0"/>
      <w:marRight w:val="0"/>
      <w:marTop w:val="0"/>
      <w:marBottom w:val="0"/>
      <w:divBdr>
        <w:top w:val="none" w:sz="0" w:space="0" w:color="auto"/>
        <w:left w:val="none" w:sz="0" w:space="0" w:color="auto"/>
        <w:bottom w:val="none" w:sz="0" w:space="0" w:color="auto"/>
        <w:right w:val="none" w:sz="0" w:space="0" w:color="auto"/>
      </w:divBdr>
    </w:div>
    <w:div w:id="1952980229">
      <w:bodyDiv w:val="1"/>
      <w:marLeft w:val="0"/>
      <w:marRight w:val="0"/>
      <w:marTop w:val="0"/>
      <w:marBottom w:val="0"/>
      <w:divBdr>
        <w:top w:val="none" w:sz="0" w:space="0" w:color="auto"/>
        <w:left w:val="none" w:sz="0" w:space="0" w:color="auto"/>
        <w:bottom w:val="none" w:sz="0" w:space="0" w:color="auto"/>
        <w:right w:val="none" w:sz="0" w:space="0" w:color="auto"/>
      </w:divBdr>
    </w:div>
    <w:div w:id="1960450952">
      <w:bodyDiv w:val="1"/>
      <w:marLeft w:val="0"/>
      <w:marRight w:val="0"/>
      <w:marTop w:val="0"/>
      <w:marBottom w:val="0"/>
      <w:divBdr>
        <w:top w:val="none" w:sz="0" w:space="0" w:color="auto"/>
        <w:left w:val="none" w:sz="0" w:space="0" w:color="auto"/>
        <w:bottom w:val="none" w:sz="0" w:space="0" w:color="auto"/>
        <w:right w:val="none" w:sz="0" w:space="0" w:color="auto"/>
      </w:divBdr>
    </w:div>
    <w:div w:id="1976445478">
      <w:bodyDiv w:val="1"/>
      <w:marLeft w:val="0"/>
      <w:marRight w:val="0"/>
      <w:marTop w:val="0"/>
      <w:marBottom w:val="0"/>
      <w:divBdr>
        <w:top w:val="none" w:sz="0" w:space="0" w:color="auto"/>
        <w:left w:val="none" w:sz="0" w:space="0" w:color="auto"/>
        <w:bottom w:val="none" w:sz="0" w:space="0" w:color="auto"/>
        <w:right w:val="none" w:sz="0" w:space="0" w:color="auto"/>
      </w:divBdr>
    </w:div>
    <w:div w:id="2006979085">
      <w:bodyDiv w:val="1"/>
      <w:marLeft w:val="0"/>
      <w:marRight w:val="0"/>
      <w:marTop w:val="0"/>
      <w:marBottom w:val="0"/>
      <w:divBdr>
        <w:top w:val="none" w:sz="0" w:space="0" w:color="auto"/>
        <w:left w:val="none" w:sz="0" w:space="0" w:color="auto"/>
        <w:bottom w:val="none" w:sz="0" w:space="0" w:color="auto"/>
        <w:right w:val="none" w:sz="0" w:space="0" w:color="auto"/>
      </w:divBdr>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14184427">
      <w:bodyDiv w:val="1"/>
      <w:marLeft w:val="0"/>
      <w:marRight w:val="0"/>
      <w:marTop w:val="0"/>
      <w:marBottom w:val="0"/>
      <w:divBdr>
        <w:top w:val="none" w:sz="0" w:space="0" w:color="auto"/>
        <w:left w:val="none" w:sz="0" w:space="0" w:color="auto"/>
        <w:bottom w:val="none" w:sz="0" w:space="0" w:color="auto"/>
        <w:right w:val="none" w:sz="0" w:space="0" w:color="auto"/>
      </w:divBdr>
    </w:div>
    <w:div w:id="2022008006">
      <w:bodyDiv w:val="1"/>
      <w:marLeft w:val="0"/>
      <w:marRight w:val="0"/>
      <w:marTop w:val="0"/>
      <w:marBottom w:val="0"/>
      <w:divBdr>
        <w:top w:val="none" w:sz="0" w:space="0" w:color="auto"/>
        <w:left w:val="none" w:sz="0" w:space="0" w:color="auto"/>
        <w:bottom w:val="none" w:sz="0" w:space="0" w:color="auto"/>
        <w:right w:val="none" w:sz="0" w:space="0" w:color="auto"/>
      </w:divBdr>
    </w:div>
    <w:div w:id="2062122851">
      <w:bodyDiv w:val="1"/>
      <w:marLeft w:val="0"/>
      <w:marRight w:val="0"/>
      <w:marTop w:val="0"/>
      <w:marBottom w:val="0"/>
      <w:divBdr>
        <w:top w:val="none" w:sz="0" w:space="0" w:color="auto"/>
        <w:left w:val="none" w:sz="0" w:space="0" w:color="auto"/>
        <w:bottom w:val="none" w:sz="0" w:space="0" w:color="auto"/>
        <w:right w:val="none" w:sz="0" w:space="0" w:color="auto"/>
      </w:divBdr>
    </w:div>
    <w:div w:id="20687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10" ma:contentTypeDescription="Create a new document." ma:contentTypeScope="" ma:versionID="d3580d486964579dc785be800bb42ea2">
  <xsd:schema xmlns:xsd="http://www.w3.org/2001/XMLSchema" xmlns:xs="http://www.w3.org/2001/XMLSchema" xmlns:p="http://schemas.microsoft.com/office/2006/metadata/properties" xmlns:ns3="9efdb326-b4e3-44d9-ba8e-db88e2f48869" targetNamespace="http://schemas.microsoft.com/office/2006/metadata/properties" ma:root="true" ma:fieldsID="168945ee8d347cc5dba6859c5a0c85c8" ns3:_="">
    <xsd:import namespace="9efdb326-b4e3-44d9-ba8e-db88e2f48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FE56-A4AF-4074-B298-8F360C369E4A}">
  <ds:schemaRefs>
    <ds:schemaRef ds:uri="http://schemas.microsoft.com/sharepoint/v3/contenttype/forms"/>
  </ds:schemaRefs>
</ds:datastoreItem>
</file>

<file path=customXml/itemProps2.xml><?xml version="1.0" encoding="utf-8"?>
<ds:datastoreItem xmlns:ds="http://schemas.openxmlformats.org/officeDocument/2006/customXml" ds:itemID="{2002A749-D18F-45C7-ABA1-00C969E52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BD24E-BA0A-424C-9495-C2BEAB25C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AE47DA-E1A8-4A93-8427-781C24A0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60</TotalTime>
  <Pages>12</Pages>
  <Words>4155</Words>
  <Characters>23685</Characters>
  <Application>Microsoft Office Word</Application>
  <DocSecurity>0</DocSecurity>
  <Lines>197</Lines>
  <Paragraphs>55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27785</CharactersWithSpaces>
  <SharedDoc>false</SharedDoc>
  <HLinks>
    <vt:vector size="108" baseType="variant">
      <vt:variant>
        <vt:i4>1310773</vt:i4>
      </vt:variant>
      <vt:variant>
        <vt:i4>56</vt:i4>
      </vt:variant>
      <vt:variant>
        <vt:i4>0</vt:i4>
      </vt:variant>
      <vt:variant>
        <vt:i4>5</vt:i4>
      </vt:variant>
      <vt:variant>
        <vt:lpwstr/>
      </vt:variant>
      <vt:variant>
        <vt:lpwstr>_Toc433205270</vt:lpwstr>
      </vt:variant>
      <vt:variant>
        <vt:i4>1376309</vt:i4>
      </vt:variant>
      <vt:variant>
        <vt:i4>53</vt:i4>
      </vt:variant>
      <vt:variant>
        <vt:i4>0</vt:i4>
      </vt:variant>
      <vt:variant>
        <vt:i4>5</vt:i4>
      </vt:variant>
      <vt:variant>
        <vt:lpwstr/>
      </vt:variant>
      <vt:variant>
        <vt:lpwstr>_Toc433205268</vt:lpwstr>
      </vt:variant>
      <vt:variant>
        <vt:i4>1376309</vt:i4>
      </vt:variant>
      <vt:variant>
        <vt:i4>50</vt:i4>
      </vt:variant>
      <vt:variant>
        <vt:i4>0</vt:i4>
      </vt:variant>
      <vt:variant>
        <vt:i4>5</vt:i4>
      </vt:variant>
      <vt:variant>
        <vt:lpwstr/>
      </vt:variant>
      <vt:variant>
        <vt:lpwstr>_Toc433205266</vt:lpwstr>
      </vt:variant>
      <vt:variant>
        <vt:i4>1376309</vt:i4>
      </vt:variant>
      <vt:variant>
        <vt:i4>47</vt:i4>
      </vt:variant>
      <vt:variant>
        <vt:i4>0</vt:i4>
      </vt:variant>
      <vt:variant>
        <vt:i4>5</vt:i4>
      </vt:variant>
      <vt:variant>
        <vt:lpwstr/>
      </vt:variant>
      <vt:variant>
        <vt:lpwstr>_Toc433205264</vt:lpwstr>
      </vt:variant>
      <vt:variant>
        <vt:i4>1376309</vt:i4>
      </vt:variant>
      <vt:variant>
        <vt:i4>44</vt:i4>
      </vt:variant>
      <vt:variant>
        <vt:i4>0</vt:i4>
      </vt:variant>
      <vt:variant>
        <vt:i4>5</vt:i4>
      </vt:variant>
      <vt:variant>
        <vt:lpwstr/>
      </vt:variant>
      <vt:variant>
        <vt:lpwstr>_Toc433205262</vt:lpwstr>
      </vt:variant>
      <vt:variant>
        <vt:i4>1376309</vt:i4>
      </vt:variant>
      <vt:variant>
        <vt:i4>41</vt:i4>
      </vt:variant>
      <vt:variant>
        <vt:i4>0</vt:i4>
      </vt:variant>
      <vt:variant>
        <vt:i4>5</vt:i4>
      </vt:variant>
      <vt:variant>
        <vt:lpwstr/>
      </vt:variant>
      <vt:variant>
        <vt:lpwstr>_Toc433205261</vt:lpwstr>
      </vt:variant>
      <vt:variant>
        <vt:i4>1441845</vt:i4>
      </vt:variant>
      <vt:variant>
        <vt:i4>38</vt:i4>
      </vt:variant>
      <vt:variant>
        <vt:i4>0</vt:i4>
      </vt:variant>
      <vt:variant>
        <vt:i4>5</vt:i4>
      </vt:variant>
      <vt:variant>
        <vt:lpwstr/>
      </vt:variant>
      <vt:variant>
        <vt:lpwstr>_Toc433205258</vt:lpwstr>
      </vt:variant>
      <vt:variant>
        <vt:i4>1441845</vt:i4>
      </vt:variant>
      <vt:variant>
        <vt:i4>35</vt:i4>
      </vt:variant>
      <vt:variant>
        <vt:i4>0</vt:i4>
      </vt:variant>
      <vt:variant>
        <vt:i4>5</vt:i4>
      </vt:variant>
      <vt:variant>
        <vt:lpwstr/>
      </vt:variant>
      <vt:variant>
        <vt:lpwstr>_Toc433205257</vt:lpwstr>
      </vt:variant>
      <vt:variant>
        <vt:i4>1441845</vt:i4>
      </vt:variant>
      <vt:variant>
        <vt:i4>32</vt:i4>
      </vt:variant>
      <vt:variant>
        <vt:i4>0</vt:i4>
      </vt:variant>
      <vt:variant>
        <vt:i4>5</vt:i4>
      </vt:variant>
      <vt:variant>
        <vt:lpwstr/>
      </vt:variant>
      <vt:variant>
        <vt:lpwstr>_Toc433205256</vt:lpwstr>
      </vt:variant>
      <vt:variant>
        <vt:i4>1441845</vt:i4>
      </vt:variant>
      <vt:variant>
        <vt:i4>29</vt:i4>
      </vt:variant>
      <vt:variant>
        <vt:i4>0</vt:i4>
      </vt:variant>
      <vt:variant>
        <vt:i4>5</vt:i4>
      </vt:variant>
      <vt:variant>
        <vt:lpwstr/>
      </vt:variant>
      <vt:variant>
        <vt:lpwstr>_Toc433205255</vt:lpwstr>
      </vt:variant>
      <vt:variant>
        <vt:i4>1441845</vt:i4>
      </vt:variant>
      <vt:variant>
        <vt:i4>26</vt:i4>
      </vt:variant>
      <vt:variant>
        <vt:i4>0</vt:i4>
      </vt:variant>
      <vt:variant>
        <vt:i4>5</vt:i4>
      </vt:variant>
      <vt:variant>
        <vt:lpwstr/>
      </vt:variant>
      <vt:variant>
        <vt:lpwstr>_Toc433205254</vt:lpwstr>
      </vt:variant>
      <vt:variant>
        <vt:i4>1441845</vt:i4>
      </vt:variant>
      <vt:variant>
        <vt:i4>23</vt:i4>
      </vt:variant>
      <vt:variant>
        <vt:i4>0</vt:i4>
      </vt:variant>
      <vt:variant>
        <vt:i4>5</vt:i4>
      </vt:variant>
      <vt:variant>
        <vt:lpwstr/>
      </vt:variant>
      <vt:variant>
        <vt:lpwstr>_Toc433205253</vt:lpwstr>
      </vt:variant>
      <vt:variant>
        <vt:i4>1507381</vt:i4>
      </vt:variant>
      <vt:variant>
        <vt:i4>20</vt:i4>
      </vt:variant>
      <vt:variant>
        <vt:i4>0</vt:i4>
      </vt:variant>
      <vt:variant>
        <vt:i4>5</vt:i4>
      </vt:variant>
      <vt:variant>
        <vt:lpwstr/>
      </vt:variant>
      <vt:variant>
        <vt:lpwstr>_Toc433205240</vt:lpwstr>
      </vt:variant>
      <vt:variant>
        <vt:i4>1507381</vt:i4>
      </vt:variant>
      <vt:variant>
        <vt:i4>17</vt:i4>
      </vt:variant>
      <vt:variant>
        <vt:i4>0</vt:i4>
      </vt:variant>
      <vt:variant>
        <vt:i4>5</vt:i4>
      </vt:variant>
      <vt:variant>
        <vt:lpwstr/>
      </vt:variant>
      <vt:variant>
        <vt:lpwstr>_Toc433205240</vt:lpwstr>
      </vt:variant>
      <vt:variant>
        <vt:i4>1507381</vt:i4>
      </vt:variant>
      <vt:variant>
        <vt:i4>14</vt:i4>
      </vt:variant>
      <vt:variant>
        <vt:i4>0</vt:i4>
      </vt:variant>
      <vt:variant>
        <vt:i4>5</vt:i4>
      </vt:variant>
      <vt:variant>
        <vt:lpwstr/>
      </vt:variant>
      <vt:variant>
        <vt:lpwstr>_Toc433205240</vt:lpwstr>
      </vt:variant>
      <vt:variant>
        <vt:i4>1507381</vt:i4>
      </vt:variant>
      <vt:variant>
        <vt:i4>11</vt:i4>
      </vt:variant>
      <vt:variant>
        <vt:i4>0</vt:i4>
      </vt:variant>
      <vt:variant>
        <vt:i4>5</vt:i4>
      </vt:variant>
      <vt:variant>
        <vt:lpwstr/>
      </vt:variant>
      <vt:variant>
        <vt:lpwstr>_Toc433205240</vt:lpwstr>
      </vt:variant>
      <vt:variant>
        <vt:i4>1048629</vt:i4>
      </vt:variant>
      <vt:variant>
        <vt:i4>8</vt:i4>
      </vt:variant>
      <vt:variant>
        <vt:i4>0</vt:i4>
      </vt:variant>
      <vt:variant>
        <vt:i4>5</vt:i4>
      </vt:variant>
      <vt:variant>
        <vt:lpwstr/>
      </vt:variant>
      <vt:variant>
        <vt:lpwstr>_Toc433205237</vt:lpwstr>
      </vt:variant>
      <vt:variant>
        <vt:i4>1048629</vt:i4>
      </vt:variant>
      <vt:variant>
        <vt:i4>5</vt:i4>
      </vt:variant>
      <vt:variant>
        <vt:i4>0</vt:i4>
      </vt:variant>
      <vt:variant>
        <vt:i4>5</vt:i4>
      </vt:variant>
      <vt:variant>
        <vt:lpwstr/>
      </vt:variant>
      <vt:variant>
        <vt:lpwstr>_Toc433205234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Daniela Leveratto</dc:creator>
  <cp:keywords>eppr; obd; OBD2; GTR OBD;GTR18;phase 1</cp:keywords>
  <cp:lastModifiedBy>Francois Cuenot</cp:lastModifiedBy>
  <cp:revision>6</cp:revision>
  <cp:lastPrinted>2019-04-08T07:34:00Z</cp:lastPrinted>
  <dcterms:created xsi:type="dcterms:W3CDTF">2020-06-04T09:45:00Z</dcterms:created>
  <dcterms:modified xsi:type="dcterms:W3CDTF">2020-06-06T19:24:00Z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0x010100D603A2F47C299347BDF24C04B15334A8</vt:lpwstr>
  </property>
</Properties>
</file>