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51BB1C1A"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w:t>
            </w:r>
            <w:r w:rsidR="00F013ED">
              <w:t>2</w:t>
            </w:r>
            <w:r w:rsidR="00D34C5B">
              <w:t>019</w:t>
            </w:r>
            <w:r w:rsidR="00CE7914">
              <w:t>/2</w:t>
            </w:r>
            <w:r w:rsidR="00D34C5B">
              <w:t>5/Rev.1</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1F41AB06" w:rsidR="00803BF8" w:rsidRPr="00593753" w:rsidRDefault="00CE7914" w:rsidP="00D5792F">
            <w:pPr>
              <w:spacing w:line="240" w:lineRule="exact"/>
            </w:pPr>
            <w:r>
              <w:t>1</w:t>
            </w:r>
            <w:r w:rsidR="00D34C5B">
              <w:t>3</w:t>
            </w:r>
            <w:r>
              <w:t xml:space="preserve"> November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1FDDA10" w:rsidR="0054033E" w:rsidRPr="00744CCE" w:rsidRDefault="00CE7914" w:rsidP="00744CCE">
      <w:pPr>
        <w:spacing w:before="120"/>
        <w:rPr>
          <w:rFonts w:eastAsia="Times New Roman"/>
          <w:b/>
        </w:rPr>
      </w:pPr>
      <w:r>
        <w:rPr>
          <w:rFonts w:eastAsia="Times New Roman"/>
          <w:b/>
        </w:rPr>
        <w:t xml:space="preserve">Seventy-first </w:t>
      </w:r>
      <w:r w:rsidR="0054033E" w:rsidRPr="00744CCE">
        <w:rPr>
          <w:rFonts w:eastAsia="Times New Roman"/>
          <w:b/>
        </w:rPr>
        <w:t>session</w:t>
      </w:r>
    </w:p>
    <w:p w14:paraId="344AECBD" w14:textId="6B0DEC05" w:rsidR="0054033E" w:rsidRPr="00D315CD" w:rsidRDefault="0054033E" w:rsidP="0054033E">
      <w:pPr>
        <w:rPr>
          <w:bCs/>
        </w:rPr>
      </w:pPr>
      <w:r w:rsidRPr="00D315CD">
        <w:t>Geneva</w:t>
      </w:r>
      <w:r w:rsidR="006E04E4">
        <w:rPr>
          <w:bCs/>
        </w:rPr>
        <w:t xml:space="preserve">, </w:t>
      </w:r>
      <w:r w:rsidR="00CE7914">
        <w:rPr>
          <w:bCs/>
        </w:rPr>
        <w:t>28</w:t>
      </w:r>
      <w:r w:rsidR="00FD0A35">
        <w:rPr>
          <w:bCs/>
        </w:rPr>
        <w:t>-</w:t>
      </w:r>
      <w:r w:rsidR="00CE7914">
        <w:rPr>
          <w:bCs/>
        </w:rPr>
        <w:t xml:space="preserve">31 January 2020 </w:t>
      </w:r>
    </w:p>
    <w:p w14:paraId="3968ED85" w14:textId="47F6E152" w:rsidR="0054033E" w:rsidRPr="00D912FF" w:rsidRDefault="0054033E" w:rsidP="0054033E">
      <w:pPr>
        <w:ind w:right="1134"/>
        <w:rPr>
          <w:bCs/>
        </w:rPr>
      </w:pPr>
      <w:r w:rsidRPr="00D912FF">
        <w:rPr>
          <w:bCs/>
        </w:rPr>
        <w:t xml:space="preserve">Item </w:t>
      </w:r>
      <w:r w:rsidR="00CE7914">
        <w:rPr>
          <w:bCs/>
        </w:rPr>
        <w:t xml:space="preserve">2 </w:t>
      </w:r>
      <w:r w:rsidRPr="00D912FF">
        <w:rPr>
          <w:bCs/>
        </w:rPr>
        <w:t>of the provisional agenda</w:t>
      </w:r>
    </w:p>
    <w:p w14:paraId="096CDF83" w14:textId="57B5644B" w:rsidR="0054033E" w:rsidRPr="00E11E7B" w:rsidRDefault="002A3CE6" w:rsidP="00E11E7B">
      <w:pPr>
        <w:rPr>
          <w:lang w:val="en-US"/>
        </w:rPr>
      </w:pPr>
      <w:r>
        <w:rPr>
          <w:b/>
          <w:lang w:val="en-US"/>
        </w:rPr>
        <w:t xml:space="preserve">UN </w:t>
      </w:r>
      <w:r w:rsidR="007F19F0" w:rsidRPr="009A03A7">
        <w:rPr>
          <w:b/>
          <w:lang w:val="en-US"/>
        </w:rPr>
        <w:t xml:space="preserve">Regulation No. </w:t>
      </w:r>
      <w:r w:rsidR="003968BF">
        <w:rPr>
          <w:b/>
          <w:lang w:val="en-US"/>
        </w:rPr>
        <w:t>41</w:t>
      </w:r>
      <w:r w:rsidR="007F19F0" w:rsidRPr="009A03A7">
        <w:rPr>
          <w:b/>
          <w:lang w:val="en-US"/>
        </w:rPr>
        <w:t xml:space="preserve"> (Noise </w:t>
      </w:r>
      <w:r w:rsidR="00395535">
        <w:rPr>
          <w:b/>
          <w:lang w:val="en-US"/>
        </w:rPr>
        <w:t>emissions of motorcycles</w:t>
      </w:r>
      <w:r w:rsidR="00573F4C">
        <w:rPr>
          <w:b/>
          <w:lang w:val="en-US"/>
        </w:rPr>
        <w:t xml:space="preserve">) </w:t>
      </w:r>
    </w:p>
    <w:p w14:paraId="30C7500D" w14:textId="215FE2B7" w:rsidR="007F19F0" w:rsidRPr="004124C8" w:rsidRDefault="004124C8" w:rsidP="00573F4C">
      <w:pPr>
        <w:pStyle w:val="HChG"/>
        <w:rPr>
          <w:rFonts w:eastAsia="Times New Roman"/>
        </w:rPr>
      </w:pPr>
      <w:r>
        <w:rPr>
          <w:rFonts w:eastAsia="Times New Roman"/>
        </w:rPr>
        <w:tab/>
      </w:r>
      <w:r>
        <w:rPr>
          <w:rFonts w:eastAsia="Times New Roman"/>
        </w:rPr>
        <w:tab/>
      </w:r>
      <w:r w:rsidR="00395535" w:rsidRPr="00395535">
        <w:rPr>
          <w:rFonts w:eastAsia="Times New Roman"/>
        </w:rPr>
        <w:t xml:space="preserve">Proposal for a Supplement </w:t>
      </w:r>
      <w:r w:rsidR="00395535">
        <w:rPr>
          <w:rFonts w:eastAsia="Times New Roman"/>
        </w:rPr>
        <w:t xml:space="preserve">to </w:t>
      </w:r>
      <w:r w:rsidR="00395535" w:rsidRPr="00395535">
        <w:rPr>
          <w:rFonts w:eastAsia="Times New Roman"/>
        </w:rPr>
        <w:t>the 04 series of amendments to UN Regulation No. 41</w:t>
      </w:r>
      <w:r w:rsidR="00573F4C" w:rsidRPr="00573F4C">
        <w:rPr>
          <w:rFonts w:eastAsia="Times New Roman"/>
        </w:rPr>
        <w:t xml:space="preserve"> (</w:t>
      </w:r>
      <w:r w:rsidR="007B1D3B" w:rsidRPr="007B1D3B">
        <w:rPr>
          <w:rFonts w:eastAsia="Times New Roman"/>
        </w:rPr>
        <w:t xml:space="preserve">Noise </w:t>
      </w:r>
      <w:r w:rsidR="00395535">
        <w:rPr>
          <w:rFonts w:eastAsia="Times New Roman"/>
        </w:rPr>
        <w:t>emissions of motorcycles)</w:t>
      </w:r>
      <w:r w:rsidR="006D55AE">
        <w:rPr>
          <w:rFonts w:eastAsia="Times New Roman"/>
        </w:rPr>
        <w:t xml:space="preserve"> </w:t>
      </w:r>
      <w:r w:rsidR="00E11E7B">
        <w:rPr>
          <w:rFonts w:eastAsia="Times New Roman"/>
        </w:rPr>
        <w:t xml:space="preserve"> </w:t>
      </w:r>
    </w:p>
    <w:p w14:paraId="6956C3AF" w14:textId="6F4AEEEC" w:rsidR="0054033E" w:rsidRPr="00D315CD" w:rsidRDefault="0054033E" w:rsidP="007021C0">
      <w:pPr>
        <w:pStyle w:val="H1G"/>
        <w:ind w:right="1467" w:firstLine="0"/>
      </w:pPr>
      <w:r w:rsidRPr="00D315CD">
        <w:t xml:space="preserve">Submitted by the </w:t>
      </w:r>
      <w:r w:rsidR="006D55AE">
        <w:t xml:space="preserve">expert from the </w:t>
      </w:r>
      <w:r w:rsidR="00573F4C" w:rsidRPr="00573F4C">
        <w:t>International Motorcycle Manufacturers Association</w:t>
      </w:r>
      <w:r w:rsidR="00F4611C" w:rsidRPr="008B64E0">
        <w:rPr>
          <w:rFonts w:ascii="Times New Roman Bold" w:hAnsi="Times New Roman Bold"/>
          <w:sz w:val="20"/>
          <w:vertAlign w:val="superscript"/>
        </w:rPr>
        <w:footnoteReference w:customMarkFollows="1" w:id="2"/>
        <w:t>*</w:t>
      </w:r>
    </w:p>
    <w:p w14:paraId="409DFCEC" w14:textId="5E408EC2" w:rsidR="0054033E" w:rsidRPr="006A2893" w:rsidRDefault="00395535" w:rsidP="002D1FF1">
      <w:pPr>
        <w:pStyle w:val="SingleTxtG"/>
      </w:pPr>
      <w:r>
        <w:tab/>
      </w:r>
      <w:r>
        <w:tab/>
      </w:r>
      <w:r w:rsidR="006D55AE" w:rsidRPr="006D55AE">
        <w:t xml:space="preserve">The text reproduced below was prepared by the expert from </w:t>
      </w:r>
      <w:r w:rsidR="00CE7914" w:rsidRPr="00CE7914">
        <w:t xml:space="preserve">the International Motorcycle Manufacturers Association </w:t>
      </w:r>
      <w:r w:rsidR="00CE7914">
        <w:t>(</w:t>
      </w:r>
      <w:r w:rsidR="001C00A3">
        <w:t>IMMA</w:t>
      </w:r>
      <w:r w:rsidR="00CE7914">
        <w:t>)</w:t>
      </w:r>
      <w:r w:rsidR="001C00A3">
        <w:t xml:space="preserve"> </w:t>
      </w:r>
      <w:r w:rsidR="00615DA8" w:rsidRPr="00615DA8">
        <w:t xml:space="preserve">with </w:t>
      </w:r>
      <w:r w:rsidR="00D103F8">
        <w:t xml:space="preserve">the </w:t>
      </w:r>
      <w:r w:rsidR="002D1FF1">
        <w:t xml:space="preserve">aim to minimize proliferation of approval numbers. </w:t>
      </w:r>
      <w:r w:rsidR="00952603" w:rsidRPr="002654BA">
        <w:t>The modifications are marked in bold for new or strikethrough for deleted characters</w:t>
      </w:r>
      <w:r w:rsidR="00952603">
        <w:t>.</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5C74C1AD" w14:textId="5E5548ED" w:rsidR="00BD7F58" w:rsidRPr="00BD7F58" w:rsidRDefault="00BD7F58" w:rsidP="00BD7F58">
      <w:pPr>
        <w:pStyle w:val="SingleTxtG"/>
        <w:rPr>
          <w:color w:val="000000" w:themeColor="text1"/>
        </w:rPr>
      </w:pPr>
      <w:r w:rsidRPr="00BD7F58">
        <w:rPr>
          <w:i/>
          <w:color w:val="000000" w:themeColor="text1"/>
        </w:rPr>
        <w:t>Paragraph 2.</w:t>
      </w:r>
      <w:r w:rsidRPr="00BD7F58">
        <w:rPr>
          <w:color w:val="000000" w:themeColor="text1"/>
        </w:rPr>
        <w:t>, amend to read:</w:t>
      </w:r>
    </w:p>
    <w:p w14:paraId="6FEC8E9B" w14:textId="2884819D" w:rsidR="00BD7F58" w:rsidRDefault="00BD7F58" w:rsidP="00BD7F58">
      <w:pPr>
        <w:pStyle w:val="SingleTxtG"/>
        <w:ind w:left="2268" w:hanging="1134"/>
        <w:rPr>
          <w:color w:val="000000" w:themeColor="text1"/>
        </w:rPr>
      </w:pPr>
      <w:r w:rsidRPr="00BD7F58">
        <w:rPr>
          <w:color w:val="000000" w:themeColor="text1"/>
        </w:rPr>
        <w:t>“</w:t>
      </w:r>
      <w:r>
        <w:rPr>
          <w:color w:val="000000" w:themeColor="text1"/>
        </w:rPr>
        <w:t>2.</w:t>
      </w:r>
      <w:r>
        <w:rPr>
          <w:color w:val="000000" w:themeColor="text1"/>
        </w:rPr>
        <w:tab/>
        <w:t>…</w:t>
      </w:r>
    </w:p>
    <w:p w14:paraId="0636F0BA" w14:textId="76212099" w:rsidR="00BD7F58" w:rsidRPr="00BD7F58" w:rsidRDefault="00BD7F58" w:rsidP="00BD7F58">
      <w:pPr>
        <w:pStyle w:val="SingleTxtG"/>
        <w:ind w:left="2268" w:hanging="1134"/>
        <w:rPr>
          <w:color w:val="000000" w:themeColor="text1"/>
        </w:rPr>
      </w:pPr>
      <w:r w:rsidRPr="00BD7F58">
        <w:rPr>
          <w:color w:val="000000" w:themeColor="text1"/>
        </w:rPr>
        <w:t xml:space="preserve">2.1. </w:t>
      </w:r>
      <w:r>
        <w:rPr>
          <w:color w:val="000000" w:themeColor="text1"/>
        </w:rPr>
        <w:tab/>
      </w:r>
      <w:r w:rsidRPr="00BD7F58">
        <w:rPr>
          <w:i/>
          <w:iCs/>
          <w:color w:val="000000" w:themeColor="text1"/>
        </w:rPr>
        <w:tab/>
        <w:t>"Approval of a motor cycle"</w:t>
      </w:r>
      <w:r w:rsidRPr="00BD7F58">
        <w:rPr>
          <w:color w:val="000000" w:themeColor="text1"/>
        </w:rPr>
        <w:t xml:space="preserve"> means the approval of a motor cycle type with</w:t>
      </w:r>
      <w:r>
        <w:rPr>
          <w:color w:val="000000" w:themeColor="text1"/>
        </w:rPr>
        <w:tab/>
      </w:r>
      <w:r w:rsidRPr="00BD7F58">
        <w:rPr>
          <w:color w:val="000000" w:themeColor="text1"/>
        </w:rPr>
        <w:t xml:space="preserve">regard to noise; </w:t>
      </w:r>
    </w:p>
    <w:p w14:paraId="04BDD21C" w14:textId="7B622A47" w:rsidR="00BD7F58" w:rsidRPr="00BD7F58" w:rsidRDefault="00BD7F58" w:rsidP="00BD7F58">
      <w:pPr>
        <w:pStyle w:val="SingleTxtG"/>
        <w:ind w:left="2268" w:hanging="1134"/>
        <w:rPr>
          <w:color w:val="000000" w:themeColor="text1"/>
        </w:rPr>
      </w:pPr>
      <w:r w:rsidRPr="00BD7F58">
        <w:rPr>
          <w:color w:val="000000" w:themeColor="text1"/>
        </w:rPr>
        <w:t xml:space="preserve">2.2. </w:t>
      </w:r>
      <w:r>
        <w:rPr>
          <w:color w:val="000000" w:themeColor="text1"/>
        </w:rPr>
        <w:tab/>
      </w:r>
      <w:r w:rsidRPr="00BD7F58">
        <w:rPr>
          <w:i/>
          <w:iCs/>
          <w:color w:val="000000" w:themeColor="text1"/>
        </w:rPr>
        <w:t xml:space="preserve">"Type of motor cycle as regards its sound level </w:t>
      </w:r>
      <w:r w:rsidRPr="00BD7F58">
        <w:rPr>
          <w:i/>
          <w:iCs/>
          <w:strike/>
          <w:color w:val="000000" w:themeColor="text1"/>
        </w:rPr>
        <w:t>and exhaust system</w:t>
      </w:r>
      <w:r w:rsidRPr="00BD7F58">
        <w:rPr>
          <w:i/>
          <w:iCs/>
          <w:color w:val="000000" w:themeColor="text1"/>
        </w:rPr>
        <w:t>"</w:t>
      </w:r>
      <w:r w:rsidRPr="00BD7F58">
        <w:rPr>
          <w:color w:val="000000" w:themeColor="text1"/>
        </w:rPr>
        <w:t xml:space="preserve"> means motor cycles which do not differ in such essential respects as the following: </w:t>
      </w:r>
    </w:p>
    <w:p w14:paraId="01323B0A" w14:textId="7FFCD415" w:rsidR="00BD7F58" w:rsidRPr="00BD7F58" w:rsidRDefault="00BD7F58" w:rsidP="00BD7F58">
      <w:pPr>
        <w:pStyle w:val="SingleTxtG"/>
        <w:ind w:left="2268" w:hanging="1134"/>
        <w:rPr>
          <w:color w:val="000000" w:themeColor="text1"/>
        </w:rPr>
      </w:pPr>
      <w:r w:rsidRPr="00BD7F58">
        <w:rPr>
          <w:color w:val="000000" w:themeColor="text1"/>
        </w:rPr>
        <w:t xml:space="preserve">2.2.1. </w:t>
      </w:r>
      <w:r>
        <w:rPr>
          <w:color w:val="000000" w:themeColor="text1"/>
        </w:rPr>
        <w:tab/>
      </w:r>
      <w:r w:rsidRPr="00BD7F58">
        <w:rPr>
          <w:color w:val="000000" w:themeColor="text1"/>
        </w:rPr>
        <w:t xml:space="preserve">The type of engine (two-stroke or four-stroke, reciprocating piston engine or rotary-piston engine, number and capacity of cylinders, number and type of carburettors or injection systems, arrangement of valves, rated maximum net power and corresponding engine speed </w:t>
      </w:r>
      <w:r w:rsidRPr="00BD7F58">
        <w:rPr>
          <w:b/>
          <w:bCs/>
          <w:color w:val="000000" w:themeColor="text1"/>
        </w:rPr>
        <w:t>within COP tolerance</w:t>
      </w:r>
      <w:r w:rsidRPr="00BD7F58">
        <w:rPr>
          <w:color w:val="000000" w:themeColor="text1"/>
        </w:rPr>
        <w:t xml:space="preserve">). For rotary-piston engines the cubic capacity should be taken to be double of the volume of the chamber; </w:t>
      </w:r>
    </w:p>
    <w:p w14:paraId="7F0FB151" w14:textId="21613838" w:rsidR="00BD7F58" w:rsidRPr="00BD7F58" w:rsidRDefault="00BD7F58" w:rsidP="00BD7F58">
      <w:pPr>
        <w:pStyle w:val="SingleTxtG"/>
        <w:ind w:left="2268" w:hanging="1134"/>
        <w:rPr>
          <w:color w:val="000000" w:themeColor="text1"/>
        </w:rPr>
      </w:pPr>
      <w:r w:rsidRPr="00BD7F58">
        <w:rPr>
          <w:color w:val="000000" w:themeColor="text1"/>
        </w:rPr>
        <w:t xml:space="preserve">2.2.2. </w:t>
      </w:r>
      <w:r>
        <w:rPr>
          <w:color w:val="000000" w:themeColor="text1"/>
        </w:rPr>
        <w:tab/>
      </w:r>
      <w:r w:rsidRPr="00BD7F58">
        <w:rPr>
          <w:color w:val="000000" w:themeColor="text1"/>
        </w:rPr>
        <w:t>Transmission system, in particular the number and ratios of the gears.</w:t>
      </w:r>
    </w:p>
    <w:p w14:paraId="18126398" w14:textId="29B6894C" w:rsidR="00BD7F58" w:rsidRPr="00BD7F58" w:rsidRDefault="00BD7F58" w:rsidP="00BD7F58">
      <w:pPr>
        <w:pStyle w:val="SingleTxtG"/>
        <w:ind w:left="2268" w:hanging="1134"/>
        <w:rPr>
          <w:strike/>
          <w:color w:val="000000" w:themeColor="text1"/>
          <w:lang w:val="en-US"/>
        </w:rPr>
      </w:pPr>
      <w:r w:rsidRPr="00BD7F58">
        <w:rPr>
          <w:iCs/>
          <w:strike/>
          <w:color w:val="000000" w:themeColor="text1"/>
          <w:lang w:val="en-US"/>
        </w:rPr>
        <w:t>2.2.3</w:t>
      </w:r>
      <w:r w:rsidRPr="00BD7F58">
        <w:rPr>
          <w:iCs/>
          <w:color w:val="000000" w:themeColor="text1"/>
          <w:lang w:val="en-US"/>
        </w:rPr>
        <w:t xml:space="preserve">. </w:t>
      </w:r>
      <w:r w:rsidRPr="00BD7F58">
        <w:rPr>
          <w:iCs/>
          <w:color w:val="000000" w:themeColor="text1"/>
          <w:lang w:val="en-US"/>
        </w:rPr>
        <w:tab/>
      </w:r>
      <w:r w:rsidRPr="00BD7F58">
        <w:rPr>
          <w:strike/>
          <w:color w:val="000000" w:themeColor="text1"/>
          <w:lang w:val="en-US"/>
        </w:rPr>
        <w:t>Number, type, arrangement of exhaust or silencing systems.</w:t>
      </w:r>
    </w:p>
    <w:p w14:paraId="14838448" w14:textId="5ABDF0FD" w:rsidR="00BD7F58" w:rsidRPr="00BD7F58" w:rsidRDefault="00BD7F58" w:rsidP="00BD7F58">
      <w:pPr>
        <w:pStyle w:val="SingleTxtG"/>
        <w:ind w:left="2268" w:hanging="1134"/>
        <w:rPr>
          <w:color w:val="000000" w:themeColor="text1"/>
        </w:rPr>
      </w:pPr>
      <w:r w:rsidRPr="002F5791">
        <w:rPr>
          <w:color w:val="000000" w:themeColor="text1"/>
        </w:rPr>
        <w:t>2.3.</w:t>
      </w:r>
      <w:r w:rsidRPr="00BD7F58">
        <w:rPr>
          <w:color w:val="000000" w:themeColor="text1"/>
        </w:rPr>
        <w:t xml:space="preserve"> </w:t>
      </w:r>
      <w:r>
        <w:rPr>
          <w:color w:val="000000" w:themeColor="text1"/>
        </w:rPr>
        <w:tab/>
      </w:r>
      <w:r w:rsidRPr="00BD7F58">
        <w:rPr>
          <w:i/>
          <w:iCs/>
          <w:color w:val="000000" w:themeColor="text1"/>
        </w:rPr>
        <w:t>"Exhaust or silencing system"</w:t>
      </w:r>
      <w:r w:rsidRPr="00BD7F58">
        <w:rPr>
          <w:color w:val="000000" w:themeColor="text1"/>
        </w:rPr>
        <w:t xml:space="preserve"> means a complete set of components necessary to limit the noise caused by a motorcycle engine and its exhaust. </w:t>
      </w:r>
    </w:p>
    <w:p w14:paraId="14766B44" w14:textId="43D30595" w:rsidR="00BD7F58" w:rsidRPr="00BD7F58" w:rsidRDefault="00BD7F58" w:rsidP="00BD7F58">
      <w:pPr>
        <w:pStyle w:val="SingleTxtG"/>
        <w:ind w:left="2268" w:hanging="1134"/>
        <w:rPr>
          <w:color w:val="000000" w:themeColor="text1"/>
        </w:rPr>
      </w:pPr>
      <w:r w:rsidRPr="00BD7F58">
        <w:rPr>
          <w:color w:val="000000" w:themeColor="text1"/>
        </w:rPr>
        <w:t>2.</w:t>
      </w:r>
      <w:r w:rsidRPr="002F5791">
        <w:rPr>
          <w:color w:val="000000" w:themeColor="text1"/>
        </w:rPr>
        <w:t>3.1</w:t>
      </w:r>
      <w:r w:rsidRPr="00BD7F58">
        <w:rPr>
          <w:color w:val="000000" w:themeColor="text1"/>
        </w:rPr>
        <w:t xml:space="preserve">. </w:t>
      </w:r>
      <w:r>
        <w:rPr>
          <w:color w:val="000000" w:themeColor="text1"/>
        </w:rPr>
        <w:tab/>
      </w:r>
      <w:r w:rsidRPr="00BD7F58">
        <w:rPr>
          <w:i/>
          <w:iCs/>
          <w:color w:val="000000" w:themeColor="text1"/>
        </w:rPr>
        <w:t>"Original exhaust or silencing system"</w:t>
      </w:r>
      <w:r w:rsidRPr="00BD7F58">
        <w:rPr>
          <w:color w:val="000000" w:themeColor="text1"/>
        </w:rPr>
        <w:t xml:space="preserve"> means a system of a type fitted to the vehicle at the time of type approval or extension of type approval. It may also be the vehicle manufacturer's replacement part.</w:t>
      </w:r>
    </w:p>
    <w:p w14:paraId="1DFDD085" w14:textId="1189FFA5" w:rsidR="00BD7F58" w:rsidRPr="00BD7F58" w:rsidRDefault="00BD7F58" w:rsidP="00BD7F58">
      <w:pPr>
        <w:pStyle w:val="SingleTxtG"/>
        <w:ind w:left="2268" w:hanging="1134"/>
        <w:rPr>
          <w:color w:val="000000" w:themeColor="text1"/>
        </w:rPr>
      </w:pPr>
      <w:r w:rsidRPr="00BD7F58">
        <w:rPr>
          <w:color w:val="000000" w:themeColor="text1"/>
        </w:rPr>
        <w:t>2.</w:t>
      </w:r>
      <w:r w:rsidRPr="002F5791">
        <w:rPr>
          <w:color w:val="000000" w:themeColor="text1"/>
        </w:rPr>
        <w:t>3.2</w:t>
      </w:r>
      <w:r w:rsidRPr="00BD7F58">
        <w:rPr>
          <w:color w:val="000000" w:themeColor="text1"/>
        </w:rPr>
        <w:t xml:space="preserve">. </w:t>
      </w:r>
      <w:r>
        <w:rPr>
          <w:color w:val="000000" w:themeColor="text1"/>
        </w:rPr>
        <w:tab/>
      </w:r>
      <w:r w:rsidRPr="00BD7F58">
        <w:rPr>
          <w:i/>
          <w:iCs/>
          <w:color w:val="000000" w:themeColor="text1"/>
        </w:rPr>
        <w:t>"Non-original exhaust or silencing system"</w:t>
      </w:r>
      <w:r w:rsidRPr="00BD7F58">
        <w:rPr>
          <w:color w:val="000000" w:themeColor="text1"/>
        </w:rPr>
        <w:t xml:space="preserve"> means a system of a type other than that fitted to the vehicle at the time of type approval or extension of type approval.</w:t>
      </w:r>
    </w:p>
    <w:p w14:paraId="2D35365D" w14:textId="7A7B2D06" w:rsidR="00BD7F58" w:rsidRPr="00BD7F58" w:rsidRDefault="00BD7F58" w:rsidP="00BD7F58">
      <w:pPr>
        <w:pStyle w:val="SingleTxtG"/>
        <w:ind w:left="2268" w:hanging="1134"/>
        <w:rPr>
          <w:color w:val="000000" w:themeColor="text1"/>
        </w:rPr>
      </w:pPr>
      <w:r w:rsidRPr="00BD7F58">
        <w:rPr>
          <w:color w:val="000000" w:themeColor="text1"/>
        </w:rPr>
        <w:t>2</w:t>
      </w:r>
      <w:r w:rsidRPr="002F5791">
        <w:rPr>
          <w:color w:val="000000" w:themeColor="text1"/>
        </w:rPr>
        <w:t xml:space="preserve">.4. </w:t>
      </w:r>
      <w:r>
        <w:rPr>
          <w:color w:val="000000" w:themeColor="text1"/>
        </w:rPr>
        <w:tab/>
      </w:r>
      <w:r w:rsidRPr="00BD7F58">
        <w:rPr>
          <w:i/>
          <w:iCs/>
          <w:color w:val="000000" w:themeColor="text1"/>
        </w:rPr>
        <w:t xml:space="preserve">"Exhaust or silencing systems of differing </w:t>
      </w:r>
      <w:r w:rsidRPr="00BD7F58">
        <w:rPr>
          <w:i/>
          <w:iCs/>
          <w:strike/>
          <w:color w:val="000000" w:themeColor="text1"/>
        </w:rPr>
        <w:t>types</w:t>
      </w:r>
      <w:r w:rsidRPr="00BD7F58">
        <w:rPr>
          <w:i/>
          <w:iCs/>
          <w:color w:val="000000" w:themeColor="text1"/>
        </w:rPr>
        <w:t xml:space="preserve"> </w:t>
      </w:r>
      <w:r w:rsidRPr="00BD7F58">
        <w:rPr>
          <w:b/>
          <w:bCs/>
          <w:i/>
          <w:iCs/>
          <w:color w:val="000000" w:themeColor="text1"/>
        </w:rPr>
        <w:t>configurations</w:t>
      </w:r>
      <w:r w:rsidRPr="00BD7F58">
        <w:rPr>
          <w:i/>
          <w:iCs/>
          <w:color w:val="000000" w:themeColor="text1"/>
        </w:rPr>
        <w:t>"</w:t>
      </w:r>
      <w:r w:rsidRPr="00BD7F58">
        <w:rPr>
          <w:color w:val="000000" w:themeColor="text1"/>
        </w:rPr>
        <w:t xml:space="preserve"> means systems which are fundamentally different in one of the following ways:</w:t>
      </w:r>
    </w:p>
    <w:p w14:paraId="6D736287" w14:textId="627B491F" w:rsidR="00BD7F58" w:rsidRPr="002F5791" w:rsidRDefault="00BD7F58" w:rsidP="00BD7F58">
      <w:pPr>
        <w:pStyle w:val="SingleTxtG"/>
        <w:ind w:left="2268" w:hanging="1134"/>
        <w:rPr>
          <w:color w:val="000000" w:themeColor="text1"/>
        </w:rPr>
      </w:pPr>
      <w:r w:rsidRPr="00BD7F58">
        <w:rPr>
          <w:color w:val="000000" w:themeColor="text1"/>
        </w:rPr>
        <w:t>2</w:t>
      </w:r>
      <w:r w:rsidRPr="00BD7F58">
        <w:rPr>
          <w:b/>
          <w:bCs/>
          <w:color w:val="000000" w:themeColor="text1"/>
        </w:rPr>
        <w:t>.</w:t>
      </w:r>
      <w:r w:rsidRPr="002F5791">
        <w:rPr>
          <w:color w:val="000000" w:themeColor="text1"/>
        </w:rPr>
        <w:t xml:space="preserve">4.1. </w:t>
      </w:r>
      <w:r w:rsidRPr="002F5791">
        <w:rPr>
          <w:color w:val="000000" w:themeColor="text1"/>
        </w:rPr>
        <w:tab/>
        <w:t>Systems comprising components bearing different factory or trademarks;</w:t>
      </w:r>
    </w:p>
    <w:p w14:paraId="7E97BF96" w14:textId="2EB1138A" w:rsidR="00BD7F58" w:rsidRPr="002F5791" w:rsidRDefault="00BD7F58" w:rsidP="00BD7F58">
      <w:pPr>
        <w:pStyle w:val="SingleTxtG"/>
        <w:ind w:left="2268" w:hanging="1134"/>
        <w:rPr>
          <w:color w:val="000000" w:themeColor="text1"/>
        </w:rPr>
      </w:pPr>
      <w:r w:rsidRPr="002F5791">
        <w:rPr>
          <w:color w:val="000000" w:themeColor="text1"/>
        </w:rPr>
        <w:t xml:space="preserve">2.4.2. </w:t>
      </w:r>
      <w:r w:rsidRPr="002F5791">
        <w:rPr>
          <w:color w:val="000000" w:themeColor="text1"/>
        </w:rPr>
        <w:tab/>
        <w:t>Systems comprising any component made of materials of different characteristics or comprising components which are of a different shape or size;</w:t>
      </w:r>
    </w:p>
    <w:p w14:paraId="1E9DE916" w14:textId="5A47507A" w:rsidR="00BD7F58" w:rsidRPr="002F5791" w:rsidRDefault="00BD7F58" w:rsidP="00BD7F58">
      <w:pPr>
        <w:pStyle w:val="SingleTxtG"/>
        <w:ind w:left="2268" w:hanging="1134"/>
        <w:rPr>
          <w:color w:val="000000" w:themeColor="text1"/>
        </w:rPr>
      </w:pPr>
      <w:r w:rsidRPr="002F5791">
        <w:rPr>
          <w:color w:val="000000" w:themeColor="text1"/>
        </w:rPr>
        <w:t xml:space="preserve">2.4.3. </w:t>
      </w:r>
      <w:r w:rsidRPr="002F5791">
        <w:rPr>
          <w:color w:val="000000" w:themeColor="text1"/>
        </w:rPr>
        <w:tab/>
        <w:t>Systems in which the operating principles of at least one component are different;</w:t>
      </w:r>
    </w:p>
    <w:p w14:paraId="2B03B3C1" w14:textId="7CE72CC3" w:rsidR="00BD7F58" w:rsidRPr="002F5791" w:rsidRDefault="00BD7F58" w:rsidP="00BD7F58">
      <w:pPr>
        <w:pStyle w:val="SingleTxtG"/>
        <w:ind w:left="2268" w:hanging="1134"/>
        <w:rPr>
          <w:color w:val="000000" w:themeColor="text1"/>
        </w:rPr>
      </w:pPr>
      <w:r w:rsidRPr="002F5791">
        <w:rPr>
          <w:color w:val="000000" w:themeColor="text1"/>
        </w:rPr>
        <w:t xml:space="preserve">2.4.4. </w:t>
      </w:r>
      <w:r w:rsidRPr="002F5791">
        <w:rPr>
          <w:color w:val="000000" w:themeColor="text1"/>
        </w:rPr>
        <w:tab/>
        <w:t>Systems comprising components in different combinations.</w:t>
      </w:r>
    </w:p>
    <w:p w14:paraId="3CE08F18" w14:textId="52A2BEA8" w:rsidR="00BD7F58" w:rsidRPr="00BD7F58" w:rsidRDefault="00BD7F58" w:rsidP="00BD7F58">
      <w:pPr>
        <w:pStyle w:val="SingleTxtG"/>
        <w:ind w:left="2268" w:hanging="1134"/>
        <w:rPr>
          <w:color w:val="000000" w:themeColor="text1"/>
        </w:rPr>
      </w:pPr>
      <w:r w:rsidRPr="002F5791">
        <w:rPr>
          <w:color w:val="000000" w:themeColor="text1"/>
        </w:rPr>
        <w:t>2.</w:t>
      </w:r>
      <w:r>
        <w:rPr>
          <w:color w:val="000000" w:themeColor="text1"/>
        </w:rPr>
        <w:t>5.</w:t>
      </w:r>
      <w:r>
        <w:rPr>
          <w:color w:val="000000" w:themeColor="text1"/>
        </w:rPr>
        <w:tab/>
        <w:t>…"</w:t>
      </w:r>
    </w:p>
    <w:p w14:paraId="39C1A8CA" w14:textId="5100DC02" w:rsidR="00BD7F58" w:rsidRPr="00BD7F58" w:rsidRDefault="00BD7F58" w:rsidP="00BD7F58">
      <w:pPr>
        <w:pStyle w:val="SingleTxtG"/>
        <w:tabs>
          <w:tab w:val="left" w:pos="1418"/>
        </w:tabs>
        <w:rPr>
          <w:color w:val="000000" w:themeColor="text1"/>
        </w:rPr>
      </w:pPr>
      <w:r w:rsidRPr="00BD7F58">
        <w:rPr>
          <w:i/>
          <w:color w:val="000000" w:themeColor="text1"/>
        </w:rPr>
        <w:t>Paragraph 5.</w:t>
      </w:r>
      <w:r w:rsidRPr="00BD7F58">
        <w:rPr>
          <w:color w:val="000000" w:themeColor="text1"/>
        </w:rPr>
        <w:t>, amend to read:</w:t>
      </w:r>
    </w:p>
    <w:p w14:paraId="55751B4F" w14:textId="303EDCE8" w:rsidR="00BD7F58" w:rsidRPr="00BD7F58" w:rsidRDefault="00510881" w:rsidP="00BD7F58">
      <w:pPr>
        <w:pStyle w:val="SingleTxtG"/>
        <w:tabs>
          <w:tab w:val="left" w:pos="1418"/>
        </w:tabs>
        <w:rPr>
          <w:color w:val="000000" w:themeColor="text1"/>
        </w:rPr>
      </w:pPr>
      <w:r>
        <w:rPr>
          <w:color w:val="000000" w:themeColor="text1"/>
        </w:rPr>
        <w:t>"</w:t>
      </w:r>
      <w:r w:rsidR="00BD7F58" w:rsidRPr="00BD7F58">
        <w:rPr>
          <w:color w:val="000000" w:themeColor="text1"/>
        </w:rPr>
        <w:t xml:space="preserve">5. </w:t>
      </w:r>
      <w:r>
        <w:rPr>
          <w:color w:val="000000" w:themeColor="text1"/>
        </w:rPr>
        <w:tab/>
      </w:r>
      <w:r>
        <w:rPr>
          <w:color w:val="000000" w:themeColor="text1"/>
        </w:rPr>
        <w:tab/>
      </w:r>
      <w:r>
        <w:rPr>
          <w:color w:val="000000" w:themeColor="text1"/>
        </w:rPr>
        <w:tab/>
      </w:r>
      <w:r w:rsidR="00BD7F58" w:rsidRPr="00BD7F58">
        <w:rPr>
          <w:color w:val="000000" w:themeColor="text1"/>
        </w:rPr>
        <w:t xml:space="preserve">APPROVAL  </w:t>
      </w:r>
    </w:p>
    <w:p w14:paraId="08A57BF2" w14:textId="3012F50B" w:rsidR="00BD7F58" w:rsidRPr="00BD7F58" w:rsidRDefault="00BD7F58" w:rsidP="00510881">
      <w:pPr>
        <w:pStyle w:val="SingleTxtG"/>
        <w:ind w:left="2268" w:hanging="1134"/>
        <w:rPr>
          <w:color w:val="000000" w:themeColor="text1"/>
        </w:rPr>
      </w:pPr>
      <w:r w:rsidRPr="00BD7F58">
        <w:rPr>
          <w:color w:val="000000" w:themeColor="text1"/>
        </w:rPr>
        <w:t xml:space="preserve">5.1. </w:t>
      </w:r>
      <w:r w:rsidR="00510881">
        <w:rPr>
          <w:color w:val="000000" w:themeColor="text1"/>
        </w:rPr>
        <w:tab/>
      </w:r>
      <w:r w:rsidRPr="00BD7F58">
        <w:rPr>
          <w:color w:val="000000" w:themeColor="text1"/>
        </w:rPr>
        <w:t xml:space="preserve">If the motorcycle type submitted for approval pursuant to this Regulation meets the requirements of </w:t>
      </w:r>
      <w:r w:rsidR="00510881">
        <w:rPr>
          <w:color w:val="000000" w:themeColor="text1"/>
        </w:rPr>
        <w:t>p</w:t>
      </w:r>
      <w:r w:rsidRPr="00BD7F58">
        <w:rPr>
          <w:color w:val="000000" w:themeColor="text1"/>
        </w:rPr>
        <w:t xml:space="preserve">aragraphs 6. and 7. below, approval of that motorcycle type shall be granted.  </w:t>
      </w:r>
    </w:p>
    <w:p w14:paraId="4F90A903" w14:textId="1D36F8A0" w:rsidR="00BD7F58" w:rsidRPr="00BD7F58" w:rsidRDefault="00BD7F58" w:rsidP="00510881">
      <w:pPr>
        <w:pStyle w:val="SingleTxtG"/>
        <w:ind w:left="2268" w:hanging="1134"/>
        <w:rPr>
          <w:color w:val="000000" w:themeColor="text1"/>
        </w:rPr>
      </w:pPr>
      <w:r w:rsidRPr="00BD7F58">
        <w:rPr>
          <w:color w:val="000000" w:themeColor="text1"/>
        </w:rPr>
        <w:t>5.2.</w:t>
      </w:r>
      <w:r w:rsidRPr="00510881">
        <w:rPr>
          <w:b/>
          <w:bCs/>
          <w:color w:val="000000" w:themeColor="text1"/>
        </w:rPr>
        <w:t>1</w:t>
      </w:r>
      <w:r w:rsidR="00510881" w:rsidRPr="00510881">
        <w:rPr>
          <w:b/>
          <w:bCs/>
          <w:color w:val="000000" w:themeColor="text1"/>
        </w:rPr>
        <w:t>.</w:t>
      </w:r>
      <w:r w:rsidRPr="00BD7F58">
        <w:rPr>
          <w:color w:val="000000" w:themeColor="text1"/>
        </w:rPr>
        <w:t xml:space="preserve"> </w:t>
      </w:r>
      <w:r w:rsidR="00510881">
        <w:rPr>
          <w:color w:val="000000" w:themeColor="text1"/>
        </w:rPr>
        <w:tab/>
      </w:r>
      <w:r w:rsidRPr="00BD7F58">
        <w:rPr>
          <w:color w:val="000000" w:themeColor="text1"/>
        </w:rPr>
        <w:t xml:space="preserve">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w:t>
      </w:r>
      <w:r w:rsidRPr="00BD7F58">
        <w:rPr>
          <w:strike/>
          <w:color w:val="000000" w:themeColor="text1"/>
        </w:rPr>
        <w:t xml:space="preserve">to the </w:t>
      </w:r>
      <w:r w:rsidRPr="00BD7F58">
        <w:rPr>
          <w:strike/>
          <w:color w:val="000000" w:themeColor="text1"/>
        </w:rPr>
        <w:lastRenderedPageBreak/>
        <w:t xml:space="preserve">same motorcycle type equipped with another type of exhaust or silencing system, or </w:t>
      </w:r>
      <w:r w:rsidRPr="00BD7F58">
        <w:rPr>
          <w:color w:val="000000" w:themeColor="text1"/>
        </w:rPr>
        <w:t xml:space="preserve">to another motorcycle type.  </w:t>
      </w:r>
    </w:p>
    <w:p w14:paraId="7BB0B778" w14:textId="44B685F6" w:rsidR="00BD7F58" w:rsidRPr="002F5791" w:rsidRDefault="00BD7F58" w:rsidP="00510881">
      <w:pPr>
        <w:pStyle w:val="SingleTxtG"/>
        <w:ind w:left="2268" w:hanging="1134"/>
        <w:rPr>
          <w:color w:val="0D0D0D" w:themeColor="text1" w:themeTint="F2"/>
        </w:rPr>
      </w:pPr>
      <w:r w:rsidRPr="002F5791">
        <w:rPr>
          <w:b/>
          <w:bCs/>
          <w:color w:val="0D0D0D" w:themeColor="text1" w:themeTint="F2"/>
        </w:rPr>
        <w:t>5.2.2</w:t>
      </w:r>
      <w:r w:rsidR="00510881" w:rsidRPr="002F5791">
        <w:rPr>
          <w:b/>
          <w:bCs/>
          <w:color w:val="0D0D0D" w:themeColor="text1" w:themeTint="F2"/>
        </w:rPr>
        <w:t>.</w:t>
      </w:r>
      <w:r w:rsidRPr="002F5791">
        <w:rPr>
          <w:color w:val="0D0D0D" w:themeColor="text1" w:themeTint="F2"/>
        </w:rPr>
        <w:t xml:space="preserve"> </w:t>
      </w:r>
      <w:r w:rsidR="00510881" w:rsidRPr="002F5791">
        <w:rPr>
          <w:color w:val="0D0D0D" w:themeColor="text1" w:themeTint="F2"/>
        </w:rPr>
        <w:tab/>
      </w:r>
      <w:r w:rsidRPr="002F5791">
        <w:rPr>
          <w:b/>
          <w:bCs/>
          <w:color w:val="0D0D0D" w:themeColor="text1" w:themeTint="F2"/>
        </w:rPr>
        <w:t>Multiple exhaust and/or silencing system configurations may be explicitly listed under the same Approval of a Type of motor cycle with their respective test results</w:t>
      </w:r>
      <w:r w:rsidR="000A6BAD" w:rsidRPr="002F5791">
        <w:rPr>
          <w:b/>
          <w:bCs/>
          <w:color w:val="0D0D0D" w:themeColor="text1" w:themeTint="F2"/>
        </w:rPr>
        <w:t>.</w:t>
      </w:r>
      <w:r w:rsidRPr="002F5791">
        <w:rPr>
          <w:b/>
          <w:bCs/>
          <w:color w:val="0D0D0D" w:themeColor="text1" w:themeTint="F2"/>
        </w:rPr>
        <w:t xml:space="preserve"> </w:t>
      </w:r>
      <w:r w:rsidRPr="002F5791">
        <w:rPr>
          <w:b/>
          <w:bCs/>
          <w:strike/>
          <w:color w:val="0D0D0D" w:themeColor="text1" w:themeTint="F2"/>
        </w:rPr>
        <w:t>or tested by worst case criteria, as established between the Type Approval Authority and the manufacturer</w:t>
      </w:r>
      <w:r w:rsidRPr="002F5791">
        <w:rPr>
          <w:b/>
          <w:bCs/>
          <w:color w:val="0D0D0D" w:themeColor="text1" w:themeTint="F2"/>
        </w:rPr>
        <w:t>.</w:t>
      </w:r>
    </w:p>
    <w:p w14:paraId="7C736B75" w14:textId="77777777" w:rsidR="00510881" w:rsidRPr="002F5791" w:rsidRDefault="00BD7F58" w:rsidP="00510881">
      <w:pPr>
        <w:pStyle w:val="SingleTxtG"/>
        <w:ind w:left="2268" w:hanging="1134"/>
        <w:rPr>
          <w:color w:val="0D0D0D" w:themeColor="text1" w:themeTint="F2"/>
        </w:rPr>
      </w:pPr>
      <w:r w:rsidRPr="002F5791">
        <w:rPr>
          <w:color w:val="0D0D0D" w:themeColor="text1" w:themeTint="F2"/>
        </w:rPr>
        <w:t xml:space="preserve">5.3. </w:t>
      </w:r>
      <w:r w:rsidR="00510881" w:rsidRPr="002F5791">
        <w:rPr>
          <w:color w:val="0D0D0D" w:themeColor="text1" w:themeTint="F2"/>
        </w:rPr>
        <w:tab/>
      </w:r>
      <w:r w:rsidRPr="002F5791">
        <w:rPr>
          <w:color w:val="0D0D0D" w:themeColor="text1" w:themeTint="F2"/>
        </w:rPr>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297mm) or folded to that format and on an appropriate scale.</w:t>
      </w:r>
    </w:p>
    <w:p w14:paraId="457B7F90" w14:textId="05299B5E" w:rsidR="00BD7F58" w:rsidRPr="002F5791" w:rsidRDefault="00510881" w:rsidP="00510881">
      <w:pPr>
        <w:pStyle w:val="SingleTxtG"/>
        <w:ind w:left="2268" w:hanging="1134"/>
        <w:rPr>
          <w:color w:val="0D0D0D" w:themeColor="text1" w:themeTint="F2"/>
        </w:rPr>
      </w:pPr>
      <w:r w:rsidRPr="002F5791">
        <w:rPr>
          <w:color w:val="0D0D0D" w:themeColor="text1" w:themeTint="F2"/>
        </w:rPr>
        <w:t>5.4.</w:t>
      </w:r>
      <w:r w:rsidRPr="002F5791">
        <w:rPr>
          <w:color w:val="0D0D0D" w:themeColor="text1" w:themeTint="F2"/>
        </w:rPr>
        <w:tab/>
        <w:t>…"</w:t>
      </w:r>
    </w:p>
    <w:p w14:paraId="2DD992A7" w14:textId="102468EA" w:rsidR="00BD7F58" w:rsidRPr="002F5791" w:rsidRDefault="00BD7F58" w:rsidP="00510881">
      <w:pPr>
        <w:pStyle w:val="SingleTxtG"/>
        <w:ind w:left="2268" w:hanging="1134"/>
        <w:rPr>
          <w:color w:val="0D0D0D" w:themeColor="text1" w:themeTint="F2"/>
        </w:rPr>
      </w:pPr>
      <w:r w:rsidRPr="002F5791">
        <w:rPr>
          <w:i/>
          <w:color w:val="0D0D0D" w:themeColor="text1" w:themeTint="F2"/>
        </w:rPr>
        <w:t>Annex 3</w:t>
      </w:r>
      <w:r w:rsidR="00510881" w:rsidRPr="002F5791">
        <w:rPr>
          <w:i/>
          <w:color w:val="0D0D0D" w:themeColor="text1" w:themeTint="F2"/>
        </w:rPr>
        <w:t xml:space="preserve">, </w:t>
      </w:r>
      <w:r w:rsidRPr="002F5791">
        <w:rPr>
          <w:i/>
          <w:color w:val="0D0D0D" w:themeColor="text1" w:themeTint="F2"/>
        </w:rPr>
        <w:t>para</w:t>
      </w:r>
      <w:r w:rsidR="00510881" w:rsidRPr="002F5791">
        <w:rPr>
          <w:i/>
          <w:color w:val="0D0D0D" w:themeColor="text1" w:themeTint="F2"/>
        </w:rPr>
        <w:t xml:space="preserve">graph </w:t>
      </w:r>
      <w:r w:rsidRPr="002F5791">
        <w:rPr>
          <w:i/>
          <w:color w:val="0D0D0D" w:themeColor="text1" w:themeTint="F2"/>
        </w:rPr>
        <w:t>1.3.2.1</w:t>
      </w:r>
      <w:r w:rsidR="00FD0A35">
        <w:rPr>
          <w:i/>
          <w:color w:val="0D0D0D" w:themeColor="text1" w:themeTint="F2"/>
        </w:rPr>
        <w:t>.</w:t>
      </w:r>
      <w:r w:rsidRPr="002F5791">
        <w:rPr>
          <w:color w:val="0D0D0D" w:themeColor="text1" w:themeTint="F2"/>
        </w:rPr>
        <w:t>, amend to read:</w:t>
      </w:r>
    </w:p>
    <w:p w14:paraId="226A954F" w14:textId="14A7A98B" w:rsidR="00BD7F58" w:rsidRPr="002F5791" w:rsidRDefault="00510881" w:rsidP="00510881">
      <w:pPr>
        <w:pStyle w:val="SingleTxtG"/>
        <w:ind w:left="2268" w:hanging="1134"/>
        <w:rPr>
          <w:color w:val="0D0D0D" w:themeColor="text1" w:themeTint="F2"/>
        </w:rPr>
      </w:pPr>
      <w:r w:rsidRPr="002F5791">
        <w:rPr>
          <w:color w:val="0D0D0D" w:themeColor="text1" w:themeTint="F2"/>
        </w:rPr>
        <w:t>"</w:t>
      </w:r>
      <w:r w:rsidR="00BD7F58" w:rsidRPr="002F5791">
        <w:rPr>
          <w:color w:val="0D0D0D" w:themeColor="text1" w:themeTint="F2"/>
        </w:rPr>
        <w:t xml:space="preserve">1.3.2.1. </w:t>
      </w:r>
      <w:r w:rsidRPr="002F5791">
        <w:rPr>
          <w:color w:val="0D0D0D" w:themeColor="text1" w:themeTint="F2"/>
        </w:rPr>
        <w:tab/>
      </w:r>
      <w:r w:rsidR="00BD7F58" w:rsidRPr="002F5791">
        <w:rPr>
          <w:color w:val="0D0D0D" w:themeColor="text1" w:themeTint="F2"/>
        </w:rPr>
        <w:t xml:space="preserve">General </w:t>
      </w:r>
      <w:r w:rsidRPr="002F5791">
        <w:rPr>
          <w:color w:val="0D0D0D" w:themeColor="text1" w:themeTint="F2"/>
        </w:rPr>
        <w:t>c</w:t>
      </w:r>
      <w:r w:rsidR="00BD7F58" w:rsidRPr="002F5791">
        <w:rPr>
          <w:color w:val="0D0D0D" w:themeColor="text1" w:themeTint="F2"/>
        </w:rPr>
        <w:t>onditions</w:t>
      </w:r>
    </w:p>
    <w:p w14:paraId="0AAFB1A5" w14:textId="77777777" w:rsidR="00510881" w:rsidRPr="002F5791" w:rsidRDefault="00BD7F58" w:rsidP="00510881">
      <w:pPr>
        <w:pStyle w:val="SingleTxtG"/>
        <w:ind w:left="2268" w:hanging="1134"/>
        <w:rPr>
          <w:b/>
          <w:bCs/>
          <w:color w:val="0D0D0D" w:themeColor="text1" w:themeTint="F2"/>
        </w:rPr>
      </w:pPr>
      <w:r w:rsidRPr="002F5791">
        <w:rPr>
          <w:color w:val="0D0D0D" w:themeColor="text1" w:themeTint="F2"/>
        </w:rPr>
        <w:tab/>
      </w:r>
      <w:r w:rsidRPr="002F5791">
        <w:rPr>
          <w:strike/>
          <w:color w:val="0D0D0D" w:themeColor="text1" w:themeTint="F2"/>
        </w:rPr>
        <w:t>The vehicle shall be supplied as specified by the vehicle manufacturer.</w:t>
      </w:r>
      <w:r w:rsidRPr="002F5791">
        <w:rPr>
          <w:strike/>
          <w:color w:val="0D0D0D" w:themeColor="text1" w:themeTint="F2"/>
        </w:rPr>
        <w:br/>
      </w:r>
      <w:r w:rsidRPr="002F5791">
        <w:rPr>
          <w:b/>
          <w:bCs/>
          <w:color w:val="0D0D0D" w:themeColor="text1" w:themeTint="F2"/>
        </w:rPr>
        <w:t>The vehicle(s) tested shall be representative of vehicles to be put on the market under the vehicle type to be approved and selected by the manufacturer in agreement with the Type Approval Authority, to comply with the requirements of this Regulation.</w:t>
      </w:r>
    </w:p>
    <w:p w14:paraId="2B4C36CE" w14:textId="77777777" w:rsidR="00E624D3" w:rsidRDefault="00510881" w:rsidP="00E624D3">
      <w:pPr>
        <w:pStyle w:val="SingleTxtG"/>
        <w:ind w:left="2268" w:hanging="1134"/>
        <w:jc w:val="left"/>
        <w:rPr>
          <w:color w:val="000000"/>
        </w:rPr>
      </w:pPr>
      <w:r w:rsidRPr="002F5791">
        <w:rPr>
          <w:b/>
          <w:bCs/>
          <w:color w:val="0D0D0D" w:themeColor="text1" w:themeTint="F2"/>
        </w:rPr>
        <w:tab/>
      </w:r>
      <w:r w:rsidR="00E624D3">
        <w:rPr>
          <w:color w:val="000000"/>
        </w:rPr>
        <w:t xml:space="preserve">Before the measurements are started, the vehicle shall be brought to its normal operating conditions. </w:t>
      </w:r>
    </w:p>
    <w:p w14:paraId="1145B14F" w14:textId="25DF3C3A" w:rsidR="00D103F8" w:rsidRPr="002F5791" w:rsidRDefault="00E624D3" w:rsidP="00E624D3">
      <w:pPr>
        <w:pStyle w:val="SingleTxtG"/>
        <w:ind w:left="2268"/>
        <w:rPr>
          <w:color w:val="0D0D0D" w:themeColor="text1" w:themeTint="F2"/>
          <w:lang w:eastAsia="ja-JP"/>
        </w:rPr>
      </w:pPr>
      <w:r>
        <w:rPr>
          <w:color w:val="000000"/>
        </w:rPr>
        <w:t>If the motor cycle is fitted with fans with an automatic actuating mechanism, this system shall not be interfered with during the sound measurements. For motor cycles having more than one driven wheel, only the drive provided for normal road operation may be used.</w:t>
      </w:r>
      <w:r w:rsidR="00510881" w:rsidRPr="002F5791">
        <w:rPr>
          <w:color w:val="0D0D0D" w:themeColor="text1" w:themeTint="F2"/>
        </w:rPr>
        <w:t>"</w:t>
      </w:r>
    </w:p>
    <w:p w14:paraId="11E50E77" w14:textId="06DBB9D6" w:rsidR="00573F4C" w:rsidRPr="002F5791" w:rsidRDefault="00C819F1" w:rsidP="00A116DF">
      <w:pPr>
        <w:pStyle w:val="HChG"/>
        <w:rPr>
          <w:rFonts w:eastAsia="Times New Roman"/>
          <w:i/>
          <w:color w:val="0D0D0D" w:themeColor="text1" w:themeTint="F2"/>
        </w:rPr>
      </w:pPr>
      <w:r w:rsidRPr="002F5791">
        <w:rPr>
          <w:color w:val="0D0D0D" w:themeColor="text1" w:themeTint="F2"/>
          <w:lang w:val="en-US"/>
        </w:rPr>
        <w:tab/>
      </w:r>
      <w:r w:rsidR="008B0EB2" w:rsidRPr="002F5791">
        <w:rPr>
          <w:color w:val="0D0D0D" w:themeColor="text1" w:themeTint="F2"/>
          <w:lang w:val="en-US"/>
        </w:rPr>
        <w:t>II.</w:t>
      </w:r>
      <w:r w:rsidR="008B0EB2" w:rsidRPr="002F5791">
        <w:rPr>
          <w:color w:val="0D0D0D" w:themeColor="text1" w:themeTint="F2"/>
          <w:lang w:val="en-US"/>
        </w:rPr>
        <w:tab/>
        <w:t>Justification</w:t>
      </w:r>
    </w:p>
    <w:p w14:paraId="1A504674" w14:textId="1075303C" w:rsidR="00125602" w:rsidRDefault="00BD5EA0" w:rsidP="00BD5EA0">
      <w:pPr>
        <w:pStyle w:val="SingleTxtG"/>
      </w:pPr>
      <w:r w:rsidRPr="002F5791">
        <w:rPr>
          <w:color w:val="0D0D0D" w:themeColor="text1" w:themeTint="F2"/>
        </w:rPr>
        <w:tab/>
      </w:r>
      <w:r w:rsidR="00BD7F58" w:rsidRPr="002F5791">
        <w:rPr>
          <w:color w:val="0D0D0D" w:themeColor="text1" w:themeTint="F2"/>
        </w:rPr>
        <w:tab/>
        <w:t xml:space="preserve">The intention of this proposal is to minimize proliferation </w:t>
      </w:r>
      <w:r w:rsidR="00510881" w:rsidRPr="002F5791">
        <w:rPr>
          <w:color w:val="0D0D0D" w:themeColor="text1" w:themeTint="F2"/>
        </w:rPr>
        <w:t xml:space="preserve">of </w:t>
      </w:r>
      <w:r w:rsidR="00BD7F58" w:rsidRPr="002F5791">
        <w:rPr>
          <w:color w:val="0D0D0D" w:themeColor="text1" w:themeTint="F2"/>
        </w:rPr>
        <w:t xml:space="preserve">approval numbers </w:t>
      </w:r>
      <w:r w:rsidR="00510881" w:rsidRPr="002F5791">
        <w:rPr>
          <w:color w:val="0D0D0D" w:themeColor="text1" w:themeTint="F2"/>
        </w:rPr>
        <w:t xml:space="preserve">from </w:t>
      </w:r>
      <w:r w:rsidR="00BD7F58" w:rsidRPr="002F5791">
        <w:rPr>
          <w:color w:val="0D0D0D" w:themeColor="text1" w:themeTint="F2"/>
        </w:rPr>
        <w:t>models with differences in vehicle exhaust and silencing systems. The current type definition language, in its strictest sense, does not allow for multiple configurations, such as different exhausts, intakes or engine displacements, to be listed on the same approval certificate. A separate approval number and document must be generated for each unique configuration. As approvals</w:t>
      </w:r>
      <w:r w:rsidR="00510881" w:rsidRPr="002F5791">
        <w:rPr>
          <w:color w:val="0D0D0D" w:themeColor="text1" w:themeTint="F2"/>
        </w:rPr>
        <w:t xml:space="preserve"> according to UN Regulation No. 41</w:t>
      </w:r>
      <w:r w:rsidR="00BD7F58" w:rsidRPr="002F5791">
        <w:rPr>
          <w:color w:val="0D0D0D" w:themeColor="text1" w:themeTint="F2"/>
        </w:rPr>
        <w:t xml:space="preserve"> are utilized by more and more countries around the world, the increase in </w:t>
      </w:r>
      <w:r w:rsidR="00DF7ADF" w:rsidRPr="002F5791">
        <w:rPr>
          <w:color w:val="0D0D0D" w:themeColor="text1" w:themeTint="F2"/>
        </w:rPr>
        <w:t>a</w:t>
      </w:r>
      <w:r w:rsidR="00BD7F58" w:rsidRPr="002F5791">
        <w:rPr>
          <w:color w:val="0D0D0D" w:themeColor="text1" w:themeTint="F2"/>
        </w:rPr>
        <w:t xml:space="preserve">pproval numbers and documentation burden associated with one configuration per approval can grow to </w:t>
      </w:r>
      <w:r w:rsidR="004A6A9B">
        <w:rPr>
          <w:color w:val="0D0D0D" w:themeColor="text1" w:themeTint="F2"/>
        </w:rPr>
        <w:t xml:space="preserve">a </w:t>
      </w:r>
      <w:r w:rsidR="00BD7F58" w:rsidRPr="002F5791">
        <w:rPr>
          <w:color w:val="0D0D0D" w:themeColor="text1" w:themeTint="F2"/>
        </w:rPr>
        <w:t xml:space="preserve">point becoming unmanageable and burdensome for the manufacturers and </w:t>
      </w:r>
      <w:r w:rsidR="00B20844">
        <w:rPr>
          <w:color w:val="0D0D0D" w:themeColor="text1" w:themeTint="F2"/>
        </w:rPr>
        <w:t>t</w:t>
      </w:r>
      <w:r w:rsidR="00BD7F58" w:rsidRPr="002F5791">
        <w:rPr>
          <w:color w:val="0D0D0D" w:themeColor="text1" w:themeTint="F2"/>
        </w:rPr>
        <w:t xml:space="preserve">ype </w:t>
      </w:r>
      <w:r w:rsidR="00B20844">
        <w:rPr>
          <w:color w:val="0D0D0D" w:themeColor="text1" w:themeTint="F2"/>
        </w:rPr>
        <w:t>a</w:t>
      </w:r>
      <w:r w:rsidR="00BD7F58" w:rsidRPr="002F5791">
        <w:rPr>
          <w:color w:val="0D0D0D" w:themeColor="text1" w:themeTint="F2"/>
        </w:rPr>
        <w:t>p</w:t>
      </w:r>
      <w:r w:rsidR="00B20844">
        <w:rPr>
          <w:color w:val="0D0D0D" w:themeColor="text1" w:themeTint="F2"/>
        </w:rPr>
        <w:t>p</w:t>
      </w:r>
      <w:r w:rsidR="00BD7F58" w:rsidRPr="002F5791">
        <w:rPr>
          <w:color w:val="0D0D0D" w:themeColor="text1" w:themeTint="F2"/>
        </w:rPr>
        <w:t xml:space="preserve">roval </w:t>
      </w:r>
      <w:r w:rsidR="00B20844">
        <w:rPr>
          <w:color w:val="0D0D0D" w:themeColor="text1" w:themeTint="F2"/>
        </w:rPr>
        <w:t>a</w:t>
      </w:r>
      <w:r w:rsidR="00BD7F58" w:rsidRPr="002F5791">
        <w:rPr>
          <w:color w:val="0D0D0D" w:themeColor="text1" w:themeTint="F2"/>
        </w:rPr>
        <w:t>uthorities. The proposed change</w:t>
      </w:r>
      <w:r w:rsidR="00510881" w:rsidRPr="002F5791">
        <w:rPr>
          <w:color w:val="0D0D0D" w:themeColor="text1" w:themeTint="F2"/>
        </w:rPr>
        <w:t>s</w:t>
      </w:r>
      <w:r w:rsidR="00BD7F58" w:rsidRPr="002F5791">
        <w:rPr>
          <w:color w:val="0D0D0D" w:themeColor="text1" w:themeTint="F2"/>
        </w:rPr>
        <w:t xml:space="preserve"> </w:t>
      </w:r>
      <w:r w:rsidR="00DF7ADF" w:rsidRPr="002F5791">
        <w:rPr>
          <w:color w:val="0D0D0D" w:themeColor="text1" w:themeTint="F2"/>
        </w:rPr>
        <w:t>c</w:t>
      </w:r>
      <w:r w:rsidR="00BD7F58" w:rsidRPr="002F5791">
        <w:rPr>
          <w:color w:val="0D0D0D" w:themeColor="text1" w:themeTint="F2"/>
        </w:rPr>
        <w:t xml:space="preserve">larify that multiple exhaust and intake configurations data may be listed on a single approval </w:t>
      </w:r>
      <w:r w:rsidR="00BD7F58" w:rsidRPr="00BD7F58">
        <w:t>certificate. This change will reduce redundancy and minimize the chances for documentation errors.</w:t>
      </w:r>
    </w:p>
    <w:p w14:paraId="61818BCA" w14:textId="07F040EA"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7C035E">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CF68" w14:textId="77777777" w:rsidR="0037167D" w:rsidRDefault="0037167D"/>
  </w:endnote>
  <w:endnote w:type="continuationSeparator" w:id="0">
    <w:p w14:paraId="41480C4F" w14:textId="77777777" w:rsidR="0037167D" w:rsidRDefault="0037167D"/>
  </w:endnote>
  <w:endnote w:type="continuationNotice" w:id="1">
    <w:p w14:paraId="052DCA38" w14:textId="77777777" w:rsidR="0037167D" w:rsidRDefault="00371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1A105F1C"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614FCDF3"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13C" w14:textId="5BFC4E38" w:rsidR="00A679BC" w:rsidRDefault="00A679BC" w:rsidP="00A679BC">
    <w:pPr>
      <w:pStyle w:val="Footer"/>
    </w:pPr>
    <w:r>
      <w:rPr>
        <w:rFonts w:ascii="C39T30Lfz" w:hAnsi="C39T30Lfz"/>
        <w:noProof/>
        <w:sz w:val="56"/>
      </w:rPr>
      <w:drawing>
        <wp:anchor distT="0" distB="0" distL="114300" distR="114300" simplePos="0" relativeHeight="251658752" behindDoc="0" locked="0" layoutInCell="1" allowOverlap="1" wp14:anchorId="39AE4469" wp14:editId="3865BAB7">
          <wp:simplePos x="0" y="0"/>
          <wp:positionH relativeFrom="margin">
            <wp:posOffset>5433695</wp:posOffset>
          </wp:positionH>
          <wp:positionV relativeFrom="margin">
            <wp:posOffset>7923530</wp:posOffset>
          </wp:positionV>
          <wp:extent cx="638175" cy="638175"/>
          <wp:effectExtent l="0" t="0" r="9525" b="9525"/>
          <wp:wrapNone/>
          <wp:docPr id="2" name="Picture 1" descr="https://undocs.org/m2/QRCode.ashx?DS=ECE/TRANS/WP.29/GRBP/2019/25/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5/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1" layoutInCell="1" allowOverlap="1" wp14:anchorId="5ACA5453" wp14:editId="1320D622">
          <wp:simplePos x="0" y="0"/>
          <wp:positionH relativeFrom="margin">
            <wp:posOffset>4455160</wp:posOffset>
          </wp:positionH>
          <wp:positionV relativeFrom="margin">
            <wp:posOffset>8297545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6CE9C0F" w14:textId="58E2634C" w:rsidR="00A679BC" w:rsidRDefault="00A679BC" w:rsidP="00A679BC">
    <w:pPr>
      <w:pStyle w:val="Footer"/>
      <w:ind w:right="1134"/>
      <w:rPr>
        <w:sz w:val="20"/>
      </w:rPr>
    </w:pPr>
    <w:r>
      <w:rPr>
        <w:sz w:val="20"/>
      </w:rPr>
      <w:t>GE.19-19617(E)</w:t>
    </w:r>
  </w:p>
  <w:p w14:paraId="00085246" w14:textId="1CF41CA9" w:rsidR="00A679BC" w:rsidRPr="00A679BC" w:rsidRDefault="00A679BC" w:rsidP="00A679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1E02" w14:textId="77777777" w:rsidR="0037167D" w:rsidRPr="000B175B" w:rsidRDefault="0037167D" w:rsidP="000B175B">
      <w:pPr>
        <w:tabs>
          <w:tab w:val="right" w:pos="2155"/>
        </w:tabs>
        <w:spacing w:after="80"/>
        <w:ind w:left="680"/>
        <w:rPr>
          <w:u w:val="single"/>
        </w:rPr>
      </w:pPr>
      <w:r>
        <w:rPr>
          <w:u w:val="single"/>
        </w:rPr>
        <w:tab/>
      </w:r>
    </w:p>
  </w:footnote>
  <w:footnote w:type="continuationSeparator" w:id="0">
    <w:p w14:paraId="6317DAF4" w14:textId="77777777" w:rsidR="0037167D" w:rsidRPr="00FC68B7" w:rsidRDefault="0037167D" w:rsidP="00FC68B7">
      <w:pPr>
        <w:tabs>
          <w:tab w:val="left" w:pos="2155"/>
        </w:tabs>
        <w:spacing w:after="80"/>
        <w:ind w:left="680"/>
        <w:rPr>
          <w:u w:val="single"/>
        </w:rPr>
      </w:pPr>
      <w:r>
        <w:rPr>
          <w:u w:val="single"/>
        </w:rPr>
        <w:tab/>
      </w:r>
    </w:p>
  </w:footnote>
  <w:footnote w:type="continuationNotice" w:id="1">
    <w:p w14:paraId="631BB99A" w14:textId="77777777" w:rsidR="0037167D" w:rsidRDefault="0037167D"/>
  </w:footnote>
  <w:footnote w:id="2">
    <w:p w14:paraId="35866C80" w14:textId="2033E49C"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490FBC" w:rsidRPr="00490FBC">
        <w:rPr>
          <w:szCs w:val="18"/>
          <w:lang w:val="en-US"/>
        </w:rPr>
        <w:t xml:space="preserve">In accordance with the </w:t>
      </w:r>
      <w:proofErr w:type="spellStart"/>
      <w:r w:rsidR="00490FBC" w:rsidRPr="00490FBC">
        <w:rPr>
          <w:szCs w:val="18"/>
          <w:lang w:val="en-US"/>
        </w:rPr>
        <w:t>programme</w:t>
      </w:r>
      <w:proofErr w:type="spellEnd"/>
      <w:r w:rsidR="00490FBC" w:rsidRPr="00490FBC">
        <w:rPr>
          <w:szCs w:val="18"/>
          <w:lang w:val="en-US"/>
        </w:rPr>
        <w:t xml:space="preserve"> of work of the Inland Transport Committee for 2020 as outlined in proposed </w:t>
      </w:r>
      <w:proofErr w:type="spellStart"/>
      <w:r w:rsidR="00490FBC" w:rsidRPr="00490FBC">
        <w:rPr>
          <w:szCs w:val="18"/>
          <w:lang w:val="en-US"/>
        </w:rPr>
        <w:t>programme</w:t>
      </w:r>
      <w:proofErr w:type="spellEnd"/>
      <w:r w:rsidR="00490FBC" w:rsidRPr="00490FBC">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8513" w14:textId="7B97633A" w:rsidR="00D83633" w:rsidRPr="00803BF8" w:rsidRDefault="00D83633" w:rsidP="00FE5C8C">
    <w:pPr>
      <w:pStyle w:val="Header"/>
    </w:pPr>
    <w:r>
      <w:t>ECE/TRANS/WP.29/GRB</w:t>
    </w:r>
    <w:r w:rsidR="00FE5C8C">
      <w:t>P</w:t>
    </w:r>
    <w:r>
      <w:t>/</w:t>
    </w:r>
    <w:r w:rsidRPr="00DF418A">
      <w:t>20</w:t>
    </w:r>
    <w:r w:rsidR="00D34C5B">
      <w:t>19/25/Rev.1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705E" w14:textId="1050AF43" w:rsidR="00D83633" w:rsidRPr="00803BF8" w:rsidRDefault="00D83633" w:rsidP="00803BF8">
    <w:pPr>
      <w:pStyle w:val="Header"/>
      <w:jc w:val="right"/>
    </w:pPr>
    <w:r w:rsidRPr="00754B4B">
      <w:t>ECE/TRANS/WP.29/GR</w:t>
    </w:r>
    <w:r>
      <w:t>B</w:t>
    </w:r>
    <w:r w:rsidR="00D103F8">
      <w:t>P</w:t>
    </w:r>
    <w:r w:rsidRPr="00754B4B">
      <w:t>/20</w:t>
    </w:r>
    <w:r w:rsidR="00E218C2">
      <w:t>19/25/Rev.1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3"/>
  </w:num>
  <w:num w:numId="16">
    <w:abstractNumId w:val="10"/>
  </w:num>
  <w:num w:numId="17">
    <w:abstractNumId w:val="14"/>
  </w:num>
  <w:num w:numId="18">
    <w:abstractNumId w:val="22"/>
  </w:num>
  <w:num w:numId="19">
    <w:abstractNumId w:val="13"/>
  </w:num>
  <w:num w:numId="20">
    <w:abstractNumId w:val="19"/>
  </w:num>
  <w:num w:numId="21">
    <w:abstractNumId w:val="16"/>
  </w:num>
  <w:num w:numId="22">
    <w:abstractNumId w:val="1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339"/>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A6BAD"/>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027"/>
    <w:rsid w:val="001963AC"/>
    <w:rsid w:val="00197D24"/>
    <w:rsid w:val="00197EC7"/>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9F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1FF1"/>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791"/>
    <w:rsid w:val="002F5AC5"/>
    <w:rsid w:val="002F7DE0"/>
    <w:rsid w:val="0030272D"/>
    <w:rsid w:val="00302E18"/>
    <w:rsid w:val="0031067C"/>
    <w:rsid w:val="00312F59"/>
    <w:rsid w:val="0031733E"/>
    <w:rsid w:val="00321CAD"/>
    <w:rsid w:val="003229D8"/>
    <w:rsid w:val="003237A4"/>
    <w:rsid w:val="00323C47"/>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4184"/>
    <w:rsid w:val="00365763"/>
    <w:rsid w:val="0037032C"/>
    <w:rsid w:val="00371178"/>
    <w:rsid w:val="0037167D"/>
    <w:rsid w:val="00377817"/>
    <w:rsid w:val="003800C8"/>
    <w:rsid w:val="0038196E"/>
    <w:rsid w:val="00383155"/>
    <w:rsid w:val="0038696B"/>
    <w:rsid w:val="00392E47"/>
    <w:rsid w:val="00394CC7"/>
    <w:rsid w:val="00395535"/>
    <w:rsid w:val="003968BF"/>
    <w:rsid w:val="00396E5F"/>
    <w:rsid w:val="003A06B5"/>
    <w:rsid w:val="003A0EE0"/>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1E9"/>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0FBC"/>
    <w:rsid w:val="004935FC"/>
    <w:rsid w:val="00493DB9"/>
    <w:rsid w:val="004A1EF3"/>
    <w:rsid w:val="004A6A9B"/>
    <w:rsid w:val="004A79FD"/>
    <w:rsid w:val="004B05F0"/>
    <w:rsid w:val="004B3889"/>
    <w:rsid w:val="004B4EA5"/>
    <w:rsid w:val="004B5DF0"/>
    <w:rsid w:val="004C1E84"/>
    <w:rsid w:val="004C2461"/>
    <w:rsid w:val="004C3774"/>
    <w:rsid w:val="004C7462"/>
    <w:rsid w:val="004D0424"/>
    <w:rsid w:val="004D3FC5"/>
    <w:rsid w:val="004D4458"/>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0881"/>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001"/>
    <w:rsid w:val="00573F4C"/>
    <w:rsid w:val="00574006"/>
    <w:rsid w:val="005751FB"/>
    <w:rsid w:val="00577094"/>
    <w:rsid w:val="00581DFE"/>
    <w:rsid w:val="00583457"/>
    <w:rsid w:val="00590382"/>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1600"/>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5C"/>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1D3B"/>
    <w:rsid w:val="007B6BA5"/>
    <w:rsid w:val="007C035E"/>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0DDE"/>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2C20"/>
    <w:rsid w:val="00A45260"/>
    <w:rsid w:val="00A508DF"/>
    <w:rsid w:val="00A51DCC"/>
    <w:rsid w:val="00A52B68"/>
    <w:rsid w:val="00A54EBE"/>
    <w:rsid w:val="00A6129C"/>
    <w:rsid w:val="00A62A3C"/>
    <w:rsid w:val="00A679B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17761"/>
    <w:rsid w:val="00B20844"/>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D5EA0"/>
    <w:rsid w:val="00BD7F58"/>
    <w:rsid w:val="00BE0686"/>
    <w:rsid w:val="00BE1BD5"/>
    <w:rsid w:val="00BE24CA"/>
    <w:rsid w:val="00BE41AC"/>
    <w:rsid w:val="00BE54D3"/>
    <w:rsid w:val="00BE584F"/>
    <w:rsid w:val="00BF30D6"/>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E7914"/>
    <w:rsid w:val="00CF1FA5"/>
    <w:rsid w:val="00CF263E"/>
    <w:rsid w:val="00CF2B7C"/>
    <w:rsid w:val="00CF7C95"/>
    <w:rsid w:val="00D0541A"/>
    <w:rsid w:val="00D05E5E"/>
    <w:rsid w:val="00D073A2"/>
    <w:rsid w:val="00D0762B"/>
    <w:rsid w:val="00D103F8"/>
    <w:rsid w:val="00D12117"/>
    <w:rsid w:val="00D153A7"/>
    <w:rsid w:val="00D2031B"/>
    <w:rsid w:val="00D248B6"/>
    <w:rsid w:val="00D25FB2"/>
    <w:rsid w:val="00D25FE2"/>
    <w:rsid w:val="00D26E07"/>
    <w:rsid w:val="00D27713"/>
    <w:rsid w:val="00D3203E"/>
    <w:rsid w:val="00D32431"/>
    <w:rsid w:val="00D342A8"/>
    <w:rsid w:val="00D34C5B"/>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DF7ADF"/>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18C2"/>
    <w:rsid w:val="00E22B0C"/>
    <w:rsid w:val="00E27346"/>
    <w:rsid w:val="00E31333"/>
    <w:rsid w:val="00E320F1"/>
    <w:rsid w:val="00E34CD5"/>
    <w:rsid w:val="00E36EB6"/>
    <w:rsid w:val="00E40A45"/>
    <w:rsid w:val="00E466D9"/>
    <w:rsid w:val="00E525B6"/>
    <w:rsid w:val="00E55173"/>
    <w:rsid w:val="00E560CA"/>
    <w:rsid w:val="00E624D3"/>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13ED"/>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0A35"/>
    <w:rsid w:val="00FD14FA"/>
    <w:rsid w:val="00FD3F98"/>
    <w:rsid w:val="00FD454C"/>
    <w:rsid w:val="00FD4DDB"/>
    <w:rsid w:val="00FD7127"/>
    <w:rsid w:val="00FE106A"/>
    <w:rsid w:val="00FE5C8C"/>
    <w:rsid w:val="00FE7450"/>
    <w:rsid w:val="00FF09FE"/>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6878881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1B2C-86B1-4364-A13E-E4E47524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915</Words>
  <Characters>5021</Characters>
  <Application>Microsoft Office Word</Application>
  <DocSecurity>0</DocSecurity>
  <Lines>114</Lines>
  <Paragraphs>48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ECE/TRANS/WP.29/GRBP/2019/25</vt:lpstr>
      <vt:lpstr>1719777</vt:lpstr>
      <vt:lpstr>1719777</vt:lpstr>
      <vt:lpstr>United Nations</vt:lpstr>
    </vt:vector>
  </TitlesOfParts>
  <Company>CSD</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ECE/TRANS/WP.29/GRBP/2019/25/Rev.1</dc:title>
  <dc:subject>1919617</dc:subject>
  <dc:creator>Romain HUBERT</dc:creator>
  <cp:keywords>066-NWG-19</cp:keywords>
  <dc:description/>
  <cp:lastModifiedBy>Maria Rosario Corazon Gatmaytan</cp:lastModifiedBy>
  <cp:revision>2</cp:revision>
  <cp:lastPrinted>2017-11-06T09:14:00Z</cp:lastPrinted>
  <dcterms:created xsi:type="dcterms:W3CDTF">2019-11-14T07:29:00Z</dcterms:created>
  <dcterms:modified xsi:type="dcterms:W3CDTF">2019-11-14T07:29:00Z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