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30CC" w:rsidRPr="00DC1BF6" w:rsidTr="00DC1BF6">
        <w:tc>
          <w:tcPr>
            <w:tcW w:w="4785" w:type="dxa"/>
          </w:tcPr>
          <w:p w:rsidR="002C2FCA" w:rsidRDefault="00B530CC" w:rsidP="00DC1B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Transmitted by the </w:t>
            </w:r>
            <w:r w:rsidR="00DC1BF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C2FCA">
              <w:rPr>
                <w:rFonts w:ascii="Times New Roman" w:hAnsi="Times New Roman"/>
                <w:bCs/>
                <w:sz w:val="24"/>
                <w:szCs w:val="24"/>
              </w:rPr>
              <w:t xml:space="preserve">Co-Chairs of 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Informal Working </w:t>
            </w:r>
          </w:p>
          <w:p w:rsidR="00B530CC" w:rsidRPr="00DE343D" w:rsidRDefault="00B530CC" w:rsidP="006161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on P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eriodical Technical Inspections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3CCD" w:rsidRPr="00A1086B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Informal document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WP.29-1</w:t>
            </w:r>
            <w:r w:rsidR="000E1CA5" w:rsidRPr="000E1CA5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1086B" w:rsidRPr="00A1086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21</w:t>
            </w:r>
          </w:p>
          <w:p w:rsidR="00DC1BF6" w:rsidRPr="00503314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E1CA5" w:rsidRPr="000E1CA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C850FC" w:rsidRPr="0050331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WP.29, </w:t>
            </w:r>
            <w:r w:rsidR="009956F9" w:rsidRPr="009304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E1CA5" w:rsidRPr="000E1F9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956F9" w:rsidRPr="009304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E1CA5" w:rsidRPr="000E1F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1477"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1CA5">
              <w:rPr>
                <w:rFonts w:ascii="Times New Roman" w:hAnsi="Times New Roman"/>
                <w:bCs/>
                <w:sz w:val="24"/>
                <w:szCs w:val="24"/>
              </w:rPr>
              <w:t>March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0E1C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DC1BF6" w:rsidRPr="00DC1BF6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DC1BF6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Agenda item </w:t>
            </w:r>
            <w:r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7</w:t>
            </w:r>
          </w:p>
        </w:tc>
      </w:tr>
    </w:tbl>
    <w:p w:rsidR="00014134" w:rsidRPr="00DC1BF6" w:rsidRDefault="00014134" w:rsidP="00016529">
      <w:pPr>
        <w:pStyle w:val="HChG"/>
        <w:rPr>
          <w:lang w:val="fr-CH"/>
        </w:rPr>
      </w:pPr>
    </w:p>
    <w:p w:rsidR="009B76AA" w:rsidRDefault="009B76AA" w:rsidP="00B530CC">
      <w:pPr>
        <w:pStyle w:val="HChG"/>
        <w:jc w:val="center"/>
      </w:pPr>
      <w:bookmarkStart w:id="0" w:name="_GoBack"/>
      <w:r w:rsidRPr="008A118A">
        <w:t xml:space="preserve">Report to WP.29 </w:t>
      </w:r>
      <w:r w:rsidR="003D7634" w:rsidRPr="008A118A">
        <w:t xml:space="preserve">about results of </w:t>
      </w:r>
      <w:r w:rsidR="003B25EC">
        <w:t xml:space="preserve">the </w:t>
      </w:r>
      <w:r w:rsidR="00C850FC">
        <w:t>1</w:t>
      </w:r>
      <w:r w:rsidR="000E1CA5">
        <w:t>7</w:t>
      </w:r>
      <w:r w:rsidRPr="008A118A">
        <w:rPr>
          <w:vertAlign w:val="superscript"/>
        </w:rPr>
        <w:t>th</w:t>
      </w:r>
      <w:r w:rsidRPr="008A118A">
        <w:t xml:space="preserve"> </w:t>
      </w:r>
      <w:r w:rsidR="003D7634" w:rsidRPr="008A118A">
        <w:t xml:space="preserve">meeting of </w:t>
      </w:r>
      <w:r w:rsidR="00C92FE2">
        <w:t xml:space="preserve">the </w:t>
      </w:r>
      <w:r w:rsidR="003D7634" w:rsidRPr="008A118A">
        <w:t xml:space="preserve">Informal </w:t>
      </w:r>
      <w:r w:rsidR="00C92FE2">
        <w:t xml:space="preserve">Working </w:t>
      </w:r>
      <w:r w:rsidR="003D7634" w:rsidRPr="008A118A">
        <w:t>Group on Periodical Technical Inspections</w:t>
      </w:r>
      <w:bookmarkEnd w:id="0"/>
    </w:p>
    <w:p w:rsidR="003F2D0A" w:rsidRPr="00A1086B" w:rsidRDefault="003F2D0A" w:rsidP="00F45184">
      <w:pPr>
        <w:spacing w:after="0" w:line="240" w:lineRule="auto"/>
        <w:ind w:right="6" w:firstLine="675"/>
        <w:jc w:val="both"/>
        <w:rPr>
          <w:rFonts w:ascii="Times New Roman" w:hAnsi="Times New Roman"/>
          <w:sz w:val="24"/>
          <w:szCs w:val="24"/>
          <w:lang w:val="en-GB"/>
        </w:rPr>
      </w:pPr>
      <w:r w:rsidRPr="00F45184">
        <w:rPr>
          <w:rFonts w:ascii="Times New Roman" w:hAnsi="Times New Roman"/>
          <w:sz w:val="24"/>
          <w:szCs w:val="24"/>
        </w:rPr>
        <w:t>The 1</w:t>
      </w:r>
      <w:r w:rsidR="000E1CA5" w:rsidRPr="00F45184">
        <w:rPr>
          <w:rFonts w:ascii="Times New Roman" w:hAnsi="Times New Roman"/>
          <w:sz w:val="24"/>
          <w:szCs w:val="24"/>
        </w:rPr>
        <w:t>7</w:t>
      </w:r>
      <w:r w:rsidRPr="00F45184">
        <w:rPr>
          <w:rFonts w:ascii="Times New Roman" w:hAnsi="Times New Roman"/>
          <w:sz w:val="24"/>
          <w:szCs w:val="24"/>
          <w:vertAlign w:val="superscript"/>
        </w:rPr>
        <w:t>th</w:t>
      </w:r>
      <w:r w:rsidRPr="00F45184">
        <w:rPr>
          <w:rFonts w:ascii="Times New Roman" w:hAnsi="Times New Roman"/>
          <w:sz w:val="24"/>
          <w:szCs w:val="24"/>
        </w:rPr>
        <w:t xml:space="preserve"> IWG on PTI meeting was arranged with support of </w:t>
      </w:r>
      <w:r w:rsidR="00F45184" w:rsidRPr="00F45184">
        <w:rPr>
          <w:rFonts w:ascii="Times New Roman" w:hAnsi="Times New Roman"/>
          <w:sz w:val="24"/>
          <w:szCs w:val="24"/>
        </w:rPr>
        <w:t>International Motor Vehicle Inspection Committee (</w:t>
      </w:r>
      <w:r w:rsidR="000E1CA5" w:rsidRPr="00A1086B">
        <w:rPr>
          <w:rFonts w:ascii="Times New Roman" w:hAnsi="Times New Roman"/>
          <w:sz w:val="24"/>
          <w:szCs w:val="24"/>
          <w:lang w:val="en-GB"/>
        </w:rPr>
        <w:t>CITA</w:t>
      </w:r>
      <w:r w:rsidR="00F45184" w:rsidRPr="00A1086B">
        <w:rPr>
          <w:rFonts w:ascii="Times New Roman" w:hAnsi="Times New Roman"/>
          <w:sz w:val="24"/>
          <w:szCs w:val="24"/>
          <w:lang w:val="en-GB"/>
        </w:rPr>
        <w:t>)</w:t>
      </w:r>
      <w:r w:rsidR="000E1CA5" w:rsidRPr="00A1086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45184">
        <w:rPr>
          <w:rFonts w:ascii="Times New Roman" w:hAnsi="Times New Roman"/>
          <w:sz w:val="24"/>
          <w:szCs w:val="24"/>
          <w:lang w:val="en-GB"/>
        </w:rPr>
        <w:t xml:space="preserve">and held on </w:t>
      </w:r>
      <w:r w:rsidR="009956F9" w:rsidRPr="00F45184">
        <w:rPr>
          <w:rFonts w:ascii="Times New Roman" w:hAnsi="Times New Roman"/>
          <w:sz w:val="24"/>
          <w:szCs w:val="24"/>
          <w:lang w:val="en-GB"/>
        </w:rPr>
        <w:t>1</w:t>
      </w:r>
      <w:r w:rsidR="00F45184">
        <w:rPr>
          <w:rFonts w:ascii="Times New Roman" w:hAnsi="Times New Roman"/>
          <w:sz w:val="24"/>
          <w:szCs w:val="24"/>
          <w:lang w:val="en-GB"/>
        </w:rPr>
        <w:t>3</w:t>
      </w:r>
      <w:r w:rsidRPr="00F4518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45184">
        <w:rPr>
          <w:rFonts w:ascii="Times New Roman" w:hAnsi="Times New Roman"/>
          <w:sz w:val="24"/>
          <w:szCs w:val="24"/>
        </w:rPr>
        <w:t>February</w:t>
      </w:r>
      <w:r w:rsidRPr="00F45184">
        <w:rPr>
          <w:rFonts w:ascii="Times New Roman" w:hAnsi="Times New Roman"/>
          <w:sz w:val="24"/>
          <w:szCs w:val="24"/>
          <w:lang w:val="en-GB"/>
        </w:rPr>
        <w:t xml:space="preserve"> 20</w:t>
      </w:r>
      <w:r w:rsidR="00F45184" w:rsidRPr="00F45184">
        <w:rPr>
          <w:rFonts w:ascii="Times New Roman" w:hAnsi="Times New Roman"/>
          <w:sz w:val="24"/>
          <w:szCs w:val="24"/>
          <w:lang w:val="en-GB"/>
        </w:rPr>
        <w:t>20</w:t>
      </w:r>
      <w:r w:rsidRPr="00F45184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F45184" w:rsidRPr="00A1086B">
        <w:rPr>
          <w:rFonts w:ascii="Times New Roman" w:hAnsi="Times New Roman"/>
          <w:sz w:val="24"/>
          <w:szCs w:val="24"/>
          <w:lang w:val="en-GB"/>
        </w:rPr>
        <w:t>Brussels, Belgium</w:t>
      </w:r>
      <w:r w:rsidRPr="00F45184">
        <w:rPr>
          <w:rFonts w:ascii="Times New Roman" w:hAnsi="Times New Roman"/>
          <w:sz w:val="24"/>
          <w:szCs w:val="24"/>
          <w:lang w:val="en-GB"/>
        </w:rPr>
        <w:t>.</w:t>
      </w:r>
      <w:r w:rsidRPr="00F45184">
        <w:rPr>
          <w:rFonts w:ascii="Times New Roman" w:hAnsi="Times New Roman"/>
          <w:color w:val="585858"/>
          <w:sz w:val="24"/>
          <w:szCs w:val="24"/>
          <w:lang w:val="en"/>
        </w:rPr>
        <w:t xml:space="preserve"> </w:t>
      </w:r>
    </w:p>
    <w:p w:rsidR="00A13CCD" w:rsidRPr="00F45184" w:rsidRDefault="00A13CCD" w:rsidP="00E84FAF">
      <w:pPr>
        <w:pStyle w:val="SingleTxtG"/>
        <w:spacing w:after="0" w:line="240" w:lineRule="auto"/>
        <w:ind w:left="0" w:firstLine="675"/>
        <w:rPr>
          <w:color w:val="585858"/>
          <w:sz w:val="24"/>
          <w:szCs w:val="24"/>
          <w:lang w:val="en"/>
        </w:rPr>
      </w:pPr>
    </w:p>
    <w:p w:rsidR="0003367C" w:rsidRDefault="0003367C" w:rsidP="0003367C">
      <w:pPr>
        <w:pStyle w:val="BodyText"/>
      </w:pPr>
    </w:p>
    <w:p w:rsidR="003F2D0A" w:rsidRDefault="00765EA5" w:rsidP="0003367C">
      <w:pPr>
        <w:pStyle w:val="BodyText"/>
        <w:rPr>
          <w:b/>
          <w:szCs w:val="24"/>
        </w:rPr>
      </w:pPr>
      <w:r>
        <w:rPr>
          <w:b/>
          <w:szCs w:val="24"/>
        </w:rPr>
        <w:t>1</w:t>
      </w:r>
      <w:r w:rsidR="0003367C" w:rsidRPr="0003367C">
        <w:rPr>
          <w:b/>
          <w:szCs w:val="24"/>
        </w:rPr>
        <w:t xml:space="preserve">. </w:t>
      </w:r>
      <w:r w:rsidR="0003367C">
        <w:rPr>
          <w:b/>
          <w:szCs w:val="24"/>
        </w:rPr>
        <w:tab/>
      </w:r>
      <w:r w:rsidR="0003367C">
        <w:rPr>
          <w:b/>
          <w:szCs w:val="24"/>
        </w:rPr>
        <w:tab/>
      </w:r>
      <w:r w:rsidR="003F2D0A" w:rsidRPr="0003367C">
        <w:rPr>
          <w:b/>
          <w:szCs w:val="24"/>
        </w:rPr>
        <w:t>In-Service compliance</w:t>
      </w:r>
    </w:p>
    <w:p w:rsidR="008778FC" w:rsidRPr="00A1086B" w:rsidRDefault="008778FC" w:rsidP="008778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GB"/>
        </w:rPr>
      </w:pPr>
    </w:p>
    <w:p w:rsidR="005F42DA" w:rsidRPr="005F42DA" w:rsidRDefault="008778FC" w:rsidP="005F42DA">
      <w:pPr>
        <w:pStyle w:val="SingleTxtG"/>
        <w:tabs>
          <w:tab w:val="left" w:pos="709"/>
        </w:tabs>
        <w:spacing w:after="0"/>
        <w:ind w:left="0" w:right="49"/>
        <w:rPr>
          <w:rStyle w:val="Strong"/>
          <w:b w:val="0"/>
          <w:bCs w:val="0"/>
          <w:sz w:val="24"/>
          <w:szCs w:val="24"/>
          <w:lang w:val="en-US"/>
        </w:rPr>
      </w:pPr>
      <w:r w:rsidRPr="008778FC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="005F42DA">
        <w:rPr>
          <w:rFonts w:eastAsiaTheme="minorHAnsi"/>
          <w:color w:val="000000"/>
          <w:sz w:val="24"/>
          <w:szCs w:val="24"/>
          <w:lang w:val="en-US"/>
        </w:rPr>
        <w:tab/>
      </w:r>
      <w:r w:rsidR="005F42DA" w:rsidRPr="005F42DA">
        <w:rPr>
          <w:sz w:val="24"/>
          <w:szCs w:val="24"/>
          <w:lang w:val="en-US"/>
        </w:rPr>
        <w:t>The group continue</w:t>
      </w:r>
      <w:r w:rsidR="005F42DA">
        <w:rPr>
          <w:sz w:val="24"/>
          <w:szCs w:val="24"/>
        </w:rPr>
        <w:t>d</w:t>
      </w:r>
      <w:r w:rsidR="005F42DA" w:rsidRPr="005F42DA">
        <w:rPr>
          <w:sz w:val="24"/>
          <w:szCs w:val="24"/>
          <w:lang w:val="en-US"/>
        </w:rPr>
        <w:t xml:space="preserve"> development of the </w:t>
      </w:r>
      <w:r w:rsidR="005F42DA" w:rsidRPr="005F42DA">
        <w:rPr>
          <w:sz w:val="24"/>
          <w:szCs w:val="24"/>
          <w:lang w:val="en-GB"/>
        </w:rPr>
        <w:t xml:space="preserve">Framework document on </w:t>
      </w:r>
      <w:r w:rsidR="005F42DA">
        <w:rPr>
          <w:sz w:val="24"/>
          <w:szCs w:val="24"/>
          <w:lang w:val="en-GB"/>
        </w:rPr>
        <w:t xml:space="preserve">in-service compliance </w:t>
      </w:r>
      <w:r w:rsidR="005F42DA" w:rsidRPr="005F42DA">
        <w:rPr>
          <w:sz w:val="24"/>
          <w:szCs w:val="24"/>
          <w:lang w:val="en-GB"/>
        </w:rPr>
        <w:t xml:space="preserve">assessment the vehicles </w:t>
      </w:r>
      <w:r w:rsidR="005F42DA" w:rsidRPr="005F42DA">
        <w:rPr>
          <w:sz w:val="24"/>
          <w:szCs w:val="24"/>
        </w:rPr>
        <w:t xml:space="preserve">including </w:t>
      </w:r>
      <w:r w:rsidR="005F42DA" w:rsidRPr="005F42DA">
        <w:rPr>
          <w:sz w:val="24"/>
          <w:szCs w:val="24"/>
          <w:lang w:val="en-GB"/>
        </w:rPr>
        <w:t>automated/autonomous vehicles</w:t>
      </w:r>
      <w:r w:rsidR="005F42DA" w:rsidRPr="005F42DA">
        <w:rPr>
          <w:rStyle w:val="Strong"/>
          <w:sz w:val="24"/>
          <w:szCs w:val="24"/>
          <w:lang w:val="en-GB"/>
        </w:rPr>
        <w:t xml:space="preserve"> </w:t>
      </w:r>
      <w:r w:rsidR="005F42DA" w:rsidRPr="005F42DA">
        <w:rPr>
          <w:sz w:val="24"/>
          <w:szCs w:val="24"/>
          <w:lang w:val="en-GB"/>
        </w:rPr>
        <w:t>and their components</w:t>
      </w:r>
      <w:r w:rsidR="007B468C">
        <w:rPr>
          <w:sz w:val="24"/>
          <w:szCs w:val="24"/>
          <w:lang w:val="en-GB"/>
        </w:rPr>
        <w:t>.</w:t>
      </w:r>
    </w:p>
    <w:p w:rsidR="007B468C" w:rsidRPr="00D10E63" w:rsidRDefault="007B468C" w:rsidP="007B4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SubtleReference"/>
          <w:rFonts w:ascii="Times New Roman" w:hAnsi="Times New Roman"/>
          <w:lang w:val="en-US"/>
        </w:rPr>
        <w:t>T</w:t>
      </w:r>
      <w:r w:rsidRPr="008778FC">
        <w:rPr>
          <w:rStyle w:val="SubtleReference"/>
          <w:rFonts w:ascii="Times New Roman" w:hAnsi="Times New Roman"/>
        </w:rPr>
        <w:t xml:space="preserve">he document GRVA-05-12 </w:t>
      </w:r>
      <w:r>
        <w:rPr>
          <w:rStyle w:val="SubtleReference"/>
          <w:rFonts w:ascii="Times New Roman" w:hAnsi="Times New Roman"/>
        </w:rPr>
        <w:t>“</w:t>
      </w:r>
      <w:r w:rsidRPr="008778FC">
        <w:rPr>
          <w:rFonts w:ascii="Times New Roman" w:eastAsiaTheme="minorHAnsi" w:hAnsi="Times New Roman"/>
          <w:bCs/>
          <w:color w:val="000000"/>
          <w:sz w:val="24"/>
          <w:szCs w:val="24"/>
        </w:rPr>
        <w:t>The 1958 Agreement and lifetime/lifecycle considerations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” was </w:t>
      </w:r>
      <w:r w:rsidR="008778FC" w:rsidRPr="008778FC">
        <w:rPr>
          <w:rStyle w:val="SubtleReference"/>
          <w:rFonts w:ascii="Times New Roman" w:hAnsi="Times New Roman"/>
        </w:rPr>
        <w:t>reviewed</w:t>
      </w:r>
      <w:r w:rsidR="008778F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0E1F98">
        <w:rPr>
          <w:rFonts w:ascii="Times New Roman" w:eastAsiaTheme="minorHAnsi" w:hAnsi="Times New Roman"/>
          <w:bCs/>
          <w:color w:val="000000"/>
          <w:sz w:val="24"/>
          <w:szCs w:val="24"/>
        </w:rPr>
        <w:t>It con</w:t>
      </w:r>
      <w:r w:rsidR="00D10E63">
        <w:rPr>
          <w:rFonts w:ascii="Times New Roman" w:eastAsiaTheme="minorHAnsi" w:hAnsi="Times New Roman"/>
          <w:bCs/>
          <w:color w:val="000000"/>
          <w:sz w:val="24"/>
          <w:szCs w:val="24"/>
        </w:rPr>
        <w:t>cludes</w:t>
      </w:r>
      <w:r w:rsidR="000E1F9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that </w:t>
      </w:r>
      <w:r w:rsidR="00DE5B7E" w:rsidRPr="008778FC">
        <w:rPr>
          <w:rFonts w:ascii="Times New Roman" w:hAnsi="Times New Roman"/>
          <w:sz w:val="24"/>
          <w:szCs w:val="24"/>
        </w:rPr>
        <w:t>a sufficient legal basis exists to draft and adopt provisions to be inserted in UN Regulations that address the performance of vehicles over their lifetime and/or lifecycle.</w:t>
      </w:r>
      <w:r w:rsidR="000E1F98">
        <w:rPr>
          <w:rFonts w:ascii="Times New Roman" w:hAnsi="Times New Roman"/>
          <w:sz w:val="24"/>
          <w:szCs w:val="24"/>
        </w:rPr>
        <w:t xml:space="preserve"> </w:t>
      </w:r>
      <w:r w:rsidR="00D10E63">
        <w:rPr>
          <w:rFonts w:ascii="Times New Roman" w:hAnsi="Times New Roman"/>
          <w:sz w:val="24"/>
          <w:szCs w:val="24"/>
        </w:rPr>
        <w:t>The conclusion</w:t>
      </w:r>
      <w:r w:rsidR="000E1F98" w:rsidRPr="00D10E63">
        <w:rPr>
          <w:rFonts w:ascii="Times New Roman" w:hAnsi="Times New Roman"/>
          <w:sz w:val="24"/>
          <w:szCs w:val="24"/>
        </w:rPr>
        <w:t xml:space="preserve"> meet</w:t>
      </w:r>
      <w:r w:rsidR="00D10E63">
        <w:rPr>
          <w:rFonts w:ascii="Times New Roman" w:hAnsi="Times New Roman"/>
          <w:sz w:val="24"/>
          <w:szCs w:val="24"/>
        </w:rPr>
        <w:t>s</w:t>
      </w:r>
      <w:r w:rsidR="000E1F98" w:rsidRPr="00D10E63">
        <w:rPr>
          <w:rFonts w:ascii="Times New Roman" w:hAnsi="Times New Roman"/>
          <w:sz w:val="24"/>
          <w:szCs w:val="24"/>
        </w:rPr>
        <w:t xml:space="preserve"> the concept of the </w:t>
      </w:r>
      <w:r w:rsidR="000E1F98" w:rsidRPr="00D10E63">
        <w:rPr>
          <w:rFonts w:ascii="Times New Roman" w:hAnsi="Times New Roman"/>
          <w:sz w:val="24"/>
          <w:szCs w:val="24"/>
          <w:lang w:val="en-GB"/>
        </w:rPr>
        <w:t xml:space="preserve">Framework document </w:t>
      </w:r>
      <w:r w:rsidR="00D10E63">
        <w:rPr>
          <w:rFonts w:ascii="Times New Roman" w:hAnsi="Times New Roman"/>
          <w:sz w:val="24"/>
          <w:szCs w:val="24"/>
          <w:lang w:val="en-GB"/>
        </w:rPr>
        <w:t>p</w:t>
      </w:r>
      <w:r w:rsidR="000E1F98" w:rsidRPr="00D10E63">
        <w:rPr>
          <w:rFonts w:ascii="Times New Roman" w:hAnsi="Times New Roman"/>
          <w:sz w:val="24"/>
          <w:szCs w:val="24"/>
          <w:lang w:val="en-GB"/>
        </w:rPr>
        <w:t xml:space="preserve">resented to </w:t>
      </w:r>
      <w:r w:rsidR="00D10E63" w:rsidRPr="00D10E63">
        <w:rPr>
          <w:rFonts w:ascii="Times New Roman" w:hAnsi="Times New Roman"/>
          <w:sz w:val="24"/>
          <w:szCs w:val="24"/>
          <w:lang w:val="en-GB"/>
        </w:rPr>
        <w:t>WP.29 by the group.</w:t>
      </w:r>
    </w:p>
    <w:p w:rsidR="009705A7" w:rsidRDefault="007B468C" w:rsidP="007B468C">
      <w:pPr>
        <w:ind w:firstLine="708"/>
        <w:jc w:val="both"/>
        <w:rPr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 group suppose</w:t>
      </w:r>
      <w:r w:rsidR="00D10E6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5F42DA" w:rsidRPr="007B468C">
        <w:rPr>
          <w:rFonts w:ascii="Times New Roman" w:hAnsi="Times New Roman"/>
          <w:sz w:val="24"/>
          <w:szCs w:val="24"/>
        </w:rPr>
        <w:t>the data collected in the processes of CoP and in-service conformity in frame of the 1958 Agreement, market surveillance, PTI/roadside inspections in frame of the 1997 Agreement can be used by the Contracting parties for proper safety management and ensuring the continuous compliance of the vehicle</w:t>
      </w:r>
      <w:r>
        <w:rPr>
          <w:rFonts w:ascii="Times New Roman" w:hAnsi="Times New Roman"/>
          <w:sz w:val="24"/>
          <w:szCs w:val="24"/>
        </w:rPr>
        <w:t>.</w:t>
      </w:r>
      <w:r w:rsidR="005F42DA" w:rsidRPr="007B4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F42DA" w:rsidRPr="007B468C">
        <w:rPr>
          <w:rFonts w:ascii="Times New Roman" w:hAnsi="Times New Roman"/>
          <w:sz w:val="24"/>
          <w:szCs w:val="24"/>
        </w:rPr>
        <w:t>he international vehicle safety legal acts shall be interconnected to ensure continuous compliance of the vehicle</w:t>
      </w:r>
      <w:r w:rsidR="009705A7">
        <w:rPr>
          <w:rFonts w:ascii="Times New Roman" w:hAnsi="Times New Roman"/>
          <w:sz w:val="24"/>
          <w:szCs w:val="24"/>
        </w:rPr>
        <w:t xml:space="preserve">. </w:t>
      </w:r>
    </w:p>
    <w:p w:rsidR="001D049D" w:rsidRDefault="009705A7" w:rsidP="004F2F12">
      <w:pPr>
        <w:ind w:firstLine="708"/>
        <w:jc w:val="both"/>
        <w:rPr>
          <w:rStyle w:val="SubtleReference"/>
          <w:rFonts w:ascii="Times New Roman" w:hAnsi="Times New Roman"/>
        </w:rPr>
      </w:pPr>
      <w:r w:rsidRPr="009705A7">
        <w:rPr>
          <w:rFonts w:ascii="Times New Roman" w:hAnsi="Times New Roman"/>
          <w:bCs/>
          <w:sz w:val="24"/>
          <w:szCs w:val="24"/>
        </w:rPr>
        <w:t>Draft new UN Regulation on uniform provisions concerning the approval of vehicles with regard to cyber security and of their cybersecurity management systems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78FC">
        <w:rPr>
          <w:rStyle w:val="SubtleReference"/>
          <w:rFonts w:ascii="Times New Roman" w:hAnsi="Times New Roman"/>
        </w:rPr>
        <w:t>envisage</w:t>
      </w:r>
      <w:r w:rsidR="00D10E63">
        <w:rPr>
          <w:rStyle w:val="SubtleReference"/>
          <w:rFonts w:ascii="Times New Roman" w:hAnsi="Times New Roman"/>
        </w:rPr>
        <w:t>s</w:t>
      </w:r>
      <w:r w:rsidRPr="008778FC">
        <w:rPr>
          <w:rStyle w:val="SubtleReference"/>
          <w:rFonts w:ascii="Times New Roman" w:hAnsi="Times New Roman"/>
        </w:rPr>
        <w:t xml:space="preserve"> scenario of </w:t>
      </w:r>
      <w:r w:rsidRPr="008778FC">
        <w:rPr>
          <w:rFonts w:ascii="Times New Roman" w:hAnsi="Times New Roman"/>
          <w:sz w:val="24"/>
          <w:szCs w:val="24"/>
        </w:rPr>
        <w:t>lifetime compliance</w:t>
      </w:r>
      <w:r>
        <w:rPr>
          <w:rFonts w:ascii="Times New Roman" w:hAnsi="Times New Roman"/>
          <w:sz w:val="24"/>
          <w:szCs w:val="24"/>
        </w:rPr>
        <w:t xml:space="preserve">. </w:t>
      </w:r>
      <w:r w:rsidR="004F2F12">
        <w:rPr>
          <w:rFonts w:ascii="Times New Roman" w:hAnsi="Times New Roman"/>
          <w:sz w:val="24"/>
          <w:szCs w:val="24"/>
        </w:rPr>
        <w:t xml:space="preserve">The </w:t>
      </w:r>
      <w:r w:rsidR="004F2F12" w:rsidRPr="008778FC">
        <w:rPr>
          <w:rStyle w:val="SubtleReference"/>
          <w:rFonts w:ascii="Times New Roman" w:hAnsi="Times New Roman"/>
        </w:rPr>
        <w:t>Data Storage System for Automated Driving – DSSAD, where monitoring is made by the manufacturer who must make that information available to the approval authority. Data managed are: the digital identity of the vehicle, whether the vehicle is human- or autonomous-driven and software identification RXSWIN.</w:t>
      </w:r>
      <w:r w:rsidR="004F2F12">
        <w:rPr>
          <w:rStyle w:val="SubtleReference"/>
          <w:rFonts w:ascii="Times New Roman" w:hAnsi="Times New Roman"/>
        </w:rPr>
        <w:t xml:space="preserve"> </w:t>
      </w:r>
    </w:p>
    <w:p w:rsidR="008778FC" w:rsidRDefault="0099267F" w:rsidP="004F2F12">
      <w:pPr>
        <w:ind w:firstLine="708"/>
        <w:jc w:val="both"/>
        <w:rPr>
          <w:rStyle w:val="SubtleReference"/>
          <w:rFonts w:ascii="Times New Roman" w:hAnsi="Times New Roman"/>
        </w:rPr>
      </w:pPr>
      <w:r>
        <w:rPr>
          <w:rStyle w:val="SubtleReference"/>
          <w:rFonts w:ascii="Times New Roman" w:hAnsi="Times New Roman"/>
        </w:rPr>
        <w:t>It was</w:t>
      </w:r>
      <w:r w:rsidR="008778FC" w:rsidRPr="008778FC">
        <w:rPr>
          <w:rStyle w:val="SubtleReference"/>
          <w:rFonts w:ascii="Times New Roman" w:hAnsi="Times New Roman"/>
        </w:rPr>
        <w:t xml:space="preserve"> </w:t>
      </w:r>
      <w:r w:rsidR="004F2F12">
        <w:rPr>
          <w:rStyle w:val="SubtleReference"/>
          <w:rFonts w:ascii="Times New Roman" w:hAnsi="Times New Roman"/>
        </w:rPr>
        <w:t>noted</w:t>
      </w:r>
      <w:r w:rsidR="008778FC" w:rsidRPr="008778FC">
        <w:rPr>
          <w:rStyle w:val="SubtleReference"/>
          <w:rFonts w:ascii="Times New Roman" w:hAnsi="Times New Roman"/>
        </w:rPr>
        <w:t xml:space="preserve"> that further considerations for emissions are RDE tests on a random basis to check whether in-use vehicle still meets the requirements. Ow</w:t>
      </w:r>
      <w:r w:rsidR="00D10E63">
        <w:rPr>
          <w:rStyle w:val="SubtleReference"/>
          <w:rFonts w:ascii="Times New Roman" w:hAnsi="Times New Roman"/>
        </w:rPr>
        <w:t>n</w:t>
      </w:r>
      <w:r w:rsidR="008778FC" w:rsidRPr="008778FC">
        <w:rPr>
          <w:rStyle w:val="SubtleReference"/>
          <w:rFonts w:ascii="Times New Roman" w:hAnsi="Times New Roman"/>
        </w:rPr>
        <w:t xml:space="preserve">ers are obliged to cooperate and </w:t>
      </w:r>
      <w:r w:rsidR="004F2F12">
        <w:rPr>
          <w:rStyle w:val="SubtleReference"/>
          <w:rFonts w:ascii="Times New Roman" w:hAnsi="Times New Roman"/>
        </w:rPr>
        <w:t xml:space="preserve">to be </w:t>
      </w:r>
      <w:r w:rsidR="008778FC" w:rsidRPr="008778FC">
        <w:rPr>
          <w:rStyle w:val="SubtleReference"/>
          <w:rFonts w:ascii="Times New Roman" w:hAnsi="Times New Roman"/>
        </w:rPr>
        <w:t xml:space="preserve">compensated. </w:t>
      </w:r>
      <w:r>
        <w:rPr>
          <w:rStyle w:val="SubtleReference"/>
          <w:rFonts w:ascii="Times New Roman" w:hAnsi="Times New Roman"/>
        </w:rPr>
        <w:t>The group</w:t>
      </w:r>
      <w:r w:rsidR="008778FC" w:rsidRPr="008778FC">
        <w:rPr>
          <w:rStyle w:val="SubtleReference"/>
          <w:rFonts w:ascii="Times New Roman" w:hAnsi="Times New Roman"/>
        </w:rPr>
        <w:t xml:space="preserve"> considers likely that this activity ends up on the PTI side.</w:t>
      </w:r>
    </w:p>
    <w:p w:rsidR="004F2F12" w:rsidRPr="008778FC" w:rsidRDefault="004F2F12" w:rsidP="004F2F12">
      <w:pPr>
        <w:ind w:firstLine="708"/>
        <w:jc w:val="both"/>
        <w:rPr>
          <w:rStyle w:val="SubtleReference"/>
          <w:rFonts w:ascii="Times New Roman" w:hAnsi="Times New Roman"/>
        </w:rPr>
      </w:pPr>
      <w:r>
        <w:rPr>
          <w:rStyle w:val="SubtleReference"/>
          <w:rFonts w:ascii="Times New Roman" w:hAnsi="Times New Roman"/>
        </w:rPr>
        <w:t>The group</w:t>
      </w:r>
      <w:r w:rsidRPr="008778FC">
        <w:rPr>
          <w:rStyle w:val="SubtleReference"/>
          <w:rFonts w:ascii="Times New Roman" w:hAnsi="Times New Roman"/>
        </w:rPr>
        <w:t xml:space="preserve"> on those matters also consider</w:t>
      </w:r>
      <w:r>
        <w:rPr>
          <w:rStyle w:val="SubtleReference"/>
          <w:rFonts w:ascii="Times New Roman" w:hAnsi="Times New Roman"/>
        </w:rPr>
        <w:t>s</w:t>
      </w:r>
      <w:r w:rsidRPr="008778FC">
        <w:rPr>
          <w:rStyle w:val="SubtleReference"/>
          <w:rFonts w:ascii="Times New Roman" w:hAnsi="Times New Roman"/>
        </w:rPr>
        <w:t xml:space="preserve"> continuous monitoring</w:t>
      </w:r>
      <w:r>
        <w:rPr>
          <w:rStyle w:val="SubtleReference"/>
          <w:rFonts w:ascii="Times New Roman" w:hAnsi="Times New Roman"/>
        </w:rPr>
        <w:t xml:space="preserve"> of the vehicle performance</w:t>
      </w:r>
      <w:r w:rsidRPr="008778FC">
        <w:rPr>
          <w:rStyle w:val="SubtleReference"/>
          <w:rFonts w:ascii="Times New Roman" w:hAnsi="Times New Roman"/>
        </w:rPr>
        <w:t>.</w:t>
      </w:r>
    </w:p>
    <w:p w:rsidR="008778FC" w:rsidRPr="008778FC" w:rsidRDefault="004F2F12" w:rsidP="004F2F12">
      <w:pPr>
        <w:ind w:firstLine="708"/>
        <w:jc w:val="both"/>
        <w:rPr>
          <w:rStyle w:val="SubtleReference"/>
          <w:rFonts w:ascii="Times New Roman" w:hAnsi="Times New Roman"/>
        </w:rPr>
      </w:pPr>
      <w:r>
        <w:rPr>
          <w:rStyle w:val="SubtleReference"/>
          <w:rFonts w:ascii="Times New Roman" w:hAnsi="Times New Roman"/>
        </w:rPr>
        <w:lastRenderedPageBreak/>
        <w:t>It was</w:t>
      </w:r>
      <w:r w:rsidR="008778FC" w:rsidRPr="008778FC">
        <w:rPr>
          <w:rStyle w:val="SubtleReference"/>
          <w:rFonts w:ascii="Times New Roman" w:hAnsi="Times New Roman"/>
        </w:rPr>
        <w:t xml:space="preserve"> agreed to collaborate with the IWG in charge of the DETA database and to invite a representative of the IWG on DETA to explain in more details their activities.</w:t>
      </w:r>
    </w:p>
    <w:p w:rsidR="0099267F" w:rsidRDefault="0099267F" w:rsidP="0099267F">
      <w:pPr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4F2F12" w:rsidRPr="004F2F12">
        <w:rPr>
          <w:rFonts w:ascii="Times New Roman" w:hAnsi="Times New Roman"/>
          <w:sz w:val="24"/>
          <w:szCs w:val="24"/>
          <w:lang w:val="en-GB"/>
        </w:rPr>
        <w:t>he group agreed on preparing a document about emissions’ remote-sensing. The representative of CITA will prepare a draft for further discussions.</w:t>
      </w:r>
    </w:p>
    <w:p w:rsidR="004F2F12" w:rsidRPr="004F2F12" w:rsidRDefault="0099267F" w:rsidP="0099267F">
      <w:pPr>
        <w:ind w:firstLine="708"/>
        <w:jc w:val="both"/>
        <w:rPr>
          <w:rStyle w:val="SubtleReference"/>
          <w:rFonts w:ascii="Times New Roman" w:hAnsi="Times New Roman"/>
        </w:rPr>
      </w:pPr>
      <w:r>
        <w:rPr>
          <w:rStyle w:val="SubtleReference"/>
          <w:rFonts w:ascii="Times New Roman" w:hAnsi="Times New Roman"/>
        </w:rPr>
        <w:t>It was</w:t>
      </w:r>
      <w:r w:rsidR="004F2F12" w:rsidRPr="004F2F12">
        <w:rPr>
          <w:rStyle w:val="SubtleReference"/>
          <w:rFonts w:ascii="Times New Roman" w:hAnsi="Times New Roman"/>
        </w:rPr>
        <w:t xml:space="preserve"> also indicated that recall campaigns shall be included within PTI. In that regard, the representative of Finland explained that </w:t>
      </w:r>
      <w:r w:rsidR="0035095A">
        <w:rPr>
          <w:rStyle w:val="SubtleReference"/>
          <w:rFonts w:ascii="Times New Roman" w:hAnsi="Times New Roman"/>
        </w:rPr>
        <w:t xml:space="preserve">it </w:t>
      </w:r>
      <w:r w:rsidR="004F2F12" w:rsidRPr="004F2F12">
        <w:rPr>
          <w:rStyle w:val="SubtleReference"/>
          <w:rFonts w:ascii="Times New Roman" w:hAnsi="Times New Roman"/>
        </w:rPr>
        <w:t>is managed that way in his country, and the representative of Germany confirmed that in his country that was depending on each case.</w:t>
      </w:r>
    </w:p>
    <w:p w:rsidR="004F2F12" w:rsidRPr="0035095A" w:rsidRDefault="0099267F" w:rsidP="0035095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5095A" w:rsidRPr="0035095A">
        <w:rPr>
          <w:rFonts w:ascii="Times New Roman" w:hAnsi="Times New Roman"/>
          <w:sz w:val="24"/>
          <w:szCs w:val="24"/>
          <w:lang w:val="en-GB"/>
        </w:rPr>
        <w:t xml:space="preserve">It </w:t>
      </w:r>
      <w:proofErr w:type="gramStart"/>
      <w:r w:rsidR="0035095A" w:rsidRPr="0035095A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4F2F12" w:rsidRPr="0035095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095A" w:rsidRPr="0035095A">
        <w:rPr>
          <w:rFonts w:ascii="Times New Roman" w:hAnsi="Times New Roman"/>
          <w:sz w:val="24"/>
          <w:szCs w:val="24"/>
          <w:lang w:val="en-GB"/>
        </w:rPr>
        <w:t>confirmed</w:t>
      </w:r>
      <w:proofErr w:type="gramEnd"/>
      <w:r w:rsidR="0035095A" w:rsidRPr="0035095A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35095A" w:rsidRPr="0035095A">
        <w:rPr>
          <w:rFonts w:ascii="Times New Roman" w:hAnsi="Times New Roman"/>
          <w:sz w:val="24"/>
          <w:szCs w:val="24"/>
        </w:rPr>
        <w:t xml:space="preserve">the terms in the field of  in-service </w:t>
      </w:r>
      <w:r w:rsidR="004F2F12" w:rsidRPr="0035095A">
        <w:rPr>
          <w:rFonts w:ascii="Times New Roman" w:hAnsi="Times New Roman"/>
          <w:sz w:val="24"/>
          <w:szCs w:val="24"/>
          <w:lang w:val="en-GB"/>
        </w:rPr>
        <w:t>compliance</w:t>
      </w:r>
      <w:r w:rsidR="0035095A" w:rsidRPr="0035095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095A">
        <w:rPr>
          <w:rFonts w:ascii="Times New Roman" w:hAnsi="Times New Roman"/>
          <w:sz w:val="24"/>
          <w:szCs w:val="24"/>
          <w:lang w:val="en-GB"/>
        </w:rPr>
        <w:t>and o</w:t>
      </w:r>
      <w:proofErr w:type="spellStart"/>
      <w:r w:rsidR="0035095A">
        <w:rPr>
          <w:rFonts w:ascii="Times New Roman" w:hAnsi="Times New Roman"/>
          <w:iCs/>
          <w:sz w:val="24"/>
          <w:szCs w:val="24"/>
        </w:rPr>
        <w:t>perational</w:t>
      </w:r>
      <w:proofErr w:type="spellEnd"/>
      <w:r w:rsidR="0035095A">
        <w:rPr>
          <w:rFonts w:ascii="Times New Roman" w:hAnsi="Times New Roman"/>
          <w:iCs/>
          <w:sz w:val="24"/>
          <w:szCs w:val="24"/>
        </w:rPr>
        <w:t xml:space="preserve"> safety </w:t>
      </w:r>
      <w:r w:rsidR="004F2F12" w:rsidRPr="0035095A">
        <w:rPr>
          <w:rFonts w:ascii="Times New Roman" w:hAnsi="Times New Roman"/>
          <w:sz w:val="24"/>
          <w:szCs w:val="24"/>
          <w:lang w:val="en-GB"/>
        </w:rPr>
        <w:t>shall be precisely defined.</w:t>
      </w:r>
    </w:p>
    <w:p w:rsidR="00E84FAF" w:rsidRPr="00930473" w:rsidRDefault="00E84FAF" w:rsidP="0035095A">
      <w:pPr>
        <w:pStyle w:val="SingleTxtG"/>
        <w:spacing w:after="0" w:line="240" w:lineRule="auto"/>
        <w:ind w:left="0"/>
        <w:rPr>
          <w:sz w:val="24"/>
          <w:szCs w:val="24"/>
          <w:lang w:val="en-US"/>
        </w:rPr>
      </w:pPr>
    </w:p>
    <w:p w:rsidR="003F2D0A" w:rsidRPr="00A13CCD" w:rsidRDefault="003F2D0A" w:rsidP="00A13CCD">
      <w:pPr>
        <w:pStyle w:val="ListParagraph"/>
        <w:numPr>
          <w:ilvl w:val="0"/>
          <w:numId w:val="9"/>
        </w:numPr>
        <w:spacing w:line="240" w:lineRule="auto"/>
        <w:ind w:leftChars="0" w:left="709" w:right="1041" w:hanging="709"/>
        <w:jc w:val="both"/>
        <w:rPr>
          <w:b/>
          <w:sz w:val="24"/>
          <w:szCs w:val="24"/>
        </w:rPr>
      </w:pPr>
      <w:r w:rsidRPr="00A13CCD">
        <w:rPr>
          <w:b/>
          <w:sz w:val="24"/>
          <w:szCs w:val="24"/>
        </w:rPr>
        <w:t>Measures to detect tampering: methods and supervision</w:t>
      </w:r>
    </w:p>
    <w:p w:rsidR="00A13CCD" w:rsidRPr="00A13CCD" w:rsidRDefault="00A13CCD" w:rsidP="00A13CCD">
      <w:pPr>
        <w:pStyle w:val="ListParagraph"/>
        <w:spacing w:line="240" w:lineRule="auto"/>
        <w:ind w:leftChars="0" w:left="0" w:right="1041"/>
        <w:jc w:val="both"/>
        <w:rPr>
          <w:b/>
          <w:sz w:val="24"/>
          <w:szCs w:val="24"/>
        </w:rPr>
      </w:pPr>
    </w:p>
    <w:p w:rsidR="004F2F12" w:rsidRPr="004F2F12" w:rsidRDefault="0035095A" w:rsidP="00FA69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noted that </w:t>
      </w:r>
      <w:r w:rsidR="004F2F12" w:rsidRPr="004F2F12">
        <w:rPr>
          <w:rFonts w:ascii="Times New Roman" w:hAnsi="Times New Roman"/>
          <w:sz w:val="24"/>
          <w:szCs w:val="24"/>
        </w:rPr>
        <w:t>GRPE had a positive acceptance of the documents</w:t>
      </w:r>
      <w:r>
        <w:rPr>
          <w:rFonts w:ascii="Times New Roman" w:hAnsi="Times New Roman"/>
          <w:sz w:val="24"/>
          <w:szCs w:val="24"/>
        </w:rPr>
        <w:t xml:space="preserve"> presented by the IWG on PTI</w:t>
      </w:r>
      <w:r w:rsidR="004F2F12" w:rsidRPr="004F2F12">
        <w:rPr>
          <w:rFonts w:ascii="Times New Roman" w:hAnsi="Times New Roman"/>
          <w:sz w:val="24"/>
          <w:szCs w:val="24"/>
        </w:rPr>
        <w:t>, but any further work is delayed to post Euro 6/VI activities.</w:t>
      </w:r>
      <w:r w:rsidR="00FA6903">
        <w:rPr>
          <w:rFonts w:ascii="Times New Roman" w:hAnsi="Times New Roman"/>
          <w:sz w:val="24"/>
          <w:szCs w:val="24"/>
        </w:rPr>
        <w:t xml:space="preserve"> </w:t>
      </w:r>
      <w:r w:rsidR="004F2F12" w:rsidRPr="004F2F12">
        <w:rPr>
          <w:rFonts w:ascii="Times New Roman" w:hAnsi="Times New Roman"/>
          <w:sz w:val="24"/>
          <w:szCs w:val="24"/>
        </w:rPr>
        <w:t>The group was informed about the post Euro 6/VI activities of the European Commission. Documents on that regard may be found in the indicated link.</w:t>
      </w:r>
    </w:p>
    <w:p w:rsidR="00105419" w:rsidRDefault="009A4F96" w:rsidP="00E84FAF">
      <w:pPr>
        <w:pStyle w:val="SingleTxtG"/>
        <w:tabs>
          <w:tab w:val="left" w:pos="709"/>
        </w:tabs>
        <w:spacing w:after="0" w:line="240" w:lineRule="auto"/>
        <w:ind w:left="0" w:right="104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4050ED" w:rsidRPr="004050ED">
        <w:rPr>
          <w:b/>
          <w:sz w:val="24"/>
          <w:szCs w:val="24"/>
          <w:lang w:val="en-US"/>
        </w:rPr>
        <w:t xml:space="preserve">. </w:t>
      </w:r>
      <w:r w:rsidR="00E41C8C">
        <w:rPr>
          <w:b/>
          <w:sz w:val="24"/>
          <w:szCs w:val="24"/>
          <w:lang w:val="en-US"/>
        </w:rPr>
        <w:tab/>
      </w:r>
      <w:r w:rsidR="003F2D0A" w:rsidRPr="004050ED">
        <w:rPr>
          <w:b/>
          <w:sz w:val="24"/>
          <w:szCs w:val="24"/>
        </w:rPr>
        <w:t>Innovative technologies</w:t>
      </w:r>
    </w:p>
    <w:p w:rsidR="004050ED" w:rsidRDefault="009A4F96" w:rsidP="004F2F12">
      <w:pPr>
        <w:pStyle w:val="SingleTxtG"/>
        <w:tabs>
          <w:tab w:val="left" w:pos="709"/>
        </w:tabs>
        <w:spacing w:after="0"/>
        <w:ind w:left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  <w:lang w:val="en-US"/>
        </w:rPr>
        <w:tab/>
      </w:r>
    </w:p>
    <w:p w:rsidR="00FA6903" w:rsidRPr="00FA6903" w:rsidRDefault="004F2F12" w:rsidP="00FA6903">
      <w:pPr>
        <w:pStyle w:val="SingleTxtG"/>
        <w:ind w:left="0" w:right="332" w:firstLine="708"/>
        <w:rPr>
          <w:rFonts w:eastAsia="Calibri"/>
          <w:sz w:val="24"/>
          <w:szCs w:val="24"/>
          <w:lang w:val="en-US"/>
        </w:rPr>
      </w:pPr>
      <w:r w:rsidRPr="00FA6903">
        <w:rPr>
          <w:rFonts w:eastAsia="MS Mincho"/>
          <w:sz w:val="24"/>
          <w:szCs w:val="24"/>
        </w:rPr>
        <w:t xml:space="preserve">The </w:t>
      </w:r>
      <w:r w:rsidR="0035095A" w:rsidRPr="00FA6903">
        <w:rPr>
          <w:rFonts w:eastAsia="MS Mincho"/>
          <w:sz w:val="24"/>
          <w:szCs w:val="24"/>
        </w:rPr>
        <w:t xml:space="preserve">group discussed the proposals for draft UN Rule on </w:t>
      </w:r>
      <w:r w:rsidR="00FA6903" w:rsidRPr="00FA6903">
        <w:rPr>
          <w:spacing w:val="-4"/>
          <w:sz w:val="24"/>
          <w:szCs w:val="24"/>
        </w:rPr>
        <w:t>Accident Emergency Call Systems (AECS)</w:t>
      </w:r>
      <w:r w:rsidR="00FA6903">
        <w:rPr>
          <w:spacing w:val="-4"/>
          <w:sz w:val="24"/>
          <w:szCs w:val="24"/>
          <w:lang w:val="en-US"/>
        </w:rPr>
        <w:t>.</w:t>
      </w:r>
      <w:r w:rsidR="0035095A" w:rsidRPr="00FA6903">
        <w:rPr>
          <w:rFonts w:eastAsia="MS Mincho"/>
          <w:sz w:val="24"/>
          <w:szCs w:val="24"/>
        </w:rPr>
        <w:t xml:space="preserve"> </w:t>
      </w:r>
      <w:r w:rsidR="00FA6903">
        <w:rPr>
          <w:rFonts w:eastAsia="MS Mincho"/>
          <w:sz w:val="24"/>
          <w:szCs w:val="24"/>
          <w:lang w:val="en-US"/>
        </w:rPr>
        <w:t xml:space="preserve">It was proposed to </w:t>
      </w:r>
      <w:r w:rsidR="00FA6903">
        <w:rPr>
          <w:rFonts w:eastAsia="Calibri"/>
          <w:sz w:val="24"/>
          <w:szCs w:val="24"/>
        </w:rPr>
        <w:t>delet</w:t>
      </w:r>
      <w:r w:rsidR="00FA6903">
        <w:rPr>
          <w:rFonts w:eastAsia="Calibri"/>
          <w:sz w:val="24"/>
          <w:szCs w:val="24"/>
          <w:lang w:val="en-US"/>
        </w:rPr>
        <w:t>e t</w:t>
      </w:r>
      <w:r w:rsidR="00FA6903">
        <w:rPr>
          <w:rFonts w:eastAsia="MS Mincho"/>
          <w:sz w:val="24"/>
          <w:szCs w:val="24"/>
          <w:lang w:val="en-US"/>
        </w:rPr>
        <w:t>he f</w:t>
      </w:r>
      <w:proofErr w:type="spellStart"/>
      <w:r w:rsidR="00FA6903">
        <w:rPr>
          <w:rFonts w:eastAsia="Calibri"/>
          <w:sz w:val="24"/>
          <w:szCs w:val="24"/>
        </w:rPr>
        <w:t>unctional</w:t>
      </w:r>
      <w:proofErr w:type="spellEnd"/>
      <w:r w:rsidR="00FA6903">
        <w:rPr>
          <w:rFonts w:eastAsia="Calibri"/>
          <w:sz w:val="24"/>
          <w:szCs w:val="24"/>
        </w:rPr>
        <w:t xml:space="preserve"> check</w:t>
      </w:r>
      <w:r w:rsidR="00FA6903" w:rsidRPr="00FA6903">
        <w:rPr>
          <w:rFonts w:eastAsia="Calibri"/>
          <w:sz w:val="24"/>
          <w:szCs w:val="24"/>
        </w:rPr>
        <w:t xml:space="preserve"> </w:t>
      </w:r>
      <w:r w:rsidR="00FA6903">
        <w:rPr>
          <w:rFonts w:eastAsia="Calibri"/>
          <w:sz w:val="24"/>
          <w:szCs w:val="24"/>
          <w:lang w:val="en-US"/>
        </w:rPr>
        <w:t>since it c</w:t>
      </w:r>
      <w:proofErr w:type="spellStart"/>
      <w:r w:rsidR="00FA6903" w:rsidRPr="00FA6903">
        <w:rPr>
          <w:rFonts w:eastAsia="Calibri"/>
          <w:sz w:val="24"/>
          <w:szCs w:val="24"/>
        </w:rPr>
        <w:t>ould</w:t>
      </w:r>
      <w:proofErr w:type="spellEnd"/>
      <w:r w:rsidR="00FA6903" w:rsidRPr="00FA6903">
        <w:rPr>
          <w:rFonts w:eastAsia="Calibri"/>
          <w:sz w:val="24"/>
          <w:szCs w:val="24"/>
        </w:rPr>
        <w:t xml:space="preserve"> only be checked via a real </w:t>
      </w:r>
      <w:r w:rsidR="00FA6903" w:rsidRPr="00FA6903">
        <w:rPr>
          <w:spacing w:val="-4"/>
          <w:sz w:val="24"/>
          <w:szCs w:val="24"/>
        </w:rPr>
        <w:t>AECS</w:t>
      </w:r>
      <w:r w:rsidR="00FA6903" w:rsidRPr="00FA6903">
        <w:rPr>
          <w:rFonts w:eastAsia="Calibri"/>
          <w:sz w:val="24"/>
          <w:szCs w:val="24"/>
        </w:rPr>
        <w:t xml:space="preserve"> (Burden for the PSAP-</w:t>
      </w:r>
      <w:r w:rsidR="00FA6903" w:rsidRPr="00FA6903">
        <w:rPr>
          <w:sz w:val="24"/>
          <w:szCs w:val="24"/>
        </w:rPr>
        <w:t xml:space="preserve"> </w:t>
      </w:r>
      <w:r w:rsidR="00FA6903" w:rsidRPr="00FA6903">
        <w:rPr>
          <w:rFonts w:eastAsia="Calibri"/>
          <w:sz w:val="24"/>
          <w:szCs w:val="24"/>
        </w:rPr>
        <w:t>Public safety answering point)</w:t>
      </w:r>
      <w:r w:rsidR="00FA6903">
        <w:rPr>
          <w:rFonts w:eastAsia="Calibri"/>
          <w:sz w:val="24"/>
          <w:szCs w:val="24"/>
          <w:lang w:val="en-US"/>
        </w:rPr>
        <w:t>.</w:t>
      </w:r>
    </w:p>
    <w:p w:rsidR="004F2F12" w:rsidRDefault="004F2F12" w:rsidP="00FA6903">
      <w:pPr>
        <w:ind w:right="332"/>
        <w:rPr>
          <w:rFonts w:ascii="Times New Roman" w:eastAsia="MS Mincho" w:hAnsi="Times New Roman"/>
          <w:sz w:val="24"/>
          <w:szCs w:val="24"/>
        </w:rPr>
      </w:pPr>
      <w:r w:rsidRPr="0099267F">
        <w:rPr>
          <w:rFonts w:ascii="Times New Roman" w:eastAsia="MS Mincho" w:hAnsi="Times New Roman"/>
          <w:sz w:val="24"/>
          <w:szCs w:val="24"/>
        </w:rPr>
        <w:t>This discussion on this subject will continue in the next meeting.</w:t>
      </w:r>
    </w:p>
    <w:p w:rsidR="000A3162" w:rsidRDefault="00CA14A9" w:rsidP="000A3162">
      <w:pPr>
        <w:pStyle w:val="SingleTxtG"/>
        <w:tabs>
          <w:tab w:val="left" w:pos="709"/>
        </w:tabs>
        <w:spacing w:after="0"/>
        <w:ind w:left="705" w:hanging="705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4</w:t>
      </w:r>
      <w:r w:rsidRPr="00B54748">
        <w:rPr>
          <w:rFonts w:eastAsia="MS Mincho"/>
          <w:b/>
          <w:sz w:val="24"/>
          <w:szCs w:val="24"/>
          <w:lang w:val="en-GB"/>
        </w:rPr>
        <w:t>.</w:t>
      </w:r>
      <w:r w:rsidRPr="00B54748">
        <w:rPr>
          <w:rFonts w:eastAsia="MS Mincho"/>
          <w:b/>
          <w:sz w:val="24"/>
          <w:szCs w:val="24"/>
          <w:lang w:val="en-GB"/>
        </w:rPr>
        <w:tab/>
        <w:t>Guidance for road-side technical inspections and enforcement</w:t>
      </w:r>
    </w:p>
    <w:p w:rsidR="000A3162" w:rsidRDefault="000A3162" w:rsidP="000A3162">
      <w:pPr>
        <w:pStyle w:val="SingleTxtG"/>
        <w:tabs>
          <w:tab w:val="left" w:pos="709"/>
        </w:tabs>
        <w:spacing w:after="0"/>
        <w:ind w:left="705" w:hanging="705"/>
        <w:rPr>
          <w:rFonts w:eastAsia="MS Mincho"/>
          <w:b/>
          <w:sz w:val="24"/>
          <w:szCs w:val="24"/>
          <w:lang w:val="en-GB"/>
        </w:rPr>
      </w:pPr>
    </w:p>
    <w:p w:rsidR="000A3162" w:rsidRPr="00FA6903" w:rsidRDefault="000A3162" w:rsidP="000A3162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="00CA14A9" w:rsidRPr="00F41A1B">
        <w:rPr>
          <w:sz w:val="24"/>
          <w:szCs w:val="24"/>
          <w:lang w:val="en-US"/>
        </w:rPr>
        <w:t xml:space="preserve">The group </w:t>
      </w:r>
      <w:r>
        <w:rPr>
          <w:sz w:val="24"/>
          <w:szCs w:val="24"/>
          <w:lang w:val="en-US"/>
        </w:rPr>
        <w:t xml:space="preserve">will follow </w:t>
      </w:r>
      <w:r w:rsidR="00CA14A9" w:rsidRPr="00F41A1B">
        <w:rPr>
          <w:sz w:val="24"/>
          <w:szCs w:val="24"/>
          <w:lang w:val="en-US"/>
        </w:rPr>
        <w:t>the remarks received from the GRs.</w:t>
      </w:r>
    </w:p>
    <w:p w:rsidR="0099267F" w:rsidRPr="00A1086B" w:rsidRDefault="0099267F" w:rsidP="0099267F">
      <w:pPr>
        <w:pStyle w:val="Heading1"/>
        <w:rPr>
          <w:rFonts w:ascii="Times New Roman" w:eastAsia="MS Mincho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GB"/>
        </w:rPr>
        <w:t xml:space="preserve">5.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GB"/>
        </w:rPr>
        <w:tab/>
      </w:r>
      <w:r w:rsidRPr="00A1086B">
        <w:rPr>
          <w:rFonts w:ascii="Times New Roman" w:eastAsia="MS Mincho" w:hAnsi="Times New Roman" w:cs="Times New Roman"/>
          <w:color w:val="auto"/>
          <w:sz w:val="24"/>
          <w:szCs w:val="24"/>
          <w:lang w:val="en-GB"/>
        </w:rPr>
        <w:t>Particle number measurement</w:t>
      </w:r>
    </w:p>
    <w:p w:rsidR="0099267F" w:rsidRPr="00FA6903" w:rsidRDefault="0099267F" w:rsidP="00FA6903">
      <w:pPr>
        <w:ind w:firstLine="708"/>
        <w:rPr>
          <w:rFonts w:ascii="Times New Roman" w:hAnsi="Times New Roman"/>
          <w:sz w:val="24"/>
          <w:szCs w:val="24"/>
        </w:rPr>
      </w:pPr>
      <w:r w:rsidRPr="0099267F">
        <w:rPr>
          <w:rFonts w:ascii="Times New Roman" w:hAnsi="Times New Roman"/>
          <w:sz w:val="24"/>
          <w:szCs w:val="24"/>
        </w:rPr>
        <w:t xml:space="preserve">The representative of The Netherlands presents the works of that country regarding PN measurement for PTI, indicating that all is ready for the start of operations, including the approval of </w:t>
      </w:r>
      <w:proofErr w:type="spellStart"/>
      <w:proofErr w:type="gramStart"/>
      <w:r w:rsidRPr="0099267F">
        <w:rPr>
          <w:rFonts w:ascii="Times New Roman" w:hAnsi="Times New Roman"/>
          <w:sz w:val="24"/>
          <w:szCs w:val="24"/>
        </w:rPr>
        <w:t>equipment.</w:t>
      </w:r>
      <w:r w:rsidRPr="0099267F">
        <w:rPr>
          <w:rFonts w:ascii="Times New Roman" w:eastAsia="MS Mincho" w:hAnsi="Times New Roman"/>
          <w:sz w:val="24"/>
          <w:szCs w:val="24"/>
        </w:rPr>
        <w:t>The</w:t>
      </w:r>
      <w:proofErr w:type="spellEnd"/>
      <w:proofErr w:type="gramEnd"/>
      <w:r w:rsidRPr="0099267F">
        <w:rPr>
          <w:rFonts w:ascii="Times New Roman" w:eastAsia="MS Mincho" w:hAnsi="Times New Roman"/>
          <w:sz w:val="24"/>
          <w:szCs w:val="24"/>
        </w:rPr>
        <w:t xml:space="preserve"> main view of the group is that PN measurement should be included in the 1997 with a separate rule. CITA will contact WP.29 to check the best way forward.</w:t>
      </w:r>
      <w:r w:rsidR="00FA6903">
        <w:rPr>
          <w:rFonts w:ascii="Times New Roman" w:hAnsi="Times New Roman"/>
          <w:sz w:val="24"/>
          <w:szCs w:val="24"/>
        </w:rPr>
        <w:t xml:space="preserve"> </w:t>
      </w:r>
      <w:r w:rsidRPr="0099267F">
        <w:rPr>
          <w:rFonts w:ascii="Times New Roman" w:eastAsia="MS Mincho" w:hAnsi="Times New Roman"/>
          <w:sz w:val="24"/>
          <w:szCs w:val="24"/>
        </w:rPr>
        <w:t>The representative of Serbia considers that PN measurement for PTI should be assessed by the GRPE. The representative of The Netherlands will contact the chairman of GRPE on that regard.</w:t>
      </w:r>
    </w:p>
    <w:p w:rsidR="009A4F96" w:rsidRPr="00CA14A9" w:rsidRDefault="0099267F" w:rsidP="00CA14A9">
      <w:pPr>
        <w:pStyle w:val="Subtitle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>6</w:t>
      </w:r>
      <w:r w:rsidR="00CA14A9" w:rsidRPr="00CA14A9">
        <w:rPr>
          <w:b/>
          <w:szCs w:val="24"/>
          <w:u w:val="none"/>
        </w:rPr>
        <w:t xml:space="preserve">. </w:t>
      </w:r>
      <w:r w:rsidR="00CA14A9">
        <w:rPr>
          <w:b/>
          <w:szCs w:val="24"/>
          <w:u w:val="none"/>
        </w:rPr>
        <w:t xml:space="preserve">         </w:t>
      </w:r>
      <w:r w:rsidR="009A4F96" w:rsidRPr="00CA14A9">
        <w:rPr>
          <w:b/>
          <w:szCs w:val="24"/>
          <w:u w:val="none"/>
        </w:rPr>
        <w:t>Next meeting</w:t>
      </w:r>
    </w:p>
    <w:p w:rsidR="00136E28" w:rsidRPr="00FA6903" w:rsidRDefault="00FA6903" w:rsidP="00FA6903">
      <w:pPr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SubtleReference"/>
          <w:rFonts w:ascii="Times New Roman" w:hAnsi="Times New Roman"/>
        </w:rPr>
        <w:t>It was noted</w:t>
      </w:r>
      <w:r w:rsidR="0099267F" w:rsidRPr="008778FC">
        <w:rPr>
          <w:rStyle w:val="SubtleReference"/>
          <w:rFonts w:ascii="Times New Roman" w:hAnsi="Times New Roman"/>
        </w:rPr>
        <w:t xml:space="preserve"> that the 1997 Agreement is becoming the world benchmark on PTI.</w:t>
      </w:r>
      <w:r>
        <w:rPr>
          <w:rStyle w:val="SubtleReference"/>
          <w:rFonts w:ascii="Times New Roman" w:hAnsi="Times New Roman"/>
        </w:rPr>
        <w:t xml:space="preserve"> </w:t>
      </w:r>
      <w:r w:rsidR="009A4F96" w:rsidRPr="009A4F96">
        <w:rPr>
          <w:rFonts w:ascii="Times New Roman" w:hAnsi="Times New Roman"/>
          <w:sz w:val="24"/>
          <w:szCs w:val="24"/>
        </w:rPr>
        <w:t xml:space="preserve">The next meeting </w:t>
      </w:r>
      <w:r>
        <w:rPr>
          <w:rFonts w:ascii="Times New Roman" w:hAnsi="Times New Roman"/>
          <w:sz w:val="24"/>
          <w:szCs w:val="24"/>
        </w:rPr>
        <w:t>was preliminary</w:t>
      </w:r>
      <w:r w:rsidR="0099267F">
        <w:rPr>
          <w:rFonts w:ascii="Times New Roman" w:hAnsi="Times New Roman"/>
          <w:sz w:val="24"/>
          <w:szCs w:val="24"/>
        </w:rPr>
        <w:t xml:space="preserve"> </w:t>
      </w:r>
      <w:r w:rsidR="009A4F96" w:rsidRPr="009A4F96">
        <w:rPr>
          <w:rFonts w:ascii="Times New Roman" w:hAnsi="Times New Roman"/>
          <w:sz w:val="24"/>
          <w:szCs w:val="24"/>
        </w:rPr>
        <w:t xml:space="preserve">scheduled </w:t>
      </w:r>
      <w:r>
        <w:rPr>
          <w:rFonts w:ascii="Times New Roman" w:hAnsi="Times New Roman"/>
          <w:sz w:val="24"/>
          <w:szCs w:val="24"/>
        </w:rPr>
        <w:t>on May this year</w:t>
      </w:r>
      <w:r w:rsidR="009A4F96" w:rsidRPr="009A4F96">
        <w:rPr>
          <w:rFonts w:ascii="Times New Roman" w:hAnsi="Times New Roman"/>
          <w:sz w:val="24"/>
          <w:szCs w:val="24"/>
        </w:rPr>
        <w:t xml:space="preserve">. </w:t>
      </w:r>
    </w:p>
    <w:p w:rsidR="00A13CCD" w:rsidRPr="0003367C" w:rsidRDefault="00A13CCD" w:rsidP="00A13CCD">
      <w:pPr>
        <w:pStyle w:val="SingleTxtG"/>
        <w:tabs>
          <w:tab w:val="left" w:pos="709"/>
        </w:tabs>
        <w:spacing w:after="0"/>
        <w:ind w:left="0" w:right="104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</w:t>
      </w:r>
    </w:p>
    <w:p w:rsidR="00623469" w:rsidRPr="0003367C" w:rsidRDefault="00623469" w:rsidP="00AE25C7">
      <w:pPr>
        <w:pStyle w:val="SingleTxtG"/>
        <w:tabs>
          <w:tab w:val="left" w:pos="709"/>
        </w:tabs>
        <w:spacing w:after="0"/>
        <w:ind w:left="0" w:right="1041"/>
        <w:rPr>
          <w:sz w:val="24"/>
          <w:szCs w:val="24"/>
          <w:lang w:val="en-GB"/>
        </w:rPr>
      </w:pPr>
    </w:p>
    <w:sectPr w:rsidR="00623469" w:rsidRPr="0003367C" w:rsidSect="00A13CC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134" w:bottom="2268" w:left="1276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8D" w:rsidRDefault="00A6768D">
      <w:pPr>
        <w:spacing w:after="0" w:line="240" w:lineRule="auto"/>
      </w:pPr>
      <w:r>
        <w:separator/>
      </w:r>
    </w:p>
  </w:endnote>
  <w:endnote w:type="continuationSeparator" w:id="0">
    <w:p w:rsidR="00A6768D" w:rsidRDefault="00A6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6E6E75" w:rsidP="00884F75">
    <w:pPr>
      <w:suppressAutoHyphens/>
      <w:spacing w:after="0" w:line="240" w:lineRule="auto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FA6903">
      <w:rPr>
        <w:rFonts w:ascii="Times New Roman" w:eastAsia="Times New Roman" w:hAnsi="Times New Roman"/>
        <w:b/>
        <w:noProof/>
        <w:sz w:val="20"/>
        <w:szCs w:val="20"/>
        <w:lang w:val="en-GB"/>
      </w:rPr>
      <w:t>2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FA6903">
      <w:rPr>
        <w:rFonts w:ascii="Times New Roman" w:eastAsia="Times New Roman" w:hAnsi="Times New Roman"/>
        <w:b/>
        <w:noProof/>
        <w:sz w:val="20"/>
        <w:szCs w:val="20"/>
        <w:lang w:val="en-GB"/>
      </w:rPr>
      <w:t>3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FA6903">
      <w:rPr>
        <w:rFonts w:ascii="Times New Roman" w:eastAsia="Times New Roman" w:hAnsi="Times New Roman"/>
        <w:b/>
        <w:noProof/>
        <w:sz w:val="20"/>
        <w:szCs w:val="20"/>
        <w:lang w:val="en-GB"/>
      </w:rPr>
      <w:t>1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8D" w:rsidRDefault="00A6768D">
      <w:pPr>
        <w:spacing w:after="0" w:line="240" w:lineRule="auto"/>
      </w:pPr>
      <w:r>
        <w:separator/>
      </w:r>
    </w:p>
  </w:footnote>
  <w:footnote w:type="continuationSeparator" w:id="0">
    <w:p w:rsidR="00A6768D" w:rsidRDefault="00A6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884F75" w:rsidP="00884F75">
    <w:pPr>
      <w:pBdr>
        <w:bottom w:val="single" w:sz="4" w:space="1" w:color="auto"/>
      </w:pBdr>
      <w:suppressAutoHyphens/>
      <w:spacing w:after="0" w:line="240" w:lineRule="auto"/>
      <w:jc w:val="right"/>
      <w:rPr>
        <w:rFonts w:ascii="Times New Roman" w:eastAsia="Times New Roman" w:hAnsi="Times New Roman"/>
        <w:b/>
        <w:sz w:val="18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465ACA"/>
    <w:multiLevelType w:val="hybridMultilevel"/>
    <w:tmpl w:val="4594A1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495A78"/>
    <w:multiLevelType w:val="hybridMultilevel"/>
    <w:tmpl w:val="DFEE5A36"/>
    <w:lvl w:ilvl="0" w:tplc="2BD2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B21EA"/>
    <w:multiLevelType w:val="hybridMultilevel"/>
    <w:tmpl w:val="278CB2BA"/>
    <w:lvl w:ilvl="0" w:tplc="3A6CA340">
      <w:start w:val="6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8815269"/>
    <w:multiLevelType w:val="hybridMultilevel"/>
    <w:tmpl w:val="BD306576"/>
    <w:lvl w:ilvl="0" w:tplc="4F6C4F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64A0BB8"/>
    <w:multiLevelType w:val="hybridMultilevel"/>
    <w:tmpl w:val="583C57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AA1F"/>
    <w:multiLevelType w:val="hybridMultilevel"/>
    <w:tmpl w:val="70CF4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5E1262"/>
    <w:multiLevelType w:val="hybridMultilevel"/>
    <w:tmpl w:val="D93A1FEA"/>
    <w:lvl w:ilvl="0" w:tplc="24A657C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171D"/>
    <w:multiLevelType w:val="hybridMultilevel"/>
    <w:tmpl w:val="4EFA2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0A22"/>
    <w:multiLevelType w:val="hybridMultilevel"/>
    <w:tmpl w:val="002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7DE4"/>
    <w:multiLevelType w:val="hybridMultilevel"/>
    <w:tmpl w:val="C9FA2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002A3"/>
    <w:multiLevelType w:val="hybridMultilevel"/>
    <w:tmpl w:val="CFF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84D84"/>
    <w:multiLevelType w:val="hybridMultilevel"/>
    <w:tmpl w:val="F4A4F288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 w15:restartNumberingAfterBreak="0">
    <w:nsid w:val="49C72886"/>
    <w:multiLevelType w:val="hybridMultilevel"/>
    <w:tmpl w:val="9FC6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22050"/>
    <w:multiLevelType w:val="hybridMultilevel"/>
    <w:tmpl w:val="C9D0BE50"/>
    <w:lvl w:ilvl="0" w:tplc="1FCE9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6A5B"/>
    <w:multiLevelType w:val="hybridMultilevel"/>
    <w:tmpl w:val="FF0C2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40042"/>
    <w:multiLevelType w:val="hybridMultilevel"/>
    <w:tmpl w:val="320C6844"/>
    <w:lvl w:ilvl="0" w:tplc="69C6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B32644"/>
    <w:multiLevelType w:val="hybridMultilevel"/>
    <w:tmpl w:val="B4F0ECDC"/>
    <w:lvl w:ilvl="0" w:tplc="E87C7D7E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AF3CA7"/>
    <w:multiLevelType w:val="multilevel"/>
    <w:tmpl w:val="CFF2F036"/>
    <w:lvl w:ilvl="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22" w15:restartNumberingAfterBreak="0">
    <w:nsid w:val="7C3020F0"/>
    <w:multiLevelType w:val="hybridMultilevel"/>
    <w:tmpl w:val="7E2A6DB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9"/>
  </w:num>
  <w:num w:numId="5">
    <w:abstractNumId w:val="13"/>
  </w:num>
  <w:num w:numId="6">
    <w:abstractNumId w:val="22"/>
  </w:num>
  <w:num w:numId="7">
    <w:abstractNumId w:val="20"/>
  </w:num>
  <w:num w:numId="8">
    <w:abstractNumId w:val="4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2"/>
  </w:num>
  <w:num w:numId="20">
    <w:abstractNumId w:val="10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6AC"/>
    <w:rsid w:val="00014134"/>
    <w:rsid w:val="00016529"/>
    <w:rsid w:val="000225C9"/>
    <w:rsid w:val="0003367C"/>
    <w:rsid w:val="0003647D"/>
    <w:rsid w:val="00056B9C"/>
    <w:rsid w:val="000757D4"/>
    <w:rsid w:val="000778AD"/>
    <w:rsid w:val="00086E75"/>
    <w:rsid w:val="00091DA3"/>
    <w:rsid w:val="000A3162"/>
    <w:rsid w:val="000B0728"/>
    <w:rsid w:val="000C2F32"/>
    <w:rsid w:val="000D250C"/>
    <w:rsid w:val="000D580F"/>
    <w:rsid w:val="000D63BE"/>
    <w:rsid w:val="000E0C85"/>
    <w:rsid w:val="000E1CA5"/>
    <w:rsid w:val="000E1F98"/>
    <w:rsid w:val="000F245B"/>
    <w:rsid w:val="00104BDA"/>
    <w:rsid w:val="00105419"/>
    <w:rsid w:val="001142E7"/>
    <w:rsid w:val="001167C7"/>
    <w:rsid w:val="001252DC"/>
    <w:rsid w:val="00136E28"/>
    <w:rsid w:val="001378E9"/>
    <w:rsid w:val="00152ADB"/>
    <w:rsid w:val="00152EBD"/>
    <w:rsid w:val="001577FE"/>
    <w:rsid w:val="001A092B"/>
    <w:rsid w:val="001D049D"/>
    <w:rsid w:val="001D268F"/>
    <w:rsid w:val="001D3D87"/>
    <w:rsid w:val="001E48A0"/>
    <w:rsid w:val="001F1DFF"/>
    <w:rsid w:val="00204854"/>
    <w:rsid w:val="002167CB"/>
    <w:rsid w:val="00222811"/>
    <w:rsid w:val="00245CA6"/>
    <w:rsid w:val="00293AFB"/>
    <w:rsid w:val="00296E4B"/>
    <w:rsid w:val="00297B7A"/>
    <w:rsid w:val="002A0D96"/>
    <w:rsid w:val="002A1092"/>
    <w:rsid w:val="002A6214"/>
    <w:rsid w:val="002C2FCA"/>
    <w:rsid w:val="002C6E1D"/>
    <w:rsid w:val="002C707B"/>
    <w:rsid w:val="002C7155"/>
    <w:rsid w:val="002E3C5C"/>
    <w:rsid w:val="002F01A9"/>
    <w:rsid w:val="00314580"/>
    <w:rsid w:val="00326383"/>
    <w:rsid w:val="0033551D"/>
    <w:rsid w:val="0035095A"/>
    <w:rsid w:val="00351540"/>
    <w:rsid w:val="00377C11"/>
    <w:rsid w:val="003A1A5A"/>
    <w:rsid w:val="003A2E93"/>
    <w:rsid w:val="003A405E"/>
    <w:rsid w:val="003B25EC"/>
    <w:rsid w:val="003C642F"/>
    <w:rsid w:val="003C749F"/>
    <w:rsid w:val="003D30DA"/>
    <w:rsid w:val="003D7634"/>
    <w:rsid w:val="003F2D0A"/>
    <w:rsid w:val="004050ED"/>
    <w:rsid w:val="00437DE3"/>
    <w:rsid w:val="00452FAE"/>
    <w:rsid w:val="00467ED2"/>
    <w:rsid w:val="00491531"/>
    <w:rsid w:val="004A136B"/>
    <w:rsid w:val="004A1FDD"/>
    <w:rsid w:val="004A3AA7"/>
    <w:rsid w:val="004B54BD"/>
    <w:rsid w:val="004C2791"/>
    <w:rsid w:val="004C39D4"/>
    <w:rsid w:val="004D3BFD"/>
    <w:rsid w:val="004E55FE"/>
    <w:rsid w:val="004F2F12"/>
    <w:rsid w:val="004F3888"/>
    <w:rsid w:val="00503314"/>
    <w:rsid w:val="005365FB"/>
    <w:rsid w:val="005706A8"/>
    <w:rsid w:val="005709B5"/>
    <w:rsid w:val="00571394"/>
    <w:rsid w:val="00582977"/>
    <w:rsid w:val="00590DDE"/>
    <w:rsid w:val="005922AF"/>
    <w:rsid w:val="005B020C"/>
    <w:rsid w:val="005B1E00"/>
    <w:rsid w:val="005B316F"/>
    <w:rsid w:val="005C3B59"/>
    <w:rsid w:val="005D07D8"/>
    <w:rsid w:val="005F42DA"/>
    <w:rsid w:val="005F4C64"/>
    <w:rsid w:val="00616190"/>
    <w:rsid w:val="006175A9"/>
    <w:rsid w:val="00623469"/>
    <w:rsid w:val="006615D1"/>
    <w:rsid w:val="00662844"/>
    <w:rsid w:val="006A4085"/>
    <w:rsid w:val="006B0EA8"/>
    <w:rsid w:val="006D7462"/>
    <w:rsid w:val="006E5D10"/>
    <w:rsid w:val="006E6E75"/>
    <w:rsid w:val="007209CF"/>
    <w:rsid w:val="00734CD0"/>
    <w:rsid w:val="0073698B"/>
    <w:rsid w:val="00756047"/>
    <w:rsid w:val="00761FE8"/>
    <w:rsid w:val="00765EA5"/>
    <w:rsid w:val="007A3BBF"/>
    <w:rsid w:val="007B468C"/>
    <w:rsid w:val="007C511B"/>
    <w:rsid w:val="007C57A4"/>
    <w:rsid w:val="007C772A"/>
    <w:rsid w:val="007F136D"/>
    <w:rsid w:val="00840533"/>
    <w:rsid w:val="0084655F"/>
    <w:rsid w:val="00846F9D"/>
    <w:rsid w:val="00852549"/>
    <w:rsid w:val="008610E7"/>
    <w:rsid w:val="008630E1"/>
    <w:rsid w:val="00863BC1"/>
    <w:rsid w:val="00864636"/>
    <w:rsid w:val="00865ADB"/>
    <w:rsid w:val="00876448"/>
    <w:rsid w:val="008778FC"/>
    <w:rsid w:val="00884F75"/>
    <w:rsid w:val="008A118A"/>
    <w:rsid w:val="008B3AE7"/>
    <w:rsid w:val="008C3BC4"/>
    <w:rsid w:val="008C7955"/>
    <w:rsid w:val="00914361"/>
    <w:rsid w:val="00920BE8"/>
    <w:rsid w:val="00923227"/>
    <w:rsid w:val="00930473"/>
    <w:rsid w:val="009705A7"/>
    <w:rsid w:val="00975E82"/>
    <w:rsid w:val="00991A14"/>
    <w:rsid w:val="0099267F"/>
    <w:rsid w:val="009956F9"/>
    <w:rsid w:val="00997F7F"/>
    <w:rsid w:val="009A3E50"/>
    <w:rsid w:val="009A4F96"/>
    <w:rsid w:val="009B660D"/>
    <w:rsid w:val="009B76AA"/>
    <w:rsid w:val="009D5462"/>
    <w:rsid w:val="009F2CA3"/>
    <w:rsid w:val="00A1086B"/>
    <w:rsid w:val="00A13CCD"/>
    <w:rsid w:val="00A20D2A"/>
    <w:rsid w:val="00A34048"/>
    <w:rsid w:val="00A500C9"/>
    <w:rsid w:val="00A63A58"/>
    <w:rsid w:val="00A6768D"/>
    <w:rsid w:val="00A834CE"/>
    <w:rsid w:val="00AA2BA5"/>
    <w:rsid w:val="00AB4941"/>
    <w:rsid w:val="00AB544E"/>
    <w:rsid w:val="00AB6C0F"/>
    <w:rsid w:val="00AC6F95"/>
    <w:rsid w:val="00AE25C7"/>
    <w:rsid w:val="00AE42DF"/>
    <w:rsid w:val="00AF4694"/>
    <w:rsid w:val="00B30BA9"/>
    <w:rsid w:val="00B530CC"/>
    <w:rsid w:val="00B63DA0"/>
    <w:rsid w:val="00B65905"/>
    <w:rsid w:val="00B72F06"/>
    <w:rsid w:val="00B74ED2"/>
    <w:rsid w:val="00B81EC8"/>
    <w:rsid w:val="00B926AC"/>
    <w:rsid w:val="00B97185"/>
    <w:rsid w:val="00BC1361"/>
    <w:rsid w:val="00BC221C"/>
    <w:rsid w:val="00C1042B"/>
    <w:rsid w:val="00C15611"/>
    <w:rsid w:val="00C23102"/>
    <w:rsid w:val="00C34E9E"/>
    <w:rsid w:val="00C627EC"/>
    <w:rsid w:val="00C658D0"/>
    <w:rsid w:val="00C850FC"/>
    <w:rsid w:val="00C87232"/>
    <w:rsid w:val="00C92FE2"/>
    <w:rsid w:val="00CA14A9"/>
    <w:rsid w:val="00CC0DD1"/>
    <w:rsid w:val="00CD2B96"/>
    <w:rsid w:val="00CD2FAD"/>
    <w:rsid w:val="00CD3D37"/>
    <w:rsid w:val="00CE0648"/>
    <w:rsid w:val="00CF448E"/>
    <w:rsid w:val="00D10248"/>
    <w:rsid w:val="00D10E63"/>
    <w:rsid w:val="00D16D41"/>
    <w:rsid w:val="00D549A7"/>
    <w:rsid w:val="00D602B6"/>
    <w:rsid w:val="00D674B3"/>
    <w:rsid w:val="00D7380F"/>
    <w:rsid w:val="00D74066"/>
    <w:rsid w:val="00D74E03"/>
    <w:rsid w:val="00D850FE"/>
    <w:rsid w:val="00DB1477"/>
    <w:rsid w:val="00DB377D"/>
    <w:rsid w:val="00DC1BF6"/>
    <w:rsid w:val="00DC2F89"/>
    <w:rsid w:val="00DD19A4"/>
    <w:rsid w:val="00DD6021"/>
    <w:rsid w:val="00DE5B7E"/>
    <w:rsid w:val="00DF1EDD"/>
    <w:rsid w:val="00DF2435"/>
    <w:rsid w:val="00E04683"/>
    <w:rsid w:val="00E07FAE"/>
    <w:rsid w:val="00E157BA"/>
    <w:rsid w:val="00E3068F"/>
    <w:rsid w:val="00E41C8C"/>
    <w:rsid w:val="00E46C1A"/>
    <w:rsid w:val="00E475E5"/>
    <w:rsid w:val="00E6513A"/>
    <w:rsid w:val="00E84FAF"/>
    <w:rsid w:val="00E86ECB"/>
    <w:rsid w:val="00E91830"/>
    <w:rsid w:val="00E9566A"/>
    <w:rsid w:val="00EA3C85"/>
    <w:rsid w:val="00EC13D5"/>
    <w:rsid w:val="00EC18AA"/>
    <w:rsid w:val="00EC4E93"/>
    <w:rsid w:val="00ED7032"/>
    <w:rsid w:val="00EE48A0"/>
    <w:rsid w:val="00EF3F6A"/>
    <w:rsid w:val="00F01B5A"/>
    <w:rsid w:val="00F20D61"/>
    <w:rsid w:val="00F24DD0"/>
    <w:rsid w:val="00F32C4E"/>
    <w:rsid w:val="00F45184"/>
    <w:rsid w:val="00F6091B"/>
    <w:rsid w:val="00F72A89"/>
    <w:rsid w:val="00F73A1E"/>
    <w:rsid w:val="00F746B8"/>
    <w:rsid w:val="00F76FDB"/>
    <w:rsid w:val="00F83662"/>
    <w:rsid w:val="00F851F7"/>
    <w:rsid w:val="00F852B3"/>
    <w:rsid w:val="00F93640"/>
    <w:rsid w:val="00FA6809"/>
    <w:rsid w:val="00FA6903"/>
    <w:rsid w:val="00FB68D9"/>
    <w:rsid w:val="00FC278C"/>
    <w:rsid w:val="00FD2428"/>
    <w:rsid w:val="00FE0B20"/>
    <w:rsid w:val="00FE279C"/>
    <w:rsid w:val="00FF1B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C3C7B"/>
  <w15:docId w15:val="{0F4B6DE6-07C6-46BD-9287-E38BB61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A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D87"/>
    <w:pPr>
      <w:keepNext/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926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rsid w:val="00B926A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B92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926A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A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Char">
    <w:name w:val="_ Single Txt_G Char Char"/>
    <w:rsid w:val="009B76A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3D87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1D3D87"/>
    <w:pPr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D3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4">
    <w:name w:val="CM4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9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97185"/>
    <w:rPr>
      <w:color w:val="auto"/>
      <w:u w:val="none"/>
    </w:rPr>
  </w:style>
  <w:style w:type="character" w:customStyle="1" w:styleId="hvr">
    <w:name w:val="hvr"/>
    <w:basedOn w:val="DefaultParagraphFont"/>
    <w:rsid w:val="00B30BA9"/>
  </w:style>
  <w:style w:type="paragraph" w:customStyle="1" w:styleId="H1G">
    <w:name w:val="_ H_1_G"/>
    <w:basedOn w:val="Normal"/>
    <w:next w:val="Normal"/>
    <w:link w:val="H1GChar"/>
    <w:rsid w:val="000165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1652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rsid w:val="00016529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2ADB"/>
    <w:pPr>
      <w:suppressAutoHyphens/>
      <w:spacing w:after="0" w:line="240" w:lineRule="atLeast"/>
      <w:ind w:leftChars="400" w:left="840"/>
    </w:pPr>
    <w:rPr>
      <w:rFonts w:ascii="Times New Roman" w:eastAsia="MS Mincho" w:hAnsi="Times New Roman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qFormat/>
    <w:rsid w:val="00864636"/>
    <w:rPr>
      <w:sz w:val="20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63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nhideWhenUsed/>
    <w:rsid w:val="00864636"/>
    <w:rPr>
      <w:vertAlign w:val="superscript"/>
    </w:rPr>
  </w:style>
  <w:style w:type="character" w:styleId="Strong">
    <w:name w:val="Strong"/>
    <w:basedOn w:val="DefaultParagraphFont"/>
    <w:qFormat/>
    <w:rsid w:val="006A40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E28"/>
    <w:pPr>
      <w:suppressAutoHyphens/>
      <w:spacing w:after="240" w:line="240" w:lineRule="atLeast"/>
      <w:ind w:left="1418" w:right="1134" w:hanging="1418"/>
    </w:pPr>
    <w:rPr>
      <w:rFonts w:ascii="Times New Roman" w:eastAsia="Times New Roman" w:hAnsi="Times New Roman"/>
      <w:sz w:val="24"/>
      <w:szCs w:val="20"/>
      <w:u w:val="single"/>
      <w:lang w:val="ca-ES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36E28"/>
    <w:rPr>
      <w:rFonts w:ascii="Times New Roman" w:eastAsia="Times New Roman" w:hAnsi="Times New Roman" w:cs="Times New Roman"/>
      <w:sz w:val="24"/>
      <w:szCs w:val="20"/>
      <w:u w:val="single"/>
      <w:lang w:val="ca-ES" w:eastAsia="x-none"/>
    </w:rPr>
  </w:style>
  <w:style w:type="character" w:styleId="SubtleReference">
    <w:name w:val="Subtle Reference"/>
    <w:uiPriority w:val="31"/>
    <w:qFormat/>
    <w:rsid w:val="008778F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268-2887-441A-B8E3-0BD4011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2</cp:revision>
  <cp:lastPrinted>2016-06-17T14:33:00Z</cp:lastPrinted>
  <dcterms:created xsi:type="dcterms:W3CDTF">2020-03-10T17:51:00Z</dcterms:created>
  <dcterms:modified xsi:type="dcterms:W3CDTF">2020-03-10T17:51:00Z</dcterms:modified>
</cp:coreProperties>
</file>