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13855F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05615AB" w14:textId="77777777" w:rsidR="002D5AAC" w:rsidRDefault="002D5AAC" w:rsidP="00F8702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18A2B7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CB18495" w14:textId="77777777" w:rsidR="002D5AAC" w:rsidRDefault="00F87028" w:rsidP="00F87028">
            <w:pPr>
              <w:jc w:val="right"/>
            </w:pPr>
            <w:r w:rsidRPr="00F87028">
              <w:rPr>
                <w:sz w:val="40"/>
              </w:rPr>
              <w:t>ECE</w:t>
            </w:r>
            <w:r>
              <w:t>/TRANS/2020/22/Rev.1</w:t>
            </w:r>
          </w:p>
        </w:tc>
      </w:tr>
      <w:tr w:rsidR="002D5AAC" w:rsidRPr="007E4742" w14:paraId="0E29BB3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46DF1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C65DA96" wp14:editId="7A7F797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E9409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55F7C0D" w14:textId="77777777" w:rsidR="002D5AAC" w:rsidRDefault="00F8702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B26FC73" w14:textId="77777777" w:rsidR="00F87028" w:rsidRDefault="00F87028" w:rsidP="00F8702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January 2020</w:t>
            </w:r>
          </w:p>
          <w:p w14:paraId="51AFC030" w14:textId="77777777" w:rsidR="00F87028" w:rsidRDefault="00F87028" w:rsidP="00F8702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E6CC761" w14:textId="77777777" w:rsidR="00F87028" w:rsidRPr="008D53B6" w:rsidRDefault="00F87028" w:rsidP="00F8702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1FF104D" w14:textId="77777777" w:rsidR="00F8702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1216171" w14:textId="77777777" w:rsidR="00F87028" w:rsidRPr="00F87028" w:rsidRDefault="00F87028" w:rsidP="00F87028">
      <w:pPr>
        <w:spacing w:before="120"/>
        <w:rPr>
          <w:sz w:val="28"/>
          <w:szCs w:val="28"/>
        </w:rPr>
      </w:pPr>
      <w:r w:rsidRPr="00F87028">
        <w:rPr>
          <w:sz w:val="28"/>
          <w:szCs w:val="28"/>
        </w:rPr>
        <w:t>Комитет по внутреннему транспорту</w:t>
      </w:r>
    </w:p>
    <w:p w14:paraId="58A41579" w14:textId="77777777" w:rsidR="00F87028" w:rsidRPr="0022095A" w:rsidRDefault="00F87028" w:rsidP="00F87028">
      <w:pPr>
        <w:spacing w:before="120"/>
        <w:rPr>
          <w:b/>
          <w:bCs/>
        </w:rPr>
      </w:pPr>
      <w:r>
        <w:rPr>
          <w:b/>
          <w:bCs/>
        </w:rPr>
        <w:t>Восемьдесят вторая сессия</w:t>
      </w:r>
    </w:p>
    <w:p w14:paraId="29D8B29A" w14:textId="77777777" w:rsidR="00F87028" w:rsidRDefault="00F87028" w:rsidP="00F87028">
      <w:r>
        <w:t xml:space="preserve">Женева, 25–28 февраля 2020 года </w:t>
      </w:r>
    </w:p>
    <w:p w14:paraId="79488A25" w14:textId="77777777" w:rsidR="00F87028" w:rsidRDefault="00F87028" w:rsidP="00F87028">
      <w:r>
        <w:t xml:space="preserve">Пункт 12 предварительной повестки дня </w:t>
      </w:r>
    </w:p>
    <w:p w14:paraId="6EE8A33A" w14:textId="77777777" w:rsidR="00F87028" w:rsidRPr="00401D81" w:rsidRDefault="00F87028" w:rsidP="00F87028">
      <w:pPr>
        <w:rPr>
          <w:b/>
          <w:bCs/>
        </w:rPr>
      </w:pPr>
      <w:r w:rsidRPr="00401D81">
        <w:rPr>
          <w:b/>
        </w:rPr>
        <w:t>План по программам на 2021 год</w:t>
      </w:r>
    </w:p>
    <w:p w14:paraId="6DCAD696" w14:textId="77777777" w:rsidR="00F87028" w:rsidRPr="0022095A" w:rsidRDefault="00F87028" w:rsidP="00F87028">
      <w:pPr>
        <w:pStyle w:val="HChG"/>
      </w:pPr>
      <w:r>
        <w:tab/>
      </w:r>
      <w:r>
        <w:tab/>
      </w:r>
      <w:r>
        <w:rPr>
          <w:bCs/>
        </w:rPr>
        <w:t>План по программам на 2021 год</w:t>
      </w:r>
      <w:r w:rsidRPr="00F01035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14:paraId="199735B3" w14:textId="77777777" w:rsidR="00F87028" w:rsidRDefault="00F87028" w:rsidP="00F87028">
      <w:pPr>
        <w:pStyle w:val="HChG"/>
        <w:rPr>
          <w:bCs/>
        </w:rPr>
      </w:pPr>
      <w:r w:rsidRPr="0022095A">
        <w:tab/>
      </w:r>
      <w:r w:rsidRPr="0022095A">
        <w:tab/>
      </w:r>
      <w:r>
        <w:rPr>
          <w:bCs/>
        </w:rPr>
        <w:t>Подпрограмма</w:t>
      </w:r>
      <w:r>
        <w:rPr>
          <w:bCs/>
          <w:lang w:val="en-US"/>
        </w:rPr>
        <w:t> </w:t>
      </w:r>
      <w:r>
        <w:rPr>
          <w:bCs/>
        </w:rPr>
        <w:t>2: Транспорт</w:t>
      </w:r>
    </w:p>
    <w:p w14:paraId="58F3DB95" w14:textId="77777777" w:rsidR="00F87028" w:rsidRPr="00401D81" w:rsidRDefault="00F87028" w:rsidP="00496931">
      <w:pPr>
        <w:pStyle w:val="H1G"/>
      </w:pPr>
      <w:r>
        <w:tab/>
      </w:r>
      <w:r>
        <w:tab/>
        <w:t>Пересмотр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F87028" w14:paraId="777C48DB" w14:textId="77777777" w:rsidTr="00496931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1E3BCEE1" w14:textId="77777777" w:rsidR="00F87028" w:rsidRDefault="00F87028" w:rsidP="00496931">
            <w:pPr>
              <w:spacing w:line="240" w:lineRule="auto"/>
            </w:pPr>
          </w:p>
        </w:tc>
      </w:tr>
      <w:tr w:rsidR="00F87028" w:rsidRPr="002814C7" w14:paraId="397B5D1C" w14:textId="77777777" w:rsidTr="00496931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7603DF75" w14:textId="77777777" w:rsidR="00F87028" w:rsidRPr="00A837CA" w:rsidRDefault="00F01035" w:rsidP="00496931">
            <w:pPr>
              <w:spacing w:after="120"/>
              <w:jc w:val="both"/>
            </w:pPr>
            <w:r w:rsidRPr="00A837CA">
              <w:tab/>
            </w:r>
            <w:r w:rsidR="00F87028" w:rsidRPr="00945B36">
              <w:t>1.</w:t>
            </w:r>
            <w:r w:rsidR="00F87028" w:rsidRPr="00945B36">
              <w:tab/>
              <w:t>В декабре 2017</w:t>
            </w:r>
            <w:r w:rsidR="00F87028" w:rsidRPr="00F01035">
              <w:rPr>
                <w:lang w:val="en-US"/>
              </w:rPr>
              <w:t> </w:t>
            </w:r>
            <w:r w:rsidR="00F87028" w:rsidRPr="00945B36">
              <w:t>года на семьдесят второй сессии Генеральной Ассамблеи была принята резолюция</w:t>
            </w:r>
            <w:r w:rsidR="00F87028" w:rsidRPr="00F01035">
              <w:rPr>
                <w:lang w:val="en-US"/>
              </w:rPr>
              <w:t> </w:t>
            </w:r>
            <w:hyperlink r:id="rId8" w:history="1">
              <w:r w:rsidR="00F87028" w:rsidRPr="00F01035">
                <w:rPr>
                  <w:rStyle w:val="Hyperlink"/>
                  <w:rFonts w:cs="Times New Roman"/>
                  <w:szCs w:val="20"/>
                  <w:lang w:val="en-US"/>
                </w:rPr>
                <w:t>A</w:t>
              </w:r>
              <w:r w:rsidR="00F87028" w:rsidRPr="00945B36">
                <w:rPr>
                  <w:rStyle w:val="Hyperlink"/>
                  <w:rFonts w:cs="Times New Roman"/>
                  <w:szCs w:val="20"/>
                </w:rPr>
                <w:t>/72/266</w:t>
              </w:r>
            </w:hyperlink>
            <w:r w:rsidR="00F87028" w:rsidRPr="00945B36">
              <w:t xml:space="preserve"> «Изменение парадигмы управления в Организации Объединенных Наций». </w:t>
            </w:r>
            <w:r w:rsidR="00F87028" w:rsidRPr="00A837CA">
              <w:t>В этой резолюции государства-члены утвердили предложение о переходе с двухгодичного бюджетного периода на годовой бюджетный период на экспериментальной основе начиная с бюджета по программам на 2020</w:t>
            </w:r>
            <w:r w:rsidR="00F87028" w:rsidRPr="00F01035">
              <w:rPr>
                <w:lang w:val="en-US"/>
              </w:rPr>
              <w:t> </w:t>
            </w:r>
            <w:r w:rsidR="00F87028" w:rsidRPr="00A837CA">
              <w:t>год и просили Генерального секретаря провести анализ изменений в бюджетном цикле в 2022</w:t>
            </w:r>
            <w:r w:rsidR="00F87028" w:rsidRPr="00F01035">
              <w:rPr>
                <w:lang w:val="en-US"/>
              </w:rPr>
              <w:t> </w:t>
            </w:r>
            <w:r w:rsidR="00F87028" w:rsidRPr="00A837CA">
              <w:t xml:space="preserve">году после завершения первого полного бюджетного цикла. Генеральная Ассамблея также постановила вновь рассмотреть вопрос о введении годового бюджета на своей семьдесят седьмой сессии с целью принять окончательное решение. </w:t>
            </w:r>
          </w:p>
          <w:p w14:paraId="0DA08CE9" w14:textId="77777777" w:rsidR="00F87028" w:rsidRPr="00A837CA" w:rsidRDefault="00F01035" w:rsidP="00496931">
            <w:pPr>
              <w:spacing w:after="120"/>
              <w:jc w:val="both"/>
            </w:pPr>
            <w:r w:rsidRPr="00A837CA">
              <w:tab/>
            </w:r>
            <w:r w:rsidR="00F87028" w:rsidRPr="00F01035">
              <w:t>2.</w:t>
            </w:r>
            <w:r w:rsidR="00F87028" w:rsidRPr="00F01035">
              <w:tab/>
              <w:t>На основе этих инструкций, полученных от Контролера Организации Объединенных Наций, секретариат ЕЭК подготовил предлагаемый бюджет по программам на 2021</w:t>
            </w:r>
            <w:r w:rsidR="00F87028" w:rsidRPr="00F01035">
              <w:rPr>
                <w:lang w:val="en-US"/>
              </w:rPr>
              <w:t> </w:t>
            </w:r>
            <w:r w:rsidR="00F87028" w:rsidRPr="00F01035">
              <w:t>год для подпрограммы</w:t>
            </w:r>
            <w:r w:rsidR="00F87028" w:rsidRPr="00F01035">
              <w:rPr>
                <w:lang w:val="en-US"/>
              </w:rPr>
              <w:t> </w:t>
            </w:r>
            <w:r w:rsidR="00F87028" w:rsidRPr="00F01035">
              <w:t>2 (Транспорт) с целью представить его для получения замечаний Комитету по внутреннему транспорту (КВТ) или его Бюро, а</w:t>
            </w:r>
            <w:r>
              <w:rPr>
                <w:lang w:val="en-US"/>
              </w:rPr>
              <w:t> </w:t>
            </w:r>
            <w:r w:rsidR="00F87028" w:rsidRPr="00F01035">
              <w:t xml:space="preserve">также Исполкому как часть предложения по бюджету ЕЭК. </w:t>
            </w:r>
            <w:r w:rsidR="00F87028" w:rsidRPr="00A837CA">
              <w:t>Измененный соответствующим образом сводный предлагаемый бюджет по программам ЕЭК будет впоследствии представлен Комитету по программе и координации и Консультативному комитету по административным и бюджетным вопросам на их сессиях в середине 2020</w:t>
            </w:r>
            <w:r w:rsidR="00F87028" w:rsidRPr="00F01035">
              <w:rPr>
                <w:lang w:val="en-US"/>
              </w:rPr>
              <w:t> </w:t>
            </w:r>
            <w:r w:rsidR="00F87028" w:rsidRPr="00A837CA">
              <w:t>года. Сделанные ими выводы и рекомендации будут представлены Генеральной Ассамблее на ее семьдесят пятой сессии в 2020</w:t>
            </w:r>
            <w:r w:rsidR="00F87028" w:rsidRPr="00F01035">
              <w:rPr>
                <w:lang w:val="en-US"/>
              </w:rPr>
              <w:t> </w:t>
            </w:r>
            <w:r w:rsidR="00F87028" w:rsidRPr="00A837CA">
              <w:t>году, когда она будет рассматривать предложенный Генеральным секретарем бюджет по программам на 2021</w:t>
            </w:r>
            <w:r w:rsidR="00F87028" w:rsidRPr="00F01035">
              <w:rPr>
                <w:lang w:val="en-US"/>
              </w:rPr>
              <w:t> </w:t>
            </w:r>
            <w:r w:rsidR="00F87028" w:rsidRPr="00A837CA">
              <w:t>год.</w:t>
            </w:r>
          </w:p>
          <w:p w14:paraId="634A6E6E" w14:textId="77777777" w:rsidR="00F87028" w:rsidRPr="00A837CA" w:rsidRDefault="00F01035" w:rsidP="00496931">
            <w:pPr>
              <w:spacing w:after="120"/>
              <w:jc w:val="both"/>
            </w:pPr>
            <w:r w:rsidRPr="00A837CA">
              <w:lastRenderedPageBreak/>
              <w:tab/>
            </w:r>
            <w:r w:rsidR="00F87028" w:rsidRPr="00F01035">
              <w:t>3.</w:t>
            </w:r>
            <w:r w:rsidR="00F87028" w:rsidRPr="00F01035">
              <w:tab/>
              <w:t xml:space="preserve">Комитет, </w:t>
            </w:r>
            <w:r w:rsidR="00F87028" w:rsidRPr="00F01035">
              <w:rPr>
                <w:b/>
              </w:rPr>
              <w:t>возможно, пожелает отметить</w:t>
            </w:r>
            <w:r w:rsidR="00F87028" w:rsidRPr="00F01035">
              <w:t>, что информация, содержащаяся в настоящем документе, была рассмотрена Бюро КВТ на его сессии, которая состоялась 28–29</w:t>
            </w:r>
            <w:r w:rsidRPr="00F01035">
              <w:t xml:space="preserve"> </w:t>
            </w:r>
            <w:r w:rsidR="00F87028" w:rsidRPr="00F01035">
              <w:t>ноября 2019</w:t>
            </w:r>
            <w:r w:rsidR="00F87028" w:rsidRPr="00F01035">
              <w:rPr>
                <w:lang w:val="en-US"/>
              </w:rPr>
              <w:t> </w:t>
            </w:r>
            <w:r w:rsidR="00F87028" w:rsidRPr="00F01035">
              <w:t xml:space="preserve">года. </w:t>
            </w:r>
            <w:r w:rsidR="00F87028" w:rsidRPr="00A837CA">
              <w:t xml:space="preserve">Комитету </w:t>
            </w:r>
            <w:r w:rsidR="00F87028" w:rsidRPr="00A837CA">
              <w:rPr>
                <w:b/>
              </w:rPr>
              <w:t>предлагается рассмотреть</w:t>
            </w:r>
            <w:r w:rsidR="00F87028" w:rsidRPr="00A837CA">
              <w:t xml:space="preserve"> </w:t>
            </w:r>
            <w:r w:rsidR="00F87028" w:rsidRPr="00A837CA">
              <w:rPr>
                <w:b/>
              </w:rPr>
              <w:t>настоящий документ и представить свои замечания</w:t>
            </w:r>
            <w:r w:rsidR="00F87028" w:rsidRPr="00A837CA">
              <w:t xml:space="preserve"> по нему.</w:t>
            </w:r>
          </w:p>
        </w:tc>
      </w:tr>
      <w:tr w:rsidR="00F87028" w:rsidRPr="002814C7" w14:paraId="0F15F694" w14:textId="77777777" w:rsidTr="00496931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4CAFCB45" w14:textId="77777777" w:rsidR="00F87028" w:rsidRPr="00401D81" w:rsidRDefault="00F87028" w:rsidP="00496931">
            <w:pPr>
              <w:spacing w:after="120"/>
              <w:jc w:val="both"/>
            </w:pPr>
          </w:p>
        </w:tc>
      </w:tr>
      <w:tr w:rsidR="00F87028" w:rsidRPr="002814C7" w14:paraId="3CBF024D" w14:textId="77777777" w:rsidTr="00496931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58A13D71" w14:textId="77777777" w:rsidR="00F87028" w:rsidRPr="00401D81" w:rsidRDefault="00F87028" w:rsidP="00496931">
            <w:pPr>
              <w:spacing w:line="240" w:lineRule="auto"/>
            </w:pPr>
          </w:p>
        </w:tc>
      </w:tr>
    </w:tbl>
    <w:p w14:paraId="06C80D2E" w14:textId="77777777" w:rsidR="00F87028" w:rsidRPr="00401D81" w:rsidRDefault="00F87028" w:rsidP="00F87028">
      <w:pPr>
        <w:pStyle w:val="HChG"/>
      </w:pPr>
      <w:r w:rsidRPr="002814C7">
        <w:tab/>
      </w:r>
      <w:r w:rsidRPr="00342273">
        <w:rPr>
          <w:lang w:val="en-US"/>
        </w:rPr>
        <w:t>I</w:t>
      </w:r>
      <w:r w:rsidRPr="00401D81">
        <w:t>.</w:t>
      </w:r>
      <w:r w:rsidRPr="00401D81">
        <w:tab/>
      </w:r>
      <w:r w:rsidRPr="00401D81">
        <w:rPr>
          <w:bCs/>
        </w:rPr>
        <w:t>Цель</w:t>
      </w:r>
    </w:p>
    <w:p w14:paraId="43AE62F2" w14:textId="77777777" w:rsidR="00F87028" w:rsidRPr="00401D81" w:rsidRDefault="00F87028" w:rsidP="00F87028">
      <w:pPr>
        <w:pStyle w:val="SingleTxtG"/>
      </w:pPr>
      <w:r w:rsidRPr="00401D81">
        <w:t>1.</w:t>
      </w:r>
      <w:r w:rsidRPr="00401D81">
        <w:tab/>
      </w:r>
      <w:bookmarkStart w:id="1" w:name="_Hlk18936091"/>
      <w:bookmarkEnd w:id="1"/>
      <w:r w:rsidRPr="00401D81">
        <w:t>Цель, достижению которой способствует данная подпрограмма, заключается в совершенствовании системы устойчивого внутреннего транспорта на региональном и глобальном уровнях (автомобильного, железнодорожного, внутреннего водного транспорта и интермодальных перевозок) таким образом, чтобы она стала более безопасной, экологически чистой, эффективной и доступной в финансовом плане как в сфере грузоперевозок, так и в сфере личной мобильности благодаря роли в качестве платформы Организации Объединенных Наций для внутреннего транспорта.</w:t>
      </w:r>
    </w:p>
    <w:p w14:paraId="1416B176" w14:textId="77777777" w:rsidR="00F87028" w:rsidRPr="00401D81" w:rsidRDefault="00F87028" w:rsidP="00F87028">
      <w:pPr>
        <w:pStyle w:val="HChG"/>
        <w:rPr>
          <w:rFonts w:ascii="Segoe UI" w:hAnsi="Segoe UI" w:cs="Segoe UI"/>
        </w:rPr>
      </w:pPr>
      <w:r w:rsidRPr="00401D81">
        <w:tab/>
      </w:r>
      <w:r w:rsidRPr="00342273">
        <w:rPr>
          <w:lang w:val="en-US"/>
        </w:rPr>
        <w:t>II</w:t>
      </w:r>
      <w:r w:rsidRPr="00401D81">
        <w:t>.</w:t>
      </w:r>
      <w:r w:rsidRPr="00401D81">
        <w:tab/>
      </w:r>
      <w:r w:rsidRPr="00401D81">
        <w:rPr>
          <w:bCs/>
        </w:rPr>
        <w:t>Стратегия</w:t>
      </w:r>
    </w:p>
    <w:p w14:paraId="45A2C3A6" w14:textId="77777777" w:rsidR="00F87028" w:rsidRPr="00401D81" w:rsidRDefault="00F87028" w:rsidP="00F87028">
      <w:pPr>
        <w:pStyle w:val="SingleTxtG"/>
      </w:pPr>
      <w:r w:rsidRPr="00401D81">
        <w:t>2.</w:t>
      </w:r>
      <w:r w:rsidRPr="00401D81">
        <w:tab/>
        <w:t>Подпрограмма ЕЭК по транспорту реализуется в рамках программы работы, принятой Комитетом по внутреннему транспорту (КВТ), благодаря его роли, закрепленной в Стратегии КВТ до 2030</w:t>
      </w:r>
      <w:r>
        <w:t> </w:t>
      </w:r>
      <w:r w:rsidRPr="00401D81">
        <w:t>года (</w:t>
      </w:r>
      <w:hyperlink r:id="rId9" w:history="1">
        <w:r w:rsidRPr="005C106F">
          <w:rPr>
            <w:rStyle w:val="Hyperlink"/>
            <w:rFonts w:eastAsiaTheme="minorHAnsi"/>
            <w:lang w:val="en-US"/>
          </w:rPr>
          <w:t>ECE</w:t>
        </w:r>
        <w:r w:rsidRPr="00401D81">
          <w:rPr>
            <w:rStyle w:val="Hyperlink"/>
            <w:rFonts w:eastAsiaTheme="minorHAnsi"/>
          </w:rPr>
          <w:t>/</w:t>
        </w:r>
        <w:r w:rsidRPr="005C106F">
          <w:rPr>
            <w:rStyle w:val="Hyperlink"/>
            <w:rFonts w:eastAsiaTheme="minorHAnsi"/>
            <w:lang w:val="en-US"/>
          </w:rPr>
          <w:t>TRANS</w:t>
        </w:r>
        <w:r w:rsidRPr="00401D81">
          <w:rPr>
            <w:rStyle w:val="Hyperlink"/>
            <w:rFonts w:eastAsiaTheme="minorHAnsi"/>
          </w:rPr>
          <w:t>/288/</w:t>
        </w:r>
        <w:r w:rsidRPr="005C106F">
          <w:rPr>
            <w:rStyle w:val="Hyperlink"/>
            <w:rFonts w:eastAsiaTheme="minorHAnsi"/>
            <w:lang w:val="en-US"/>
          </w:rPr>
          <w:t>Add</w:t>
        </w:r>
        <w:r w:rsidRPr="00401D81">
          <w:rPr>
            <w:rStyle w:val="Hyperlink"/>
            <w:rFonts w:eastAsiaTheme="minorHAnsi"/>
          </w:rPr>
          <w:t>.2</w:t>
        </w:r>
      </w:hyperlink>
      <w:r w:rsidRPr="00401D81">
        <w:t>), в качестве платформы Организации Объединенных Наций для внутреннего транспорта в целях содействия эффективному удовлетворению региональных и глобальных потребностей в области внутреннего транспорта. В частности, через посредство своих 20</w:t>
      </w:r>
      <w:r w:rsidR="00F01035" w:rsidRPr="00F01035">
        <w:t xml:space="preserve"> </w:t>
      </w:r>
      <w:r w:rsidRPr="00401D81">
        <w:t>рабочих групп и 14</w:t>
      </w:r>
      <w:r w:rsidR="00F01035" w:rsidRPr="00F01035">
        <w:t xml:space="preserve"> </w:t>
      </w:r>
      <w:r w:rsidRPr="00401D81">
        <w:t>административных комитетов, Комитета экспертов ЭКОСОС и более 50</w:t>
      </w:r>
      <w:r w:rsidR="00F01035">
        <w:rPr>
          <w:lang w:val="en-US"/>
        </w:rPr>
        <w:t> </w:t>
      </w:r>
      <w:r w:rsidRPr="00401D81">
        <w:t xml:space="preserve">официальных и неофициальных сетей, объединяющих около </w:t>
      </w:r>
      <w:r w:rsidR="00F01035">
        <w:br/>
      </w:r>
      <w:r w:rsidRPr="00401D81">
        <w:t>6</w:t>
      </w:r>
      <w:r w:rsidR="00F01035">
        <w:t> </w:t>
      </w:r>
      <w:r w:rsidRPr="00401D81">
        <w:t>000</w:t>
      </w:r>
      <w:r w:rsidR="00F01035" w:rsidRPr="00F01035">
        <w:t xml:space="preserve"> </w:t>
      </w:r>
      <w:r w:rsidRPr="00401D81">
        <w:t>зарегистрированных экспертов, она способствует созданию устойчивых транспортных систем на региональном и глобальном уровнях.</w:t>
      </w:r>
    </w:p>
    <w:p w14:paraId="10389199" w14:textId="77777777" w:rsidR="00F87028" w:rsidRPr="00401D81" w:rsidRDefault="00F87028" w:rsidP="00F87028">
      <w:pPr>
        <w:pStyle w:val="SingleTxtG"/>
      </w:pPr>
      <w:r w:rsidRPr="00401D81">
        <w:t>3.</w:t>
      </w:r>
      <w:r w:rsidRPr="00401D81">
        <w:tab/>
        <w:t>Основным компонентом работы в рамках этой подпрограммы является управление международной нормативно-правовой базой в области внутреннего транспорта, которая в настоящее время включает в себя 59</w:t>
      </w:r>
      <w:r w:rsidR="00F01035" w:rsidRPr="00F01035">
        <w:t xml:space="preserve"> </w:t>
      </w:r>
      <w:r w:rsidRPr="00401D81">
        <w:t>правовых документов Организации Объединенных Наций по вопросам безопасности, загрязнения, эффективности и действенности (нормативная функция), путем разработки новых и обновления существующих правовых документов, насколько это необходимо.</w:t>
      </w:r>
    </w:p>
    <w:p w14:paraId="65364956" w14:textId="77777777" w:rsidR="00F87028" w:rsidRPr="00401D81" w:rsidRDefault="00F87028" w:rsidP="00F87028">
      <w:pPr>
        <w:pStyle w:val="SingleTxtG"/>
      </w:pPr>
      <w:r w:rsidRPr="00401D81">
        <w:t>4.</w:t>
      </w:r>
      <w:r w:rsidRPr="00401D81">
        <w:tab/>
        <w:t>По просьбе государств-членов и Договаривающихся сторон подпрограмма осуществляет обслуживание институциональной платформы для национальных правительств и других ключевых заинтересованных сторон в сфере транспорта для сохранения этой нормативной базы, дополняя эту работу ведением диалога по вопросам политики, осуществлением аналитической работы, предоставлением технической помощи и осуществлением деятельности по наращиванию потенциала. Ожидается, что эта деятельность внесет вклад в осуществление таких комплексных направлений работы ЕЭК, как устойчивая мобильность и «умная» подключенность; устойчивое использование природных ресурсов; устойчивые и «умные» города; и</w:t>
      </w:r>
      <w:r>
        <w:t> </w:t>
      </w:r>
      <w:r w:rsidRPr="00401D81">
        <w:t>мониторинг и измерение целей в области устойчивого развития.</w:t>
      </w:r>
    </w:p>
    <w:p w14:paraId="6EA84F44" w14:textId="77777777" w:rsidR="00F87028" w:rsidRPr="00401D81" w:rsidRDefault="00F87028" w:rsidP="00F87028">
      <w:pPr>
        <w:pStyle w:val="SingleTxtG"/>
      </w:pPr>
      <w:r w:rsidRPr="00401D81">
        <w:t>5.</w:t>
      </w:r>
      <w:r w:rsidRPr="00401D81">
        <w:tab/>
        <w:t>Для содействия развитию устойчивых систем внутреннего транспорта на национальном, региональном и глобальном уровнях эта подпрограмма будет:</w:t>
      </w:r>
    </w:p>
    <w:p w14:paraId="49F5DA8A" w14:textId="77777777" w:rsidR="00F87028" w:rsidRPr="00401D81" w:rsidRDefault="00F87028" w:rsidP="00F87028">
      <w:pPr>
        <w:pStyle w:val="SingleTxtG"/>
      </w:pPr>
      <w:r w:rsidRPr="00401D81">
        <w:tab/>
      </w:r>
      <w:r w:rsidRPr="00401D81">
        <w:tab/>
        <w:t>а)</w:t>
      </w:r>
      <w:r w:rsidRPr="00401D81">
        <w:tab/>
        <w:t>активизировать свою нормотворческую и регламентирующую деятельность в качестве платформы Организации Объединенных Наций для конвенций по внутреннему транспорту, обеспечивая, чтобы они отвечали современным требованиям и были открыты для всех государств – членов Организации Объединенных Наций. Ожидается, что эта деятельность поможет правительствам добиться прогресса в достижении целей в области устойчивого развития, прежде всего целей</w:t>
      </w:r>
      <w:r w:rsidRPr="007A7237">
        <w:t> </w:t>
      </w:r>
      <w:r w:rsidRPr="00401D81">
        <w:t>3, 6, 7, 8, 9, 11, 12 и 13;</w:t>
      </w:r>
    </w:p>
    <w:p w14:paraId="77CDBD44" w14:textId="7114DA68" w:rsidR="00F87028" w:rsidRPr="00401D81" w:rsidRDefault="00F87028" w:rsidP="00F87028">
      <w:pPr>
        <w:pStyle w:val="SingleTxtG"/>
      </w:pPr>
      <w:r w:rsidRPr="00401D81">
        <w:lastRenderedPageBreak/>
        <w:tab/>
      </w:r>
      <w:r w:rsidRPr="00401D81">
        <w:tab/>
      </w:r>
      <w:r w:rsidRPr="007A7237">
        <w:t>b</w:t>
      </w:r>
      <w:r w:rsidRPr="00401D81">
        <w:t>)</w:t>
      </w:r>
      <w:r w:rsidRPr="00401D81">
        <w:tab/>
        <w:t>обеспечивать, чтобы</w:t>
      </w:r>
      <w:r w:rsidR="0048148F" w:rsidRPr="00242753">
        <w:t>:</w:t>
      </w:r>
      <w:r w:rsidRPr="00401D81">
        <w:t xml:space="preserve"> </w:t>
      </w:r>
      <w:r w:rsidRPr="007A7237">
        <w:t>i</w:t>
      </w:r>
      <w:r w:rsidRPr="00401D81">
        <w:t>)</w:t>
      </w:r>
      <w:r w:rsidR="00F01035" w:rsidRPr="00F01035">
        <w:t xml:space="preserve"> </w:t>
      </w:r>
      <w:r w:rsidRPr="00401D81">
        <w:t xml:space="preserve">регулирующие функции не отставали от передовых технологий, лежащих в основе транспортных инноваций, особенно в области интеллектуальных транспортных систем, автономных транспортных средств и цифровизации; </w:t>
      </w:r>
      <w:r w:rsidRPr="007A7237">
        <w:t>ii</w:t>
      </w:r>
      <w:r w:rsidRPr="00401D81">
        <w:t>)</w:t>
      </w:r>
      <w:r w:rsidR="00F01035" w:rsidRPr="00F01035">
        <w:t xml:space="preserve"> </w:t>
      </w:r>
      <w:r w:rsidRPr="00401D81">
        <w:t xml:space="preserve">разнообразные процессы внесения поправок в различные конвенции не приводили к раздробленности; и </w:t>
      </w:r>
      <w:r w:rsidRPr="007A7237">
        <w:t>iii</w:t>
      </w:r>
      <w:r w:rsidRPr="00401D81">
        <w:t>)</w:t>
      </w:r>
      <w:r w:rsidR="00F01035" w:rsidRPr="00F01035">
        <w:t xml:space="preserve"> </w:t>
      </w:r>
      <w:r w:rsidRPr="00401D81">
        <w:t>слишком раннее регулирование не сдерживало прогресс;</w:t>
      </w:r>
    </w:p>
    <w:p w14:paraId="2AE2D171" w14:textId="77777777" w:rsidR="00F87028" w:rsidRPr="00401D81" w:rsidRDefault="00F87028" w:rsidP="00F87028">
      <w:pPr>
        <w:pStyle w:val="SingleTxtG"/>
      </w:pPr>
      <w:r w:rsidRPr="00401D81">
        <w:tab/>
      </w:r>
      <w:r w:rsidRPr="00401D81">
        <w:tab/>
      </w:r>
      <w:r w:rsidRPr="007A7237">
        <w:t>c</w:t>
      </w:r>
      <w:r w:rsidRPr="00401D81">
        <w:t>)</w:t>
      </w:r>
      <w:r w:rsidRPr="00401D81">
        <w:tab/>
        <w:t>служить платформой для диалога по вопросам политики в целях рассмотрения возникающих проблем в сфере внутреннего транспорта, а также предложений по совершенствованию инфраструктуры и функционирования на ежегодной сессии КВТ;</w:t>
      </w:r>
    </w:p>
    <w:p w14:paraId="5A8999B7" w14:textId="77777777" w:rsidR="00F87028" w:rsidRPr="00401D81" w:rsidRDefault="00F87028" w:rsidP="00F01035">
      <w:pPr>
        <w:pStyle w:val="SingleTxtG"/>
        <w:rPr>
          <w:lang w:eastAsia="zh-CN"/>
        </w:rPr>
      </w:pPr>
      <w:r w:rsidRPr="00401D81">
        <w:tab/>
      </w:r>
      <w:r w:rsidRPr="00401D81">
        <w:tab/>
      </w:r>
      <w:r w:rsidRPr="007A7237">
        <w:t>d</w:t>
      </w:r>
      <w:r w:rsidRPr="00401D81">
        <w:t>)</w:t>
      </w:r>
      <w:r w:rsidRPr="00401D81">
        <w:tab/>
        <w:t>служить институциональной платформой для поддержки региональной и межрегиональной транспортной стыкуемости, разработки новых или развития существующих инициатив, соглашений и коридоров, что, как ожидается, приведет к более эффективным трансграничным потокам товаров и людей.</w:t>
      </w:r>
    </w:p>
    <w:p w14:paraId="6BDAEE20" w14:textId="77777777" w:rsidR="00F87028" w:rsidRPr="0022095A" w:rsidRDefault="00F87028" w:rsidP="00F01035">
      <w:pPr>
        <w:pStyle w:val="SingleTxtG"/>
      </w:pPr>
      <w:r>
        <w:t>5-бис.</w:t>
      </w:r>
      <w:r>
        <w:tab/>
        <w:t>В результате проведенной работы в этих областях сформировалась в значительной мере пересмотренная нормативно-правовая база, регулирующая устойчивые системы внутреннего транспорта, о чем свидетельствует следующее: а)</w:t>
      </w:r>
      <w:r>
        <w:rPr>
          <w:lang w:val="en-US"/>
        </w:rPr>
        <w:t> </w:t>
      </w:r>
      <w:r>
        <w:t xml:space="preserve">принятие 100 новых правил ООН в области транспортных средств и обновленных вариантов существующих правил, в чем нашел отражение применяемый Комитетом по внутреннему транспорту комплексный подход к вопросу безопасности дорожного движения, а также принятие двух глобальных технических правил ООН об электромобилях и об электрических двухколесных транспортных средствах, цель которых – поощрение декарбонизации транспорта. Эти нормативные изменения имеют обязательную юридическую силу и затрагивают </w:t>
      </w:r>
      <w:r w:rsidRPr="00F87028">
        <w:t>производство</w:t>
      </w:r>
      <w:r>
        <w:t xml:space="preserve"> транспортных средств по всему миру, оказывая </w:t>
      </w:r>
      <w:r w:rsidRPr="00F01035">
        <w:t>таким</w:t>
      </w:r>
      <w:r>
        <w:t xml:space="preserve"> образом непосредственное воздействие на безопасность дорожного движения и состояние окружающей среды; b) принятие для Соглашения о международной перевозке опасных грузов по внутренним водным путям (ВОПОГ) положений по перевозке опасных грузов, которые нацелены на укрепление взрывозащиты на борту судов внутреннего плавания; с) принятие комплекса поправок к Соглашению о международной дорожной перевозке опасных грузов (ДОПОГ), призванных урегулировать возникающие проблемы безопасности и охраны окружающей среды, которые обусловлены стремительным ростом перевозок и все более широким использованием литиевых батарей и транспортных средств, работающих на более экологически чистых видах топлива (таких</w:t>
      </w:r>
      <w:r w:rsidR="00F01035">
        <w:t>,</w:t>
      </w:r>
      <w:r>
        <w:t xml:space="preserve"> как сжиженный или сжатый природный газ или топливные элементы на водороде); и d) ускорение процесса компьютеризации системы МДП</w:t>
      </w:r>
      <w:r w:rsidRPr="004E1B91">
        <w:t xml:space="preserve"> </w:t>
      </w:r>
      <w:r>
        <w:t xml:space="preserve">(eTIR), благодаря чему система МДП стала </w:t>
      </w:r>
      <w:r w:rsidR="00F01035">
        <w:br/>
      </w:r>
      <w:r>
        <w:t xml:space="preserve">более привлекательной в странах с быстро растущей экономикой и странах, стремящихся отказаться от бумажного документооборота. Двусторонние электронные операции eTIR, осуществленные между Ираном и Турцией и между Грузией и Турцией в рамках пилотных проектов, показали, что данная система работает в реальных условиях. Об эффективности этих мероприятий свидетельствует присоединение к Конвенции МДП новых членов из числа стран Азии и Ближнего Востока. Среди присоединившихся к ней в последнее время договаривающихся сторон можно упомянуть о Китае, Индии и Пакистане, на которые приходится 40% населения мира. </w:t>
      </w:r>
    </w:p>
    <w:p w14:paraId="48EE2A00" w14:textId="77777777" w:rsidR="00F87028" w:rsidRPr="00401D81" w:rsidRDefault="00F87028" w:rsidP="00F87028">
      <w:pPr>
        <w:pStyle w:val="SingleTxtG"/>
      </w:pPr>
      <w:r w:rsidRPr="00401D81">
        <w:t>6.</w:t>
      </w:r>
      <w:r w:rsidRPr="00401D81">
        <w:tab/>
        <w:t>Ожидается, что эти меры позволят сделать системы внутреннего транспорта более безопасными, экологически чистыми, эффективными и доступными в финансовом плане для основных бенефициаров подпрограммы, которыми являются государства – члены ЕЭК и государства – члены Организации Объединенных Наций, являющиеся Договаривающимися сторонами конвенций Организации Объединенных Наций по внутреннему транспорту.</w:t>
      </w:r>
    </w:p>
    <w:p w14:paraId="73CE1CE3" w14:textId="77777777" w:rsidR="00F87028" w:rsidRPr="00401D81" w:rsidRDefault="00F87028" w:rsidP="00F87028">
      <w:pPr>
        <w:pStyle w:val="HChG"/>
      </w:pPr>
      <w:r w:rsidRPr="00401D81">
        <w:lastRenderedPageBreak/>
        <w:tab/>
      </w:r>
      <w:r w:rsidRPr="00342273">
        <w:rPr>
          <w:lang w:val="en-US"/>
        </w:rPr>
        <w:t>III</w:t>
      </w:r>
      <w:r w:rsidRPr="00401D81">
        <w:t>.</w:t>
      </w:r>
      <w:r w:rsidRPr="00401D81">
        <w:tab/>
        <w:t>Выполнение программы в 2019</w:t>
      </w:r>
      <w:r w:rsidR="00F01035">
        <w:t xml:space="preserve"> </w:t>
      </w:r>
      <w:r w:rsidRPr="00401D81">
        <w:t>году: усиление сотрудничества в области безопасности дорожного движения, способствующего снижению уровня смертности в результате дорожно-транспортных происшествий</w:t>
      </w:r>
    </w:p>
    <w:p w14:paraId="453716F7" w14:textId="77777777" w:rsidR="00F87028" w:rsidRPr="00401D81" w:rsidRDefault="00F87028" w:rsidP="00F87028">
      <w:pPr>
        <w:pStyle w:val="SingleTxtG"/>
      </w:pPr>
      <w:r w:rsidRPr="00401D81">
        <w:t>7.</w:t>
      </w:r>
      <w:r w:rsidRPr="00401D81">
        <w:tab/>
        <w:t>С учетом недостаточного прогресса в достижении к 2020</w:t>
      </w:r>
      <w:r>
        <w:t> </w:t>
      </w:r>
      <w:r w:rsidRPr="00401D81">
        <w:t>году цели в области устойчивого развития, касающейся безопасности дорожного движения, в связи с растущей тенденцией к росту смертности на дорогах во всем мире в 2019</w:t>
      </w:r>
      <w:r>
        <w:t> </w:t>
      </w:r>
      <w:r w:rsidRPr="00401D81">
        <w:t>году в рамках этой подпрограммы был принят комплексный подход к обеспечению безопасности дорожного движения, для того чтобы принести больше выгод основным бенефициарам. Этот подход включает в себя:</w:t>
      </w:r>
    </w:p>
    <w:p w14:paraId="6D78EE26" w14:textId="77777777" w:rsidR="00F87028" w:rsidRPr="00401D81" w:rsidRDefault="00F87028" w:rsidP="00F87028">
      <w:pPr>
        <w:pStyle w:val="SingleTxtG"/>
      </w:pPr>
      <w:r w:rsidRPr="00401D81">
        <w:tab/>
      </w:r>
      <w:r w:rsidRPr="00401D81">
        <w:tab/>
      </w:r>
      <w:r w:rsidRPr="00342273">
        <w:rPr>
          <w:lang w:val="en-US"/>
        </w:rPr>
        <w:t>a</w:t>
      </w:r>
      <w:r w:rsidRPr="00401D81">
        <w:t>)</w:t>
      </w:r>
      <w:r w:rsidRPr="00401D81">
        <w:tab/>
        <w:t xml:space="preserve">проведение информационно-пропагандистской деятельности в целях увеличения числа стран, присоединяющихся к конвенциям, о чем свидетельствуют </w:t>
      </w:r>
      <w:r>
        <w:t>четыре</w:t>
      </w:r>
      <w:r w:rsidRPr="00401D81">
        <w:t xml:space="preserve"> новых присоединения к основным конвенциям по безопасности дорожного движения</w:t>
      </w:r>
      <w:r>
        <w:t xml:space="preserve"> в 2019 году</w:t>
      </w:r>
      <w:r w:rsidRPr="00401D81">
        <w:t>, с целью поддержки усилий стран по созданию надежных национальных систем безопасности дорожного движения;</w:t>
      </w:r>
    </w:p>
    <w:p w14:paraId="535521A3" w14:textId="77777777" w:rsidR="00F87028" w:rsidRPr="00401D81" w:rsidRDefault="00F87028" w:rsidP="00F87028">
      <w:pPr>
        <w:pStyle w:val="SingleTxtG"/>
      </w:pPr>
      <w:r w:rsidRPr="00401D81">
        <w:tab/>
      </w:r>
      <w:r w:rsidRPr="00401D81">
        <w:tab/>
      </w:r>
      <w:r w:rsidRPr="007A7237">
        <w:t>b</w:t>
      </w:r>
      <w:r w:rsidRPr="00401D81">
        <w:t>)</w:t>
      </w:r>
      <w:r w:rsidRPr="00401D81">
        <w:tab/>
        <w:t>дальнейшее развитие международно-правовой базы и ее учет для производства и изготовления более безопасных транспортных средств. Об этом свидетельствует принятие 149</w:t>
      </w:r>
      <w:r w:rsidR="005304A2">
        <w:t xml:space="preserve"> </w:t>
      </w:r>
      <w:r w:rsidRPr="00401D81">
        <w:t xml:space="preserve">новых правил ООН в области транспортных средств и обновленных вариантов существующих правил, которые имеют обязательную юридическую силу и затрагивают производство транспортных средств по всему миру, оказывая таким образом непосредственное воздействие на безопасность дорожного движения. Особым случаем, имеющим стратегическое значение, является принятие Технической резолюции по </w:t>
      </w:r>
      <w:r w:rsidRPr="005304A2">
        <w:rPr>
          <w:i/>
        </w:rPr>
        <w:t>высокоавтоматизированной системе вождения</w:t>
      </w:r>
      <w:r w:rsidRPr="00401D81">
        <w:t>, которое, как ожидается, проложит путь к всесторонней разработке и внедрению передовых технологий в будущем;</w:t>
      </w:r>
    </w:p>
    <w:p w14:paraId="03F8518C" w14:textId="77777777" w:rsidR="00F87028" w:rsidRPr="00401D81" w:rsidRDefault="00F87028" w:rsidP="00F87028">
      <w:pPr>
        <w:pStyle w:val="SingleTxtG"/>
      </w:pPr>
      <w:r w:rsidRPr="00401D81">
        <w:tab/>
      </w:r>
      <w:r w:rsidRPr="00401D81">
        <w:tab/>
      </w:r>
      <w:r w:rsidRPr="007A7237">
        <w:t>c</w:t>
      </w:r>
      <w:r w:rsidRPr="00401D81">
        <w:t>)</w:t>
      </w:r>
      <w:r w:rsidRPr="00401D81">
        <w:tab/>
        <w:t>работу над поправками к Европейскому соглашению о международной дорожной перевозке опасных грузов (ДОПОГ), включая его дальнейшую глобализацию, которые облегчают присоединение стран к нему и способствуют снижению катастрофических рисков для безопасности дорожного движения;</w:t>
      </w:r>
    </w:p>
    <w:p w14:paraId="685D077A" w14:textId="77777777" w:rsidR="00F87028" w:rsidRPr="00401D81" w:rsidRDefault="00F87028" w:rsidP="00F87028">
      <w:pPr>
        <w:pStyle w:val="SingleTxtG"/>
      </w:pPr>
      <w:r w:rsidRPr="00401D81">
        <w:tab/>
      </w:r>
      <w:r w:rsidRPr="00401D81">
        <w:tab/>
      </w:r>
      <w:r w:rsidRPr="007A7237">
        <w:t>d</w:t>
      </w:r>
      <w:r w:rsidRPr="00401D81">
        <w:t>)</w:t>
      </w:r>
      <w:r w:rsidRPr="00401D81">
        <w:tab/>
        <w:t>Национальные обзоры состояния безопасности дорожного движения (ОСБД), которые систематически определяют потребности конкретных стран, поддерживая тем самым основанный на фактических данных общесистемный анализ, приоритизацию политики и высокоэффективные мероприятия. Об этом свидетельствуют рекомендации, вынесенные в Грузии, и (предстоящая) подготовка двух новых ОСБД в Эфиопии и Зимбабве; и</w:t>
      </w:r>
    </w:p>
    <w:p w14:paraId="53F4C62F" w14:textId="77777777" w:rsidR="00F87028" w:rsidRPr="00401D81" w:rsidRDefault="00F87028" w:rsidP="00F87028">
      <w:pPr>
        <w:pStyle w:val="SingleTxtG"/>
      </w:pPr>
      <w:r w:rsidRPr="00401D81">
        <w:tab/>
      </w:r>
      <w:r w:rsidRPr="00401D81">
        <w:tab/>
      </w:r>
      <w:r w:rsidRPr="007A7237">
        <w:t>e</w:t>
      </w:r>
      <w:r w:rsidRPr="00401D81">
        <w:t>)</w:t>
      </w:r>
      <w:r w:rsidRPr="00401D81">
        <w:tab/>
        <w:t>рабочие совещания по наращиванию потенциала, проведенные в шести странах с участием представителей 18</w:t>
      </w:r>
      <w:r w:rsidR="005304A2">
        <w:t xml:space="preserve"> </w:t>
      </w:r>
      <w:r w:rsidRPr="00401D81">
        <w:t>стран.</w:t>
      </w:r>
    </w:p>
    <w:p w14:paraId="7063E45E" w14:textId="77777777" w:rsidR="00F87028" w:rsidRPr="00401D81" w:rsidRDefault="00F87028" w:rsidP="00F87028">
      <w:pPr>
        <w:pStyle w:val="SingleTxtG"/>
      </w:pPr>
      <w:r w:rsidRPr="00401D81">
        <w:t>8.</w:t>
      </w:r>
      <w:r w:rsidRPr="00401D81">
        <w:tab/>
        <w:t>В целях ускорения процесса повышения безопасности дорожного движения во всем мире в рамках подпрограммы была мобилизована политическая и стратегическая поддержка в области обеспечения безопасности дорожного движения через посредство Специального посланника Генерального секретаря Организации Объединенных Наций по безопасности дорожного движения. Новой вехой в 2019</w:t>
      </w:r>
      <w:r w:rsidR="005304A2">
        <w:t xml:space="preserve"> </w:t>
      </w:r>
      <w:r w:rsidRPr="00401D81">
        <w:t xml:space="preserve">году стало начало функционирования Целевого фонда Организации Объединенных Наций по безопасности дорожного движения, который принял все учредительные документы и приступил к финансированию </w:t>
      </w:r>
      <w:r>
        <w:t xml:space="preserve">пяти </w:t>
      </w:r>
      <w:r w:rsidRPr="00401D81">
        <w:t>проектов по обеспечению безопасности дорожного движения в странах с низким и средним уровнем дохода.</w:t>
      </w:r>
    </w:p>
    <w:p w14:paraId="433CEE8C" w14:textId="77777777" w:rsidR="00F87028" w:rsidRPr="00401D81" w:rsidRDefault="00F87028" w:rsidP="00F87028">
      <w:pPr>
        <w:pStyle w:val="H4G"/>
        <w:rPr>
          <w:lang w:eastAsia="zh-CN"/>
        </w:rPr>
      </w:pPr>
      <w:r w:rsidRPr="00401D81">
        <w:rPr>
          <w:lang w:eastAsia="zh-CN"/>
        </w:rPr>
        <w:tab/>
      </w:r>
      <w:r w:rsidRPr="00401D81">
        <w:rPr>
          <w:lang w:eastAsia="zh-CN"/>
        </w:rPr>
        <w:tab/>
        <w:t xml:space="preserve">Прогресс в достижении цели и показатели </w:t>
      </w:r>
      <w:r w:rsidRPr="00401D81">
        <w:rPr>
          <w:iCs/>
        </w:rPr>
        <w:t>результативности</w:t>
      </w:r>
    </w:p>
    <w:p w14:paraId="13984934" w14:textId="77777777" w:rsidR="00F87028" w:rsidRPr="00401D81" w:rsidRDefault="00F87028" w:rsidP="00F87028">
      <w:pPr>
        <w:pStyle w:val="SingleTxtG"/>
      </w:pPr>
      <w:r w:rsidRPr="00401D81">
        <w:t>9.</w:t>
      </w:r>
      <w:r w:rsidRPr="00401D81">
        <w:tab/>
        <w:t>Эта работа способствовала созданию более безопасной транспортной системы, о чем свидетельствует продолжающееся уменьшение числа погибших в результате дорожно-транспортных происшествий в регионе ЕЭК: с 154</w:t>
      </w:r>
      <w:r>
        <w:t> </w:t>
      </w:r>
      <w:r w:rsidRPr="00401D81">
        <w:t>000 в 2000</w:t>
      </w:r>
      <w:r>
        <w:t> </w:t>
      </w:r>
      <w:r w:rsidRPr="00401D81">
        <w:t>году до примерно 105</w:t>
      </w:r>
      <w:r>
        <w:t> </w:t>
      </w:r>
      <w:r w:rsidRPr="00401D81">
        <w:t>000 в 2017</w:t>
      </w:r>
      <w:r>
        <w:t> </w:t>
      </w:r>
      <w:r w:rsidRPr="00401D81">
        <w:t>году, т.</w:t>
      </w:r>
      <w:r>
        <w:t> </w:t>
      </w:r>
      <w:r w:rsidRPr="00401D81">
        <w:t>е. на 2,4% по сравнению с 2016</w:t>
      </w:r>
      <w:r>
        <w:t> </w:t>
      </w:r>
      <w:r w:rsidRPr="00401D81">
        <w:t xml:space="preserve">годом. Данные за </w:t>
      </w:r>
      <w:r w:rsidRPr="00401D81">
        <w:lastRenderedPageBreak/>
        <w:t>2018</w:t>
      </w:r>
      <w:r>
        <w:t> </w:t>
      </w:r>
      <w:r w:rsidRPr="00401D81">
        <w:t>год уже имеются по 22</w:t>
      </w:r>
      <w:r w:rsidR="007B16A6">
        <w:t xml:space="preserve"> </w:t>
      </w:r>
      <w:r w:rsidRPr="00401D81">
        <w:t>странам, в подавляющем большинстве которых, а именно в 16</w:t>
      </w:r>
      <w:r>
        <w:t> </w:t>
      </w:r>
      <w:r w:rsidRPr="00401D81">
        <w:t>странах, наблюдается дальнейшее снижение этого показателя, в результате чего общее уменьшение средневзвешенного показателя за 2018</w:t>
      </w:r>
      <w:r w:rsidR="007B16A6">
        <w:t xml:space="preserve"> </w:t>
      </w:r>
      <w:r w:rsidRPr="00401D81">
        <w:t>год составит по сравнению с 2017</w:t>
      </w:r>
      <w:r w:rsidR="007B16A6">
        <w:t xml:space="preserve"> </w:t>
      </w:r>
      <w:r w:rsidRPr="00401D81">
        <w:t>годом 5,4%.</w:t>
      </w:r>
    </w:p>
    <w:p w14:paraId="543D0949" w14:textId="77777777" w:rsidR="00F87028" w:rsidRDefault="00F87028" w:rsidP="00F87028">
      <w:pPr>
        <w:pStyle w:val="H4G"/>
        <w:rPr>
          <w:rFonts w:ascii="Segoe UI" w:hAnsi="Segoe UI" w:cs="Segoe UI"/>
          <w:sz w:val="18"/>
          <w:szCs w:val="18"/>
        </w:rPr>
      </w:pPr>
      <w:r w:rsidRPr="00401D81">
        <w:tab/>
      </w:r>
      <w:r w:rsidRPr="00401D81">
        <w:tab/>
      </w:r>
      <w:r>
        <w:rPr>
          <w:iCs/>
        </w:rPr>
        <w:t>Показатели результативности</w:t>
      </w:r>
    </w:p>
    <w:p w14:paraId="449A149B" w14:textId="77777777" w:rsidR="00F87028" w:rsidRDefault="00F87028" w:rsidP="00F87028">
      <w:pPr>
        <w:suppressAutoHyphens w:val="0"/>
        <w:spacing w:line="240" w:lineRule="auto"/>
        <w:ind w:left="1260" w:hanging="1080"/>
        <w:jc w:val="both"/>
        <w:textAlignment w:val="baseline"/>
        <w:rPr>
          <w:noProof/>
          <w:sz w:val="24"/>
          <w:szCs w:val="24"/>
          <w:lang w:val="en-US" w:eastAsia="zh-CN"/>
        </w:rPr>
      </w:pPr>
      <w:r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F86B3" wp14:editId="26BF6C40">
                <wp:simplePos x="0" y="0"/>
                <wp:positionH relativeFrom="column">
                  <wp:posOffset>4492625</wp:posOffset>
                </wp:positionH>
                <wp:positionV relativeFrom="paragraph">
                  <wp:posOffset>2393205</wp:posOffset>
                </wp:positionV>
                <wp:extent cx="889552" cy="198755"/>
                <wp:effectExtent l="0" t="0" r="635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552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07E60" w14:textId="77777777" w:rsidR="00150E72" w:rsidRPr="00CA0935" w:rsidRDefault="00150E72" w:rsidP="00F87028">
                            <w:pPr>
                              <w:spacing w:line="192" w:lineRule="auto"/>
                              <w:rPr>
                                <w:color w:val="595959" w:themeColor="text1" w:themeTint="A6"/>
                                <w:sz w:val="6"/>
                              </w:rPr>
                            </w:pPr>
                            <w:r w:rsidRPr="00CA0935">
                              <w:rPr>
                                <w:noProof/>
                                <w:color w:val="595959" w:themeColor="text1" w:themeTint="A6"/>
                                <w:sz w:val="16"/>
                                <w:szCs w:val="24"/>
                                <w:lang w:val="en-US" w:eastAsia="zh-CN"/>
                              </w:rPr>
                              <w:t>Остальные</w:t>
                            </w:r>
                            <w:r w:rsidRPr="00CA0935">
                              <w:rPr>
                                <w:noProof/>
                                <w:color w:val="595959" w:themeColor="text1" w:themeTint="A6"/>
                                <w:sz w:val="16"/>
                                <w:szCs w:val="24"/>
                                <w:lang w:eastAsia="zh-CN"/>
                              </w:rPr>
                              <w:t xml:space="preserve"> страны</w:t>
                            </w:r>
                            <w:r w:rsidRPr="00CA0935">
                              <w:rPr>
                                <w:noProof/>
                                <w:color w:val="595959" w:themeColor="text1" w:themeTint="A6"/>
                                <w:sz w:val="16"/>
                                <w:szCs w:val="24"/>
                                <w:lang w:val="en-US" w:eastAsia="zh-CN"/>
                              </w:rPr>
                              <w:t xml:space="preserve"> ЕЭК ООН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F86B3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353.75pt;margin-top:188.45pt;width:70.05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" fillcolor="white [3201]" stroked="f" strokeweight=".5pt">
                <v:textbox inset="0,0,0,0">
                  <w:txbxContent>
                    <w:p w14:paraId="2DA07E60" w14:textId="77777777" w:rsidR="00150E72" w:rsidRPr="00CA0935" w:rsidRDefault="00150E72" w:rsidP="00F87028">
                      <w:pPr>
                        <w:spacing w:line="192" w:lineRule="auto"/>
                        <w:rPr>
                          <w:color w:val="595959" w:themeColor="text1" w:themeTint="A6"/>
                          <w:sz w:val="6"/>
                        </w:rPr>
                      </w:pPr>
                      <w:r w:rsidRPr="00CA0935">
                        <w:rPr>
                          <w:noProof/>
                          <w:color w:val="595959" w:themeColor="text1" w:themeTint="A6"/>
                          <w:sz w:val="16"/>
                          <w:szCs w:val="24"/>
                          <w:lang w:val="en-US" w:eastAsia="zh-CN"/>
                        </w:rPr>
                        <w:t>Остальные</w:t>
                      </w:r>
                      <w:r w:rsidRPr="00CA0935">
                        <w:rPr>
                          <w:noProof/>
                          <w:color w:val="595959" w:themeColor="text1" w:themeTint="A6"/>
                          <w:sz w:val="16"/>
                          <w:szCs w:val="24"/>
                          <w:lang w:eastAsia="zh-CN"/>
                        </w:rPr>
                        <w:t xml:space="preserve"> страны</w:t>
                      </w:r>
                      <w:r w:rsidRPr="00CA0935">
                        <w:rPr>
                          <w:noProof/>
                          <w:color w:val="595959" w:themeColor="text1" w:themeTint="A6"/>
                          <w:sz w:val="16"/>
                          <w:szCs w:val="24"/>
                          <w:lang w:val="en-US" w:eastAsia="zh-CN"/>
                        </w:rPr>
                        <w:t xml:space="preserve"> ЕЭК ООН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8AA65" wp14:editId="199DA1B0">
                <wp:simplePos x="0" y="0"/>
                <wp:positionH relativeFrom="column">
                  <wp:posOffset>3618230</wp:posOffset>
                </wp:positionH>
                <wp:positionV relativeFrom="paragraph">
                  <wp:posOffset>2423685</wp:posOffset>
                </wp:positionV>
                <wp:extent cx="516255" cy="198755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DEB098" w14:textId="77777777" w:rsidR="00150E72" w:rsidRPr="00CA0935" w:rsidRDefault="00150E72" w:rsidP="00F87028">
                            <w:pPr>
                              <w:spacing w:line="192" w:lineRule="auto"/>
                              <w:rPr>
                                <w:color w:val="595959" w:themeColor="text1" w:themeTint="A6"/>
                                <w:sz w:val="6"/>
                              </w:rPr>
                            </w:pPr>
                            <w:r w:rsidRPr="00CA0935">
                              <w:rPr>
                                <w:noProof/>
                                <w:color w:val="595959" w:themeColor="text1" w:themeTint="A6"/>
                                <w:sz w:val="16"/>
                                <w:szCs w:val="24"/>
                                <w:lang w:val="en-US" w:eastAsia="zh-CN"/>
                              </w:rPr>
                              <w:t>ЕС+ЕАСТ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8AA65" id="Надпись 11" o:spid="_x0000_s1027" type="#_x0000_t202" style="position:absolute;left:0;text-align:left;margin-left:284.9pt;margin-top:190.85pt;width:40.65pt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" fillcolor="white [3201]" stroked="f" strokeweight=".5pt">
                <v:textbox inset="0,0,0,0">
                  <w:txbxContent>
                    <w:p w14:paraId="4EDEB098" w14:textId="77777777" w:rsidR="00150E72" w:rsidRPr="00CA0935" w:rsidRDefault="00150E72" w:rsidP="00F87028">
                      <w:pPr>
                        <w:spacing w:line="192" w:lineRule="auto"/>
                        <w:rPr>
                          <w:color w:val="595959" w:themeColor="text1" w:themeTint="A6"/>
                          <w:sz w:val="6"/>
                        </w:rPr>
                      </w:pPr>
                      <w:r w:rsidRPr="00CA0935">
                        <w:rPr>
                          <w:noProof/>
                          <w:color w:val="595959" w:themeColor="text1" w:themeTint="A6"/>
                          <w:sz w:val="16"/>
                          <w:szCs w:val="24"/>
                          <w:lang w:val="en-US" w:eastAsia="zh-CN"/>
                        </w:rPr>
                        <w:t>ЕС+ЕАСТ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08ADE" wp14:editId="5FEC4DC0">
                <wp:simplePos x="0" y="0"/>
                <wp:positionH relativeFrom="column">
                  <wp:posOffset>2497455</wp:posOffset>
                </wp:positionH>
                <wp:positionV relativeFrom="paragraph">
                  <wp:posOffset>2396600</wp:posOffset>
                </wp:positionV>
                <wp:extent cx="675005" cy="198755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05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5B1650" w14:textId="77777777" w:rsidR="00150E72" w:rsidRPr="00CA0935" w:rsidRDefault="00150E72" w:rsidP="00F87028">
                            <w:pPr>
                              <w:spacing w:line="192" w:lineRule="auto"/>
                              <w:rPr>
                                <w:color w:val="595959" w:themeColor="text1" w:themeTint="A6"/>
                                <w:sz w:val="6"/>
                              </w:rPr>
                            </w:pPr>
                            <w:r w:rsidRPr="00CA0935">
                              <w:rPr>
                                <w:noProof/>
                                <w:color w:val="595959" w:themeColor="text1" w:themeTint="A6"/>
                                <w:sz w:val="16"/>
                                <w:szCs w:val="24"/>
                                <w:lang w:val="en-US" w:eastAsia="zh-CN"/>
                              </w:rPr>
                              <w:t xml:space="preserve">Северная Америка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08ADE" id="Надпись 10" o:spid="_x0000_s1028" type="#_x0000_t202" style="position:absolute;left:0;text-align:left;margin-left:196.65pt;margin-top:188.7pt;width:53.15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" fillcolor="white [3201]" stroked="f" strokeweight=".5pt">
                <v:textbox inset="0,0,0,0">
                  <w:txbxContent>
                    <w:p w14:paraId="675B1650" w14:textId="77777777" w:rsidR="00150E72" w:rsidRPr="00CA0935" w:rsidRDefault="00150E72" w:rsidP="00F87028">
                      <w:pPr>
                        <w:spacing w:line="192" w:lineRule="auto"/>
                        <w:rPr>
                          <w:color w:val="595959" w:themeColor="text1" w:themeTint="A6"/>
                          <w:sz w:val="6"/>
                        </w:rPr>
                      </w:pPr>
                      <w:r w:rsidRPr="00CA0935">
                        <w:rPr>
                          <w:noProof/>
                          <w:color w:val="595959" w:themeColor="text1" w:themeTint="A6"/>
                          <w:sz w:val="16"/>
                          <w:szCs w:val="24"/>
                          <w:lang w:val="en-US" w:eastAsia="zh-CN"/>
                        </w:rPr>
                        <w:t xml:space="preserve">Северная Америка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F9632" wp14:editId="5EE1AEAA">
                <wp:simplePos x="0" y="0"/>
                <wp:positionH relativeFrom="column">
                  <wp:posOffset>1476458</wp:posOffset>
                </wp:positionH>
                <wp:positionV relativeFrom="paragraph">
                  <wp:posOffset>2405987</wp:posOffset>
                </wp:positionV>
                <wp:extent cx="675474" cy="198783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474" cy="1987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2DC060" w14:textId="77777777" w:rsidR="00150E72" w:rsidRPr="00CA0935" w:rsidRDefault="00150E72" w:rsidP="00F87028">
                            <w:pPr>
                              <w:spacing w:line="192" w:lineRule="auto"/>
                              <w:rPr>
                                <w:color w:val="595959" w:themeColor="text1" w:themeTint="A6"/>
                                <w:sz w:val="6"/>
                              </w:rPr>
                            </w:pPr>
                            <w:r w:rsidRPr="00CA0935">
                              <w:rPr>
                                <w:noProof/>
                                <w:color w:val="595959" w:themeColor="text1" w:themeTint="A6"/>
                                <w:sz w:val="16"/>
                                <w:szCs w:val="24"/>
                                <w:lang w:val="en-US" w:eastAsia="zh-CN"/>
                              </w:rPr>
                              <w:t>ЕЭК</w:t>
                            </w:r>
                            <w:r w:rsidRPr="00CA0935">
                              <w:rPr>
                                <w:noProof/>
                                <w:color w:val="595959" w:themeColor="text1" w:themeTint="A6"/>
                                <w:sz w:val="16"/>
                                <w:szCs w:val="24"/>
                                <w:lang w:eastAsia="zh-CN"/>
                              </w:rPr>
                              <w:t> </w:t>
                            </w:r>
                            <w:r w:rsidRPr="00CA0935">
                              <w:rPr>
                                <w:noProof/>
                                <w:color w:val="595959" w:themeColor="text1" w:themeTint="A6"/>
                                <w:sz w:val="16"/>
                                <w:szCs w:val="24"/>
                                <w:lang w:val="en-US" w:eastAsia="zh-CN"/>
                              </w:rPr>
                              <w:t xml:space="preserve">ООН </w:t>
                            </w:r>
                            <w:r>
                              <w:rPr>
                                <w:noProof/>
                                <w:color w:val="595959" w:themeColor="text1" w:themeTint="A6"/>
                                <w:sz w:val="16"/>
                                <w:szCs w:val="24"/>
                                <w:lang w:val="en-US" w:eastAsia="zh-CN"/>
                              </w:rPr>
                              <w:br/>
                            </w:r>
                            <w:r w:rsidRPr="00CA0935">
                              <w:rPr>
                                <w:noProof/>
                                <w:color w:val="595959" w:themeColor="text1" w:themeTint="A6"/>
                                <w:sz w:val="16"/>
                                <w:szCs w:val="24"/>
                                <w:lang w:val="en-US" w:eastAsia="zh-CN"/>
                              </w:rPr>
                              <w:t>в целом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9632" id="Надпись 9" o:spid="_x0000_s1029" type="#_x0000_t202" style="position:absolute;left:0;text-align:left;margin-left:116.25pt;margin-top:189.45pt;width:53.2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" fillcolor="white [3201]" stroked="f" strokeweight=".5pt">
                <v:textbox inset="0,0,0,0">
                  <w:txbxContent>
                    <w:p w14:paraId="772DC060" w14:textId="77777777" w:rsidR="00150E72" w:rsidRPr="00CA0935" w:rsidRDefault="00150E72" w:rsidP="00F87028">
                      <w:pPr>
                        <w:spacing w:line="192" w:lineRule="auto"/>
                        <w:rPr>
                          <w:color w:val="595959" w:themeColor="text1" w:themeTint="A6"/>
                          <w:sz w:val="6"/>
                        </w:rPr>
                      </w:pPr>
                      <w:r w:rsidRPr="00CA0935">
                        <w:rPr>
                          <w:noProof/>
                          <w:color w:val="595959" w:themeColor="text1" w:themeTint="A6"/>
                          <w:sz w:val="16"/>
                          <w:szCs w:val="24"/>
                          <w:lang w:val="en-US" w:eastAsia="zh-CN"/>
                        </w:rPr>
                        <w:t>ЕЭК</w:t>
                      </w:r>
                      <w:r w:rsidRPr="00CA0935">
                        <w:rPr>
                          <w:noProof/>
                          <w:color w:val="595959" w:themeColor="text1" w:themeTint="A6"/>
                          <w:sz w:val="16"/>
                          <w:szCs w:val="24"/>
                          <w:lang w:eastAsia="zh-CN"/>
                        </w:rPr>
                        <w:t> </w:t>
                      </w:r>
                      <w:r w:rsidRPr="00CA0935">
                        <w:rPr>
                          <w:noProof/>
                          <w:color w:val="595959" w:themeColor="text1" w:themeTint="A6"/>
                          <w:sz w:val="16"/>
                          <w:szCs w:val="24"/>
                          <w:lang w:val="en-US" w:eastAsia="zh-CN"/>
                        </w:rPr>
                        <w:t xml:space="preserve">ООН </w:t>
                      </w:r>
                      <w:r>
                        <w:rPr>
                          <w:noProof/>
                          <w:color w:val="595959" w:themeColor="text1" w:themeTint="A6"/>
                          <w:sz w:val="16"/>
                          <w:szCs w:val="24"/>
                          <w:lang w:val="en-US" w:eastAsia="zh-CN"/>
                        </w:rPr>
                        <w:br/>
                      </w:r>
                      <w:r w:rsidRPr="00CA0935">
                        <w:rPr>
                          <w:noProof/>
                          <w:color w:val="595959" w:themeColor="text1" w:themeTint="A6"/>
                          <w:sz w:val="16"/>
                          <w:szCs w:val="24"/>
                          <w:lang w:val="en-US" w:eastAsia="zh-CN"/>
                        </w:rPr>
                        <w:t>в целом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699EF" wp14:editId="197C2810">
                <wp:simplePos x="0" y="0"/>
                <wp:positionH relativeFrom="column">
                  <wp:posOffset>1004349</wp:posOffset>
                </wp:positionH>
                <wp:positionV relativeFrom="paragraph">
                  <wp:posOffset>159743</wp:posOffset>
                </wp:positionV>
                <wp:extent cx="4422913" cy="417443"/>
                <wp:effectExtent l="0" t="0" r="0" b="190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913" cy="417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35EC7C" w14:textId="77777777" w:rsidR="00150E72" w:rsidRPr="00401D81" w:rsidRDefault="00150E72" w:rsidP="00F87028">
                            <w:pPr>
                              <w:suppressAutoHyphens w:val="0"/>
                              <w:spacing w:line="240" w:lineRule="auto"/>
                              <w:jc w:val="center"/>
                              <w:textAlignment w:val="baseline"/>
                              <w:rPr>
                                <w:b/>
                                <w:noProof/>
                                <w:color w:val="595959" w:themeColor="text1" w:themeTint="A6"/>
                                <w:sz w:val="22"/>
                                <w:szCs w:val="24"/>
                                <w:lang w:eastAsia="zh-CN"/>
                              </w:rPr>
                            </w:pPr>
                            <w:r w:rsidRPr="00401D81">
                              <w:rPr>
                                <w:b/>
                                <w:noProof/>
                                <w:color w:val="595959" w:themeColor="text1" w:themeTint="A6"/>
                                <w:sz w:val="22"/>
                                <w:szCs w:val="24"/>
                                <w:lang w:eastAsia="zh-CN"/>
                              </w:rPr>
                              <w:t>Дорожно-транспортные происшествия со смертельным исходом</w:t>
                            </w:r>
                          </w:p>
                          <w:p w14:paraId="7EBE1647" w14:textId="77777777" w:rsidR="00150E72" w:rsidRPr="005C106F" w:rsidRDefault="00150E72" w:rsidP="00F87028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8"/>
                              </w:rPr>
                            </w:pPr>
                            <w:r w:rsidRPr="005C106F">
                              <w:rPr>
                                <w:b/>
                                <w:noProof/>
                                <w:color w:val="595959" w:themeColor="text1" w:themeTint="A6"/>
                                <w:sz w:val="22"/>
                                <w:szCs w:val="24"/>
                                <w:lang w:val="en-US" w:eastAsia="zh-CN"/>
                              </w:rPr>
                              <w:t>Субрегионы ЕЭК, 2000–2017 годы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699EF" id="Надпись 8" o:spid="_x0000_s1030" type="#_x0000_t202" style="position:absolute;left:0;text-align:left;margin-left:79.1pt;margin-top:12.6pt;width:348.25pt;height:3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" fillcolor="white [3201]" stroked="f" strokeweight=".5pt">
                <v:textbox>
                  <w:txbxContent>
                    <w:p w14:paraId="1B35EC7C" w14:textId="77777777" w:rsidR="00150E72" w:rsidRPr="00401D81" w:rsidRDefault="00150E72" w:rsidP="00F87028">
                      <w:pPr>
                        <w:suppressAutoHyphens w:val="0"/>
                        <w:spacing w:line="240" w:lineRule="auto"/>
                        <w:jc w:val="center"/>
                        <w:textAlignment w:val="baseline"/>
                        <w:rPr>
                          <w:b/>
                          <w:noProof/>
                          <w:color w:val="595959" w:themeColor="text1" w:themeTint="A6"/>
                          <w:sz w:val="22"/>
                          <w:szCs w:val="24"/>
                          <w:lang w:eastAsia="zh-CN"/>
                        </w:rPr>
                      </w:pPr>
                      <w:r w:rsidRPr="00401D81">
                        <w:rPr>
                          <w:b/>
                          <w:noProof/>
                          <w:color w:val="595959" w:themeColor="text1" w:themeTint="A6"/>
                          <w:sz w:val="22"/>
                          <w:szCs w:val="24"/>
                          <w:lang w:eastAsia="zh-CN"/>
                        </w:rPr>
                        <w:t>Дорожно-транспортные происшествия со смертельным исходом</w:t>
                      </w:r>
                    </w:p>
                    <w:p w14:paraId="7EBE1647" w14:textId="77777777" w:rsidR="00150E72" w:rsidRPr="005C106F" w:rsidRDefault="00150E72" w:rsidP="00F87028">
                      <w:pPr>
                        <w:jc w:val="center"/>
                        <w:rPr>
                          <w:b/>
                          <w:color w:val="595959" w:themeColor="text1" w:themeTint="A6"/>
                          <w:sz w:val="18"/>
                        </w:rPr>
                      </w:pPr>
                      <w:r w:rsidRPr="005C106F">
                        <w:rPr>
                          <w:b/>
                          <w:noProof/>
                          <w:color w:val="595959" w:themeColor="text1" w:themeTint="A6"/>
                          <w:sz w:val="22"/>
                          <w:szCs w:val="24"/>
                          <w:lang w:val="en-US" w:eastAsia="zh-CN"/>
                        </w:rPr>
                        <w:t>Субрегионы ЕЭК, 2000–2017 годы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zh-CN"/>
        </w:rPr>
        <w:drawing>
          <wp:inline distT="0" distB="0" distL="0" distR="0" wp14:anchorId="4B19B72B" wp14:editId="3494BFCB">
            <wp:extent cx="6022848" cy="26517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848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5450A" w14:textId="77777777" w:rsidR="00F87028" w:rsidRPr="00401D81" w:rsidRDefault="00F87028" w:rsidP="00F87028">
      <w:pPr>
        <w:pStyle w:val="HChG"/>
      </w:pPr>
      <w:r w:rsidRPr="00E609DE">
        <w:tab/>
      </w:r>
      <w:r w:rsidRPr="00342273">
        <w:rPr>
          <w:lang w:val="en-US"/>
        </w:rPr>
        <w:t>IV</w:t>
      </w:r>
      <w:r w:rsidRPr="00401D81">
        <w:t>.</w:t>
      </w:r>
      <w:r w:rsidRPr="00401D81">
        <w:tab/>
        <w:t>Выполнение программы в 2019</w:t>
      </w:r>
      <w:r w:rsidR="007B16A6">
        <w:t xml:space="preserve"> </w:t>
      </w:r>
      <w:r w:rsidRPr="00401D81">
        <w:t>году в сравнении с</w:t>
      </w:r>
      <w:r>
        <w:t> </w:t>
      </w:r>
      <w:r w:rsidRPr="00401D81">
        <w:t>намеченным результатом</w:t>
      </w:r>
    </w:p>
    <w:p w14:paraId="59067C74" w14:textId="77777777" w:rsidR="00F87028" w:rsidRPr="00401D81" w:rsidRDefault="00F87028" w:rsidP="00F87028">
      <w:pPr>
        <w:pStyle w:val="SingleTxtG"/>
        <w:rPr>
          <w:sz w:val="18"/>
          <w:szCs w:val="18"/>
        </w:rPr>
      </w:pPr>
      <w:r w:rsidRPr="00401D81">
        <w:t>10.</w:t>
      </w:r>
      <w:r w:rsidRPr="00401D81">
        <w:tab/>
        <w:t>Запланированный результат на 2019</w:t>
      </w:r>
      <w:r w:rsidR="007B16A6">
        <w:t xml:space="preserve"> </w:t>
      </w:r>
      <w:r w:rsidRPr="00401D81">
        <w:t>год, а именно «Укрепление нормативно-правовой базы международных наземных перевозок, транспортной инфраструктуры, упрощения процедур пересечения границ, перевозки опасных грузов, конструкции транспортных средств и других транспортных услуг», о котором говорится в предлагаемом бюджете по программам на двухгодичный период 2018–2019</w:t>
      </w:r>
      <w:r>
        <w:t> </w:t>
      </w:r>
      <w:r w:rsidRPr="00401D81">
        <w:t xml:space="preserve">годов, был достигнут, о чем свидетельствуют: </w:t>
      </w:r>
      <w:r w:rsidRPr="008A51D0">
        <w:rPr>
          <w:lang w:val="en-US"/>
        </w:rPr>
        <w:t>a</w:t>
      </w:r>
      <w:r w:rsidRPr="00401D81">
        <w:t>)</w:t>
      </w:r>
      <w:r w:rsidR="007B16A6">
        <w:t xml:space="preserve"> </w:t>
      </w:r>
      <w:r w:rsidRPr="00401D81">
        <w:t>149</w:t>
      </w:r>
      <w:r w:rsidR="007B16A6">
        <w:t xml:space="preserve"> </w:t>
      </w:r>
      <w:r w:rsidRPr="00401D81">
        <w:t>принятых новых правил в области транспортных средств и поправок к ним. Эти нормативные изменения имеют обязательную юридическую силу и затрагивают производство транспортных средств по всему миру, оказывая таким образом непосредственное воздействие на безопасность дорожного движения и состояние окружающей среды. О глобальном использовании этих правил расширенным автомобильным сектором (правительствами, межправительственными организациями (МПО), неправительственными организациями (НПО), промышленностью и научными кругами) свидетельствует 3,94</w:t>
      </w:r>
      <w:r>
        <w:t> </w:t>
      </w:r>
      <w:r w:rsidRPr="00401D81">
        <w:t>млн поисковых запросов, что эквивалентно 10</w:t>
      </w:r>
      <w:r>
        <w:t> </w:t>
      </w:r>
      <w:r w:rsidRPr="00401D81">
        <w:t>800</w:t>
      </w:r>
      <w:r>
        <w:t> </w:t>
      </w:r>
      <w:r w:rsidRPr="00401D81">
        <w:t>посетителям веб-сайта в день, в результате чего ежегодно загружается 340</w:t>
      </w:r>
      <w:r>
        <w:t> </w:t>
      </w:r>
      <w:r w:rsidRPr="00401D81">
        <w:t>000</w:t>
      </w:r>
      <w:r>
        <w:t> </w:t>
      </w:r>
      <w:r w:rsidRPr="00401D81">
        <w:t xml:space="preserve">документов (правила ООН или глобальные технические правила ООН); </w:t>
      </w:r>
      <w:r w:rsidRPr="008A51D0">
        <w:rPr>
          <w:lang w:val="en-US"/>
        </w:rPr>
        <w:t>b</w:t>
      </w:r>
      <w:r w:rsidRPr="00401D81">
        <w:t>)</w:t>
      </w:r>
      <w:r>
        <w:t> </w:t>
      </w:r>
      <w:r w:rsidRPr="00401D81">
        <w:t>шесть международно-правовых документов, приведенных в соответствие с последним пересмотренным изданием Рекомендаций ООН по перевозке опасных грузов. Оказываемое воздействие иллюстрирует Европейское соглашение о международной дорожной перевозке опасных грузов (ДОПОГ), которое регулирует транснациональные перевозки опасных грузов, обеспечивая тем самым их безопасность. Широкое использование ДОПОГ подтверждается тем фактом, что издание ДОПОГ дает примерно 18% общего дохода от публикаций Организации Объединенных Наций, достигая примерно 1</w:t>
      </w:r>
      <w:r>
        <w:t> </w:t>
      </w:r>
      <w:r w:rsidRPr="00401D81">
        <w:t>млн</w:t>
      </w:r>
      <w:r>
        <w:t> </w:t>
      </w:r>
      <w:r w:rsidRPr="00401D81">
        <w:t>долл.</w:t>
      </w:r>
      <w:r>
        <w:t> </w:t>
      </w:r>
      <w:r w:rsidRPr="00401D81">
        <w:t xml:space="preserve">США за </w:t>
      </w:r>
      <w:bookmarkStart w:id="2" w:name="_Hlk28853613"/>
      <w:r w:rsidRPr="00401D81">
        <w:t>издание</w:t>
      </w:r>
      <w:bookmarkEnd w:id="2"/>
      <w:r w:rsidRPr="00401D81">
        <w:t>.</w:t>
      </w:r>
    </w:p>
    <w:p w14:paraId="68E15697" w14:textId="77777777" w:rsidR="00F87028" w:rsidRPr="00401D81" w:rsidRDefault="00F87028" w:rsidP="00F87028">
      <w:pPr>
        <w:pStyle w:val="HChG"/>
      </w:pPr>
      <w:r w:rsidRPr="00401D81">
        <w:lastRenderedPageBreak/>
        <w:tab/>
      </w:r>
      <w:r w:rsidRPr="00342273">
        <w:rPr>
          <w:lang w:val="en-US"/>
        </w:rPr>
        <w:t>V</w:t>
      </w:r>
      <w:r w:rsidRPr="00401D81">
        <w:t>.</w:t>
      </w:r>
      <w:r w:rsidRPr="00401D81">
        <w:tab/>
        <w:t>План по программам на 2021</w:t>
      </w:r>
      <w:r>
        <w:t> </w:t>
      </w:r>
      <w:r w:rsidRPr="00401D81">
        <w:t>год: совершенствование нормативно-правовой базы, регулирующей более безопасные, экологически чистые и эффективные системы внутреннего транспорта</w:t>
      </w:r>
    </w:p>
    <w:p w14:paraId="27C3C0A4" w14:textId="77777777" w:rsidR="00F87028" w:rsidRPr="00401D81" w:rsidRDefault="00F87028" w:rsidP="00F87028">
      <w:pPr>
        <w:pStyle w:val="SingleTxtG"/>
        <w:rPr>
          <w:sz w:val="18"/>
          <w:szCs w:val="18"/>
        </w:rPr>
      </w:pPr>
      <w:r w:rsidRPr="00401D81">
        <w:t>11.</w:t>
      </w:r>
      <w:r w:rsidRPr="00401D81">
        <w:tab/>
        <w:t>В выводах Доклада о Целях в области устойчивого развития за 2017</w:t>
      </w:r>
      <w:r>
        <w:t> </w:t>
      </w:r>
      <w:r w:rsidRPr="00401D81">
        <w:t>год отмечается, что, несмотря на значительный прогресс, достигнутый за последнее десятилетие во всех областях развития, прогресс недостаточен для полного выполнения поставленных задач, предусмотренных Целями устойчивого развития, к 2030</w:t>
      </w:r>
      <w:r>
        <w:t> </w:t>
      </w:r>
      <w:r w:rsidRPr="00401D81">
        <w:t>году. Наглядной иллюстрацией является безопасность дорожного движения: в</w:t>
      </w:r>
      <w:r>
        <w:t> </w:t>
      </w:r>
      <w:r w:rsidRPr="00401D81">
        <w:t>2018</w:t>
      </w:r>
      <w:r>
        <w:t> </w:t>
      </w:r>
      <w:r w:rsidRPr="00401D81">
        <w:t>году Генеральная Ассамблея пришла к выводу, что задача</w:t>
      </w:r>
      <w:r>
        <w:t> </w:t>
      </w:r>
      <w:r w:rsidRPr="00401D81">
        <w:t>3.6 целей в области устойчивого развития – к 2020</w:t>
      </w:r>
      <w:r>
        <w:t> </w:t>
      </w:r>
      <w:r w:rsidRPr="00401D81">
        <w:t>году вдвое сократить во всем мире число смертей и травм в результате дорожно-транспортных происшествий – не будет выполнена. Несмотря на глобальные усилия, включая общие улучшения в регионе ЕЭК, факты свидетельствуют о том, что задача</w:t>
      </w:r>
      <w:r>
        <w:t> </w:t>
      </w:r>
      <w:r w:rsidRPr="00401D81">
        <w:t>3.6 действительно не будет решена в глобальном масштабе.</w:t>
      </w:r>
    </w:p>
    <w:p w14:paraId="1BC208A1" w14:textId="77777777" w:rsidR="00F87028" w:rsidRPr="00401D81" w:rsidRDefault="00F87028" w:rsidP="00F87028">
      <w:pPr>
        <w:pStyle w:val="H4G"/>
        <w:rPr>
          <w:lang w:eastAsia="zh-CN"/>
        </w:rPr>
      </w:pPr>
      <w:r w:rsidRPr="00401D81">
        <w:rPr>
          <w:lang w:eastAsia="zh-CN"/>
        </w:rPr>
        <w:tab/>
      </w:r>
      <w:r w:rsidRPr="00401D81">
        <w:rPr>
          <w:lang w:eastAsia="zh-CN"/>
        </w:rPr>
        <w:tab/>
        <w:t>Внутренний вызов и реагирование на него</w:t>
      </w:r>
    </w:p>
    <w:p w14:paraId="7DD1D30A" w14:textId="77777777" w:rsidR="00F87028" w:rsidRPr="00401D81" w:rsidRDefault="00F87028" w:rsidP="00F87028">
      <w:pPr>
        <w:pStyle w:val="SingleTxtG"/>
      </w:pPr>
      <w:r w:rsidRPr="00401D81">
        <w:t>12.</w:t>
      </w:r>
      <w:r w:rsidRPr="00401D81">
        <w:tab/>
        <w:t>Вызов для этой подпрограммы заключается в том, чтобы ускорить расширение ее географического охвата и активизировать усилия, нацеленные на то, чтобы осуществляемые в ее рамках мероприятия приносили дополнительную пользу другим регионам в их собственных усилиях по следующим направлениям: снизить уровень смертности на дорогах, составляющий 1,35</w:t>
      </w:r>
      <w:r>
        <w:t> </w:t>
      </w:r>
      <w:r w:rsidRPr="00401D81">
        <w:t xml:space="preserve">млн человек в год; повысить экологичность систем внутреннего транспорта, в том числе в области перевозок скоропортящихся пищевых продуктов; и повысить эффективность и стыкуемость, в том числе благодаря внедрению цифровых технологий и переходу на электронный документооборот на транспорте. В рамках подпрограммы предполагается осуществить эти планы в рамках реализации </w:t>
      </w:r>
      <w:r w:rsidRPr="00401D81">
        <w:rPr>
          <w:i/>
        </w:rPr>
        <w:t xml:space="preserve">Стратегии </w:t>
      </w:r>
      <w:bookmarkStart w:id="3" w:name="_Hlk28858248"/>
      <w:r w:rsidRPr="00401D81">
        <w:rPr>
          <w:i/>
        </w:rPr>
        <w:t xml:space="preserve">КВТ </w:t>
      </w:r>
      <w:bookmarkEnd w:id="3"/>
      <w:r w:rsidRPr="00401D81">
        <w:rPr>
          <w:i/>
        </w:rPr>
        <w:t>на период до 2030</w:t>
      </w:r>
      <w:r w:rsidRPr="008C1C3B">
        <w:rPr>
          <w:i/>
        </w:rPr>
        <w:t> </w:t>
      </w:r>
      <w:r w:rsidRPr="00401D81">
        <w:rPr>
          <w:i/>
        </w:rPr>
        <w:t>года</w:t>
      </w:r>
      <w:r w:rsidRPr="00401D81">
        <w:t>, принятой в 2019</w:t>
      </w:r>
      <w:r>
        <w:t> </w:t>
      </w:r>
      <w:r w:rsidRPr="00401D81">
        <w:t>году, путем, среди прочего, поощрения участия стран, расположенных за пределами региона ЕЭК</w:t>
      </w:r>
      <w:r>
        <w:t> </w:t>
      </w:r>
      <w:r w:rsidRPr="00401D81">
        <w:t xml:space="preserve">ООН, в деятельности КВТ и его вспомогательных органов расширения масштабов информационно-просветительской деятельности и деятельности по наращиванию потенциала, в том числе посредством налаживания партнерских связей с учреждениями системы Организации Объединенных Наций и внешними заинтересованными сторонами, а также участия в региональных и глобальных инициативах. В то же время подпрограмма сталкивается с вызовами в области ресурсов, связанных и не связанных с должностями, для удовлетворения новых потребностей государств-членов, включая: </w:t>
      </w:r>
      <w:r w:rsidRPr="0080008D">
        <w:rPr>
          <w:lang w:val="en-US"/>
        </w:rPr>
        <w:t>a</w:t>
      </w:r>
      <w:r w:rsidRPr="00401D81">
        <w:t>)</w:t>
      </w:r>
      <w:r w:rsidR="007B16A6">
        <w:t xml:space="preserve"> </w:t>
      </w:r>
      <w:r w:rsidRPr="00401D81">
        <w:t xml:space="preserve">новые возникающие области, такие как нормативно-правовая работа в области автоматизированных/автономных транспортных средств, цифровизации и интеллектуальных транспортных систем; </w:t>
      </w:r>
      <w:r w:rsidRPr="0080008D">
        <w:rPr>
          <w:lang w:val="en-US"/>
        </w:rPr>
        <w:t>b</w:t>
      </w:r>
      <w:r w:rsidRPr="00401D81">
        <w:t>)</w:t>
      </w:r>
      <w:r w:rsidR="007B16A6">
        <w:t xml:space="preserve"> </w:t>
      </w:r>
      <w:r w:rsidRPr="00401D81">
        <w:t xml:space="preserve">серьезный вызов в области безопасности дорожного движения, который требует от подпрограммы активизации ее международной нормативно-правовой работы и оказания государствам-членам помощи в осуществлении правовых документов Организации Объединенных Наций; </w:t>
      </w:r>
      <w:r w:rsidRPr="0080008D">
        <w:rPr>
          <w:lang w:val="en-US"/>
        </w:rPr>
        <w:t>c</w:t>
      </w:r>
      <w:r w:rsidRPr="00401D81">
        <w:t>)</w:t>
      </w:r>
      <w:r>
        <w:t> </w:t>
      </w:r>
      <w:r w:rsidRPr="00401D81">
        <w:t xml:space="preserve">техническую поддержку Специального посланника Генерального секретаря по безопасности дорожного движения и Фонда безопасности дорожного движения Организации Объединенных Наций; </w:t>
      </w:r>
      <w:r w:rsidRPr="0080008D">
        <w:rPr>
          <w:lang w:val="en-US"/>
        </w:rPr>
        <w:t>d</w:t>
      </w:r>
      <w:r w:rsidRPr="00401D81">
        <w:t>)</w:t>
      </w:r>
      <w:r w:rsidR="007B16A6">
        <w:t xml:space="preserve"> </w:t>
      </w:r>
      <w:r w:rsidRPr="00401D81">
        <w:t>постоянно растущее число потенциальных, новых и существующих Договаривающихся сторон, чьи растущие потребности в поддержке в период присоединения к правовым документам и/или осуществления правовых документов, находящихся в ведении этой подпрограммы, нуждаются в обслуживании.</w:t>
      </w:r>
    </w:p>
    <w:p w14:paraId="759A1C91" w14:textId="77777777" w:rsidR="00F87028" w:rsidRPr="00401D81" w:rsidRDefault="00F87028" w:rsidP="00F87028">
      <w:pPr>
        <w:pStyle w:val="H4G"/>
        <w:rPr>
          <w:lang w:eastAsia="zh-CN"/>
        </w:rPr>
      </w:pPr>
      <w:r w:rsidRPr="00401D81">
        <w:rPr>
          <w:lang w:eastAsia="zh-CN"/>
        </w:rPr>
        <w:tab/>
      </w:r>
      <w:r w:rsidRPr="00401D81">
        <w:rPr>
          <w:lang w:eastAsia="zh-CN"/>
        </w:rPr>
        <w:tab/>
        <w:t>Ожидаемый прогресс в достижении цели и показатели результативности</w:t>
      </w:r>
    </w:p>
    <w:p w14:paraId="3446E348" w14:textId="77777777" w:rsidR="00F87028" w:rsidRPr="00401D81" w:rsidRDefault="00F87028" w:rsidP="00F87028">
      <w:pPr>
        <w:pStyle w:val="SingleTxtG"/>
        <w:rPr>
          <w:sz w:val="18"/>
          <w:szCs w:val="18"/>
        </w:rPr>
      </w:pPr>
      <w:r w:rsidRPr="00401D81">
        <w:t>13.</w:t>
      </w:r>
      <w:r w:rsidRPr="00401D81">
        <w:tab/>
        <w:t xml:space="preserve">Данные свидетельствуют о том, что страны, присоединившиеся к большему числу конвенций и соглашений, демонстрируют, к примеру, более высокие показатели безопасности дорожного движения благодаря юридически обязательному характеру и разработанным передовым методам применения этого правового документа, которые, в свою очередь, вызывают благоприятные изменения на национальном уровне. </w:t>
      </w:r>
      <w:r w:rsidR="007B16A6">
        <w:br/>
      </w:r>
      <w:r w:rsidRPr="00401D81">
        <w:lastRenderedPageBreak/>
        <w:t>При их агрегировании присоединения отдельных стран создают более согласованную на национальном и международном уровнях нормативно-правовую базу, которая способствует развитию устойчивых внутренних транспортных систем. Как показано на рисунке, общее число Договаривающихся сторон (1</w:t>
      </w:r>
      <w:r>
        <w:t> </w:t>
      </w:r>
      <w:r w:rsidRPr="00401D81">
        <w:t>764) правовых документов Организации Объединенных Наций, входящих в сферу охвата данной подпрограммы, достигло достойного уровня и постоянно растет. Однако оно остается недостаточным по сравнению с потребностью в более высокой степени унификации и в устойчивых системах внутреннего транспорта. Таким образом, ожидаемым результатом усиления роли подпрограммы в оказании поддержки развитию устойчивых систем внутреннего транспорта на международном уровне станет укрепление нормативно-правовой базы для устойчивого внутреннего транспорта. Подтверждением достижения этого результата будет присоединение новых стран из разных регионов мира к конвенциям и соглашениям, в особенности стран, расположенных за пределами региона ЕЭК. Как</w:t>
      </w:r>
      <w:r>
        <w:t> </w:t>
      </w:r>
      <w:r w:rsidRPr="00401D81">
        <w:t>показано на рисунке, в 2019</w:t>
      </w:r>
      <w:r w:rsidR="001540BC">
        <w:t xml:space="preserve"> </w:t>
      </w:r>
      <w:r w:rsidRPr="00401D81">
        <w:t>году 148</w:t>
      </w:r>
      <w:r w:rsidR="001540BC">
        <w:t xml:space="preserve"> </w:t>
      </w:r>
      <w:r w:rsidRPr="00401D81">
        <w:t>государств – членов Организации Объединенных Наций, в том числе 92</w:t>
      </w:r>
      <w:r w:rsidR="001540BC">
        <w:t xml:space="preserve"> </w:t>
      </w:r>
      <w:r w:rsidRPr="00401D81">
        <w:t>государства, не являющиеся членами ЕЭК, являлись Договаривающимися сторонами по крайней мере одной конвенции, находящейся в ведении данной подпрограммы. В 2018</w:t>
      </w:r>
      <w:r w:rsidR="001540BC">
        <w:t xml:space="preserve"> </w:t>
      </w:r>
      <w:r w:rsidRPr="00401D81">
        <w:t>году Кабо-Верде и Оман впервые стали Договаривающимися сторонами, присоединившись соответственно к конвенциям по безопасности дорожного движения и об облегчении пересечения границ. В том же году Нигерия стала Договаривающейся стороной пяти основных конвенций Организации Объединенных Наций по безопасности дорожного движения. В</w:t>
      </w:r>
      <w:r w:rsidR="001540BC">
        <w:t xml:space="preserve"> </w:t>
      </w:r>
      <w:r w:rsidRPr="00401D81">
        <w:t>2019</w:t>
      </w:r>
      <w:r w:rsidR="001540BC">
        <w:t xml:space="preserve"> </w:t>
      </w:r>
      <w:r w:rsidRPr="00401D81">
        <w:t>году Мьянма впервые стала Договаривающейся стороной, присоединившись к двум основным конвенциям по безопасности дорожного движения. Ожидаемый результат будет свидетельствовать о достигнутом в 2021</w:t>
      </w:r>
      <w:r w:rsidR="001540BC">
        <w:t xml:space="preserve"> </w:t>
      </w:r>
      <w:r w:rsidRPr="00401D81">
        <w:t>году прогрессе в коллективном достижении цели подпрограммы.</w:t>
      </w:r>
    </w:p>
    <w:p w14:paraId="1E8A1DB2" w14:textId="77777777" w:rsidR="00F87028" w:rsidRDefault="00F87028" w:rsidP="00F87028">
      <w:pPr>
        <w:pStyle w:val="H4G"/>
        <w:rPr>
          <w:lang w:eastAsia="zh-CN"/>
        </w:rPr>
      </w:pPr>
      <w:r w:rsidRPr="00401D81">
        <w:rPr>
          <w:lang w:eastAsia="zh-CN"/>
        </w:rPr>
        <w:tab/>
      </w:r>
      <w:r w:rsidRPr="00401D81">
        <w:rPr>
          <w:lang w:eastAsia="zh-CN"/>
        </w:rPr>
        <w:tab/>
      </w:r>
      <w:r w:rsidRPr="003B44DA">
        <w:rPr>
          <w:lang w:eastAsia="zh-CN"/>
        </w:rPr>
        <w:t>Показатели результативности</w:t>
      </w:r>
    </w:p>
    <w:p w14:paraId="33A1F5A7" w14:textId="77777777" w:rsidR="00F87028" w:rsidRDefault="00F87028" w:rsidP="00F87028">
      <w:pPr>
        <w:ind w:firstLine="993"/>
        <w:rPr>
          <w:lang w:eastAsia="zh-CN"/>
        </w:rPr>
      </w:pPr>
      <w:r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E9A0C" wp14:editId="7EB8AD40">
                <wp:simplePos x="0" y="0"/>
                <wp:positionH relativeFrom="column">
                  <wp:posOffset>1691640</wp:posOffset>
                </wp:positionH>
                <wp:positionV relativeFrom="paragraph">
                  <wp:posOffset>2442845</wp:posOffset>
                </wp:positionV>
                <wp:extent cx="3289300" cy="198755"/>
                <wp:effectExtent l="0" t="0" r="635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87103F" w14:textId="77777777" w:rsidR="00150E72" w:rsidRPr="00401D81" w:rsidRDefault="00150E72" w:rsidP="00F87028">
                            <w:pPr>
                              <w:spacing w:line="192" w:lineRule="auto"/>
                              <w:rPr>
                                <w:color w:val="595959" w:themeColor="text1" w:themeTint="A6"/>
                                <w:sz w:val="8"/>
                              </w:rPr>
                            </w:pPr>
                            <w:r w:rsidRPr="00401D81">
                              <w:rPr>
                                <w:noProof/>
                                <w:color w:val="595959" w:themeColor="text1" w:themeTint="A6"/>
                                <w:sz w:val="18"/>
                                <w:szCs w:val="24"/>
                                <w:lang w:eastAsia="zh-CN"/>
                              </w:rPr>
                              <w:t>Общее число Договаривающихся сторон всех конвенций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E9A0C" id="Надпись 15" o:spid="_x0000_s1031" type="#_x0000_t202" style="position:absolute;left:0;text-align:left;margin-left:133.2pt;margin-top:192.35pt;width:259pt;height: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" fillcolor="white [3201]" stroked="f" strokeweight=".5pt">
                <v:textbox inset="0,0,0,0">
                  <w:txbxContent>
                    <w:p w14:paraId="3787103F" w14:textId="77777777" w:rsidR="00150E72" w:rsidRPr="00401D81" w:rsidRDefault="00150E72" w:rsidP="00F87028">
                      <w:pPr>
                        <w:spacing w:line="192" w:lineRule="auto"/>
                        <w:rPr>
                          <w:color w:val="595959" w:themeColor="text1" w:themeTint="A6"/>
                          <w:sz w:val="8"/>
                        </w:rPr>
                      </w:pPr>
                      <w:r w:rsidRPr="00401D81">
                        <w:rPr>
                          <w:noProof/>
                          <w:color w:val="595959" w:themeColor="text1" w:themeTint="A6"/>
                          <w:sz w:val="18"/>
                          <w:szCs w:val="24"/>
                          <w:lang w:eastAsia="zh-CN"/>
                        </w:rPr>
                        <w:t>Общее число Договаривающихся сторон всех конвенций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DB69DD" wp14:editId="3578EF45">
                <wp:simplePos x="0" y="0"/>
                <wp:positionH relativeFrom="column">
                  <wp:posOffset>1682640</wp:posOffset>
                </wp:positionH>
                <wp:positionV relativeFrom="paragraph">
                  <wp:posOffset>2666365</wp:posOffset>
                </wp:positionV>
                <wp:extent cx="3438525" cy="158750"/>
                <wp:effectExtent l="0" t="0" r="9525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35B671" w14:textId="77777777" w:rsidR="00150E72" w:rsidRPr="00401D81" w:rsidRDefault="00150E72" w:rsidP="00F87028">
                            <w:pPr>
                              <w:spacing w:line="192" w:lineRule="auto"/>
                              <w:rPr>
                                <w:color w:val="595959" w:themeColor="text1" w:themeTint="A6"/>
                                <w:sz w:val="8"/>
                              </w:rPr>
                            </w:pPr>
                            <w:r w:rsidRPr="00401D81">
                              <w:rPr>
                                <w:noProof/>
                                <w:color w:val="595959" w:themeColor="text1" w:themeTint="A6"/>
                                <w:sz w:val="18"/>
                                <w:szCs w:val="24"/>
                                <w:lang w:eastAsia="zh-CN"/>
                              </w:rPr>
                              <w:t>Число Договаривающихся сторон, из 193 государств – членов ООН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B69DD" id="Надпись 16" o:spid="_x0000_s1032" type="#_x0000_t202" style="position:absolute;left:0;text-align:left;margin-left:132.5pt;margin-top:209.95pt;width:270.7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" fillcolor="white [3201]" stroked="f" strokeweight=".5pt">
                <v:textbox inset="0,0,0,0">
                  <w:txbxContent>
                    <w:p w14:paraId="0235B671" w14:textId="77777777" w:rsidR="00150E72" w:rsidRPr="00401D81" w:rsidRDefault="00150E72" w:rsidP="00F87028">
                      <w:pPr>
                        <w:spacing w:line="192" w:lineRule="auto"/>
                        <w:rPr>
                          <w:color w:val="595959" w:themeColor="text1" w:themeTint="A6"/>
                          <w:sz w:val="8"/>
                        </w:rPr>
                      </w:pPr>
                      <w:r w:rsidRPr="00401D81">
                        <w:rPr>
                          <w:noProof/>
                          <w:color w:val="595959" w:themeColor="text1" w:themeTint="A6"/>
                          <w:sz w:val="18"/>
                          <w:szCs w:val="24"/>
                          <w:lang w:eastAsia="zh-CN"/>
                        </w:rPr>
                        <w:t>Число Договаривающихся сторон, из 193 государств – членов ООН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7FF571" wp14:editId="76F7E5E9">
                <wp:simplePos x="0" y="0"/>
                <wp:positionH relativeFrom="column">
                  <wp:posOffset>691267</wp:posOffset>
                </wp:positionH>
                <wp:positionV relativeFrom="paragraph">
                  <wp:posOffset>76918</wp:posOffset>
                </wp:positionV>
                <wp:extent cx="4691269" cy="501926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269" cy="501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831550" w14:textId="3ED8FAE1" w:rsidR="00150E72" w:rsidRPr="00401D81" w:rsidRDefault="00150E72" w:rsidP="00F87028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18"/>
                              </w:rPr>
                            </w:pPr>
                            <w:r w:rsidRPr="00401D81">
                              <w:rPr>
                                <w:b/>
                                <w:noProof/>
                                <w:color w:val="595959" w:themeColor="text1" w:themeTint="A6"/>
                                <w:sz w:val="22"/>
                                <w:szCs w:val="24"/>
                                <w:lang w:eastAsia="zh-CN"/>
                              </w:rPr>
                              <w:t xml:space="preserve">Договаривающиеся стороны конвенций </w:t>
                            </w:r>
                            <w:r>
                              <w:rPr>
                                <w:b/>
                                <w:noProof/>
                                <w:color w:val="595959" w:themeColor="text1" w:themeTint="A6"/>
                                <w:sz w:val="22"/>
                                <w:szCs w:val="24"/>
                                <w:lang w:eastAsia="zh-CN"/>
                              </w:rPr>
                              <w:br/>
                            </w:r>
                            <w:r w:rsidRPr="00401D81">
                              <w:rPr>
                                <w:b/>
                                <w:noProof/>
                                <w:color w:val="595959" w:themeColor="text1" w:themeTint="A6"/>
                                <w:sz w:val="22"/>
                                <w:szCs w:val="24"/>
                                <w:lang w:eastAsia="zh-CN"/>
                              </w:rPr>
                              <w:t xml:space="preserve">Организации Объединенных Наций по внутреннему транспорту, </w:t>
                            </w:r>
                            <w:r>
                              <w:rPr>
                                <w:b/>
                                <w:noProof/>
                                <w:color w:val="595959" w:themeColor="text1" w:themeTint="A6"/>
                                <w:sz w:val="22"/>
                                <w:szCs w:val="24"/>
                                <w:lang w:eastAsia="zh-CN"/>
                              </w:rPr>
                              <w:br/>
                            </w:r>
                            <w:r w:rsidRPr="00401D81">
                              <w:rPr>
                                <w:b/>
                                <w:noProof/>
                                <w:color w:val="595959" w:themeColor="text1" w:themeTint="A6"/>
                                <w:sz w:val="22"/>
                                <w:szCs w:val="24"/>
                                <w:lang w:eastAsia="zh-CN"/>
                              </w:rPr>
                              <w:t>относящихся к сфере компетенции ЕЭК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FF571" id="Надпись 14" o:spid="_x0000_s1033" type="#_x0000_t202" style="position:absolute;left:0;text-align:left;margin-left:54.45pt;margin-top:6.05pt;width:369.4pt;height: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" fillcolor="white [3201]" stroked="f" strokeweight=".5pt">
                <v:textbox inset="0,0,0,0">
                  <w:txbxContent>
                    <w:p w14:paraId="0A831550" w14:textId="3ED8FAE1" w:rsidR="00150E72" w:rsidRPr="00401D81" w:rsidRDefault="00150E72" w:rsidP="00F87028">
                      <w:pPr>
                        <w:jc w:val="center"/>
                        <w:rPr>
                          <w:b/>
                          <w:color w:val="595959" w:themeColor="text1" w:themeTint="A6"/>
                          <w:sz w:val="18"/>
                        </w:rPr>
                      </w:pPr>
                      <w:r w:rsidRPr="00401D81">
                        <w:rPr>
                          <w:b/>
                          <w:noProof/>
                          <w:color w:val="595959" w:themeColor="text1" w:themeTint="A6"/>
                          <w:sz w:val="22"/>
                          <w:szCs w:val="24"/>
                          <w:lang w:eastAsia="zh-CN"/>
                        </w:rPr>
                        <w:t xml:space="preserve">Договаривающиеся стороны конвенций </w:t>
                      </w:r>
                      <w:r>
                        <w:rPr>
                          <w:b/>
                          <w:noProof/>
                          <w:color w:val="595959" w:themeColor="text1" w:themeTint="A6"/>
                          <w:sz w:val="22"/>
                          <w:szCs w:val="24"/>
                          <w:lang w:eastAsia="zh-CN"/>
                        </w:rPr>
                        <w:br/>
                      </w:r>
                      <w:r w:rsidRPr="00401D81">
                        <w:rPr>
                          <w:b/>
                          <w:noProof/>
                          <w:color w:val="595959" w:themeColor="text1" w:themeTint="A6"/>
                          <w:sz w:val="22"/>
                          <w:szCs w:val="24"/>
                          <w:lang w:eastAsia="zh-CN"/>
                        </w:rPr>
                        <w:t xml:space="preserve">Организации Объединенных Наций по внутреннему транспорту, </w:t>
                      </w:r>
                      <w:r>
                        <w:rPr>
                          <w:b/>
                          <w:noProof/>
                          <w:color w:val="595959" w:themeColor="text1" w:themeTint="A6"/>
                          <w:sz w:val="22"/>
                          <w:szCs w:val="24"/>
                          <w:lang w:eastAsia="zh-CN"/>
                        </w:rPr>
                        <w:br/>
                      </w:r>
                      <w:r w:rsidRPr="00401D81">
                        <w:rPr>
                          <w:b/>
                          <w:noProof/>
                          <w:color w:val="595959" w:themeColor="text1" w:themeTint="A6"/>
                          <w:sz w:val="22"/>
                          <w:szCs w:val="24"/>
                          <w:lang w:eastAsia="zh-CN"/>
                        </w:rPr>
                        <w:t>относящихся к сфере компетенции ЕЭК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F3C1136" wp14:editId="5E6CF7F1">
            <wp:extent cx="4815508" cy="2894427"/>
            <wp:effectExtent l="0" t="0" r="4445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953" cy="2907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59E627" w14:textId="77777777" w:rsidR="00F87028" w:rsidRPr="00401D81" w:rsidRDefault="00F87028" w:rsidP="00F87028">
      <w:pPr>
        <w:pStyle w:val="HChG"/>
      </w:pPr>
      <w:r w:rsidRPr="000A7CAD">
        <w:tab/>
      </w:r>
      <w:r>
        <w:t>VI</w:t>
      </w:r>
      <w:r w:rsidRPr="00401D81">
        <w:t>.</w:t>
      </w:r>
      <w:r w:rsidRPr="00401D81">
        <w:tab/>
      </w:r>
      <w:r w:rsidRPr="00401D81">
        <w:rPr>
          <w:bCs/>
        </w:rPr>
        <w:t>Решения директивных органов</w:t>
      </w:r>
    </w:p>
    <w:p w14:paraId="7EDF41E0" w14:textId="77777777" w:rsidR="00F87028" w:rsidRPr="00C324F8" w:rsidRDefault="00F87028" w:rsidP="00F87028">
      <w:pPr>
        <w:pStyle w:val="SingleTxtG"/>
        <w:rPr>
          <w:i/>
          <w:iCs/>
        </w:rPr>
      </w:pPr>
      <w:r w:rsidRPr="00401D81">
        <w:t>14.</w:t>
      </w:r>
      <w:r w:rsidRPr="00401D81">
        <w:tab/>
        <w:t xml:space="preserve">Работа в рамках данной подпрограммы по-прежнему осуществляется в соответствии со всеми предоставленными ей мандатами. </w:t>
      </w:r>
      <w:r w:rsidRPr="008B4B5C">
        <w:t xml:space="preserve">Ниже приводится перечень </w:t>
      </w:r>
      <w:r>
        <w:t xml:space="preserve">решений </w:t>
      </w:r>
      <w:r w:rsidRPr="008B4B5C">
        <w:t xml:space="preserve">директивных </w:t>
      </w:r>
      <w:r w:rsidRPr="0023064D">
        <w:t>органов</w:t>
      </w:r>
      <w:r w:rsidRPr="008B4B5C">
        <w:t>:</w:t>
      </w:r>
    </w:p>
    <w:p w14:paraId="55EF3B2A" w14:textId="77777777" w:rsidR="00CF4C7A" w:rsidRDefault="00CF4C7A">
      <w:r>
        <w:br w:type="page"/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386"/>
      </w:tblGrid>
      <w:tr w:rsidR="00F87028" w:rsidRPr="005935F0" w14:paraId="66A7C094" w14:textId="77777777" w:rsidTr="00496931">
        <w:tc>
          <w:tcPr>
            <w:tcW w:w="7371" w:type="dxa"/>
            <w:gridSpan w:val="2"/>
            <w:shd w:val="clear" w:color="auto" w:fill="auto"/>
          </w:tcPr>
          <w:p w14:paraId="55BD9FC9" w14:textId="77777777" w:rsidR="00F87028" w:rsidRPr="005935F0" w:rsidRDefault="00F87028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  <w:jc w:val="both"/>
            </w:pPr>
            <w:r>
              <w:rPr>
                <w:i/>
                <w:iCs/>
              </w:rPr>
              <w:lastRenderedPageBreak/>
              <w:t>Резолюции Генеральной Ассамблеи</w:t>
            </w:r>
          </w:p>
        </w:tc>
      </w:tr>
      <w:bookmarkStart w:id="4" w:name="_Hlk28938014"/>
      <w:tr w:rsidR="00F87028" w:rsidRPr="002814C7" w14:paraId="585383AC" w14:textId="77777777" w:rsidTr="00496931">
        <w:tc>
          <w:tcPr>
            <w:tcW w:w="1985" w:type="dxa"/>
            <w:shd w:val="clear" w:color="auto" w:fill="auto"/>
          </w:tcPr>
          <w:p w14:paraId="4C93D072" w14:textId="77777777" w:rsidR="00F87028" w:rsidRPr="00A12E2C" w:rsidRDefault="00F87028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  <w:jc w:val="both"/>
              <w:rPr>
                <w:color w:val="0000FF" w:themeColor="hyperlink"/>
              </w:rPr>
            </w:pPr>
            <w:r w:rsidRPr="00A12E2C">
              <w:rPr>
                <w:color w:val="0000FF" w:themeColor="hyperlink"/>
              </w:rPr>
              <w:fldChar w:fldCharType="begin"/>
            </w:r>
            <w:r w:rsidRPr="00A12E2C">
              <w:rPr>
                <w:color w:val="0000FF" w:themeColor="hyperlink"/>
              </w:rPr>
              <w:instrText>HYPERLINK "https://undocs.org/ru/A/RES/58/9"</w:instrText>
            </w:r>
            <w:r w:rsidRPr="00A12E2C">
              <w:rPr>
                <w:color w:val="0000FF" w:themeColor="hyperlink"/>
              </w:rPr>
              <w:fldChar w:fldCharType="separate"/>
            </w:r>
            <w:r w:rsidRPr="00A12E2C">
              <w:rPr>
                <w:color w:val="0000FF" w:themeColor="hyperlink"/>
              </w:rPr>
              <w:t>58/9</w:t>
            </w:r>
            <w:r w:rsidRPr="00A12E2C">
              <w:rPr>
                <w:color w:val="0000FF" w:themeColor="hyperlink"/>
              </w:rPr>
              <w:fldChar w:fldCharType="end"/>
            </w:r>
            <w:bookmarkEnd w:id="4"/>
          </w:p>
        </w:tc>
        <w:tc>
          <w:tcPr>
            <w:tcW w:w="5386" w:type="dxa"/>
            <w:shd w:val="clear" w:color="auto" w:fill="auto"/>
          </w:tcPr>
          <w:p w14:paraId="5DB087B8" w14:textId="77777777" w:rsidR="00F87028" w:rsidRPr="00401D81" w:rsidRDefault="00F87028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173"/>
              <w:jc w:val="both"/>
            </w:pPr>
            <w:r w:rsidRPr="00401D81">
              <w:t>Глобальный кризис в области безопасности дорожного движения</w:t>
            </w:r>
          </w:p>
        </w:tc>
      </w:tr>
      <w:tr w:rsidR="00F87028" w:rsidRPr="002814C7" w14:paraId="2E3E6A76" w14:textId="77777777" w:rsidTr="00496931">
        <w:tc>
          <w:tcPr>
            <w:tcW w:w="1985" w:type="dxa"/>
            <w:shd w:val="clear" w:color="auto" w:fill="auto"/>
          </w:tcPr>
          <w:p w14:paraId="16EF318F" w14:textId="77777777" w:rsidR="00F87028" w:rsidRPr="00A12E2C" w:rsidRDefault="00F34CB6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  <w:jc w:val="both"/>
              <w:rPr>
                <w:color w:val="0000FF" w:themeColor="hyperlink"/>
              </w:rPr>
            </w:pPr>
            <w:hyperlink r:id="rId12" w:history="1">
              <w:r w:rsidR="00F87028" w:rsidRPr="00A12E2C">
                <w:rPr>
                  <w:color w:val="0000FF" w:themeColor="hyperlink"/>
                </w:rPr>
                <w:t>6</w:t>
              </w:r>
              <w:r w:rsidR="00F87028">
                <w:rPr>
                  <w:color w:val="0000FF" w:themeColor="hyperlink"/>
                </w:rPr>
                <w:t>8</w:t>
              </w:r>
              <w:r w:rsidR="00F87028" w:rsidRPr="00A12E2C">
                <w:rPr>
                  <w:color w:val="0000FF" w:themeColor="hyperlink"/>
                </w:rPr>
                <w:t>/269</w:t>
              </w:r>
            </w:hyperlink>
          </w:p>
        </w:tc>
        <w:tc>
          <w:tcPr>
            <w:tcW w:w="5386" w:type="dxa"/>
            <w:shd w:val="clear" w:color="auto" w:fill="auto"/>
          </w:tcPr>
          <w:p w14:paraId="714CE6C8" w14:textId="77777777" w:rsidR="00F87028" w:rsidRPr="00401D81" w:rsidRDefault="00F87028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173"/>
              <w:jc w:val="both"/>
            </w:pPr>
            <w:r w:rsidRPr="00401D81">
              <w:t>Повышение безопасности дорожного движения во всем мире</w:t>
            </w:r>
          </w:p>
        </w:tc>
      </w:tr>
      <w:tr w:rsidR="00F87028" w:rsidRPr="002814C7" w14:paraId="2C1B010D" w14:textId="77777777" w:rsidTr="00496931">
        <w:tc>
          <w:tcPr>
            <w:tcW w:w="1985" w:type="dxa"/>
            <w:shd w:val="clear" w:color="auto" w:fill="auto"/>
          </w:tcPr>
          <w:p w14:paraId="2B87089C" w14:textId="77777777" w:rsidR="00F87028" w:rsidRPr="00A12E2C" w:rsidRDefault="00F34CB6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  <w:jc w:val="both"/>
              <w:rPr>
                <w:color w:val="0000FF" w:themeColor="hyperlink"/>
              </w:rPr>
            </w:pPr>
            <w:hyperlink r:id="rId13" w:history="1">
              <w:r w:rsidR="00F87028" w:rsidRPr="00A12E2C">
                <w:rPr>
                  <w:color w:val="0000FF" w:themeColor="hyperlink"/>
                </w:rPr>
                <w:t>69/137</w:t>
              </w:r>
            </w:hyperlink>
          </w:p>
        </w:tc>
        <w:tc>
          <w:tcPr>
            <w:tcW w:w="5386" w:type="dxa"/>
            <w:shd w:val="clear" w:color="auto" w:fill="auto"/>
          </w:tcPr>
          <w:p w14:paraId="7662170B" w14:textId="77777777" w:rsidR="00F87028" w:rsidRPr="00401D81" w:rsidRDefault="00F87028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88"/>
              <w:jc w:val="both"/>
            </w:pPr>
            <w:r w:rsidRPr="00401D81">
              <w:t>Программа действий для развивающихся стран, не имеющих выхода к морю, на десятилетие 2014–2024</w:t>
            </w:r>
            <w:r w:rsidR="00CF4C7A">
              <w:t xml:space="preserve"> </w:t>
            </w:r>
            <w:r w:rsidRPr="00401D81">
              <w:t>годов</w:t>
            </w:r>
          </w:p>
        </w:tc>
      </w:tr>
      <w:tr w:rsidR="00F87028" w:rsidRPr="002814C7" w14:paraId="145AE316" w14:textId="77777777" w:rsidTr="00496931">
        <w:tc>
          <w:tcPr>
            <w:tcW w:w="1985" w:type="dxa"/>
            <w:shd w:val="clear" w:color="auto" w:fill="auto"/>
          </w:tcPr>
          <w:p w14:paraId="23041389" w14:textId="77777777" w:rsidR="00F87028" w:rsidRPr="00A12E2C" w:rsidRDefault="00F34CB6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  <w:jc w:val="both"/>
              <w:rPr>
                <w:color w:val="0000FF" w:themeColor="hyperlink"/>
              </w:rPr>
            </w:pPr>
            <w:hyperlink r:id="rId14" w:history="1">
              <w:r w:rsidR="00F87028" w:rsidRPr="00A12E2C">
                <w:rPr>
                  <w:color w:val="0000FF" w:themeColor="hyperlink"/>
                </w:rPr>
                <w:t>69/213</w:t>
              </w:r>
            </w:hyperlink>
          </w:p>
        </w:tc>
        <w:tc>
          <w:tcPr>
            <w:tcW w:w="5386" w:type="dxa"/>
            <w:shd w:val="clear" w:color="auto" w:fill="auto"/>
          </w:tcPr>
          <w:p w14:paraId="6E6E3101" w14:textId="77777777" w:rsidR="00F87028" w:rsidRPr="00401D81" w:rsidRDefault="00F87028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173"/>
              <w:jc w:val="both"/>
            </w:pPr>
            <w:r w:rsidRPr="00401D81">
              <w:t xml:space="preserve">Роль транспортных и транзитных коридоров в обеспечении международного сотрудничества в целях устойчивого развития </w:t>
            </w:r>
          </w:p>
        </w:tc>
      </w:tr>
      <w:tr w:rsidR="00F87028" w:rsidRPr="002814C7" w14:paraId="6F71C2DD" w14:textId="77777777" w:rsidTr="00496931">
        <w:tc>
          <w:tcPr>
            <w:tcW w:w="1985" w:type="dxa"/>
            <w:shd w:val="clear" w:color="auto" w:fill="auto"/>
          </w:tcPr>
          <w:p w14:paraId="7DC66FDF" w14:textId="77777777" w:rsidR="00F87028" w:rsidRPr="00A12E2C" w:rsidRDefault="00F34CB6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  <w:jc w:val="both"/>
              <w:rPr>
                <w:color w:val="0000FF" w:themeColor="hyperlink"/>
              </w:rPr>
            </w:pPr>
            <w:hyperlink r:id="rId15" w:history="1">
              <w:r w:rsidR="00F87028" w:rsidRPr="00A12E2C">
                <w:rPr>
                  <w:color w:val="0000FF" w:themeColor="hyperlink"/>
                </w:rPr>
                <w:t>70/197</w:t>
              </w:r>
            </w:hyperlink>
          </w:p>
        </w:tc>
        <w:tc>
          <w:tcPr>
            <w:tcW w:w="5386" w:type="dxa"/>
            <w:shd w:val="clear" w:color="auto" w:fill="auto"/>
          </w:tcPr>
          <w:p w14:paraId="40BEB6A6" w14:textId="77777777" w:rsidR="00F87028" w:rsidRPr="00401D81" w:rsidRDefault="00F87028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173"/>
              <w:jc w:val="both"/>
            </w:pPr>
            <w:r w:rsidRPr="00401D81">
              <w:t>На пути к обеспечению всестороннего взаимодействия между всеми видами транспорта в целях содействия созданию устойчивых мультимодальных транзитных коридоров</w:t>
            </w:r>
          </w:p>
        </w:tc>
      </w:tr>
      <w:tr w:rsidR="00F87028" w:rsidRPr="002814C7" w14:paraId="2E1F228E" w14:textId="77777777" w:rsidTr="00496931">
        <w:tc>
          <w:tcPr>
            <w:tcW w:w="1985" w:type="dxa"/>
            <w:shd w:val="clear" w:color="auto" w:fill="auto"/>
          </w:tcPr>
          <w:p w14:paraId="7A4D79D7" w14:textId="77777777" w:rsidR="00F87028" w:rsidRPr="00A12E2C" w:rsidRDefault="00F34CB6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  <w:jc w:val="both"/>
              <w:rPr>
                <w:color w:val="0000FF" w:themeColor="hyperlink"/>
              </w:rPr>
            </w:pPr>
            <w:hyperlink r:id="rId16" w:history="1">
              <w:r w:rsidR="00F87028" w:rsidRPr="00A12E2C">
                <w:rPr>
                  <w:color w:val="0000FF" w:themeColor="hyperlink"/>
                </w:rPr>
                <w:t>7</w:t>
              </w:r>
              <w:r w:rsidR="00F87028">
                <w:rPr>
                  <w:color w:val="0000FF" w:themeColor="hyperlink"/>
                </w:rPr>
                <w:t>0</w:t>
              </w:r>
              <w:r w:rsidR="00F87028" w:rsidRPr="00A12E2C">
                <w:rPr>
                  <w:color w:val="0000FF" w:themeColor="hyperlink"/>
                </w:rPr>
                <w:t>/217</w:t>
              </w:r>
            </w:hyperlink>
          </w:p>
        </w:tc>
        <w:tc>
          <w:tcPr>
            <w:tcW w:w="5386" w:type="dxa"/>
            <w:shd w:val="clear" w:color="auto" w:fill="auto"/>
          </w:tcPr>
          <w:p w14:paraId="09481A21" w14:textId="77777777" w:rsidR="00F87028" w:rsidRPr="00401D81" w:rsidRDefault="00F87028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173"/>
              <w:jc w:val="both"/>
            </w:pPr>
            <w:r w:rsidRPr="00401D81">
              <w:t>Последующая деятельность по итогам второй Конференции Организации Объединенных Наций по</w:t>
            </w:r>
            <w:r w:rsidR="00CF4C7A">
              <w:t xml:space="preserve"> </w:t>
            </w:r>
            <w:r w:rsidRPr="00401D81">
              <w:t>развивающимся странам, не имеющим выхода к</w:t>
            </w:r>
            <w:r w:rsidR="00CF4C7A">
              <w:t xml:space="preserve"> </w:t>
            </w:r>
            <w:r w:rsidRPr="00401D81">
              <w:t>морю</w:t>
            </w:r>
          </w:p>
        </w:tc>
      </w:tr>
      <w:tr w:rsidR="00F87028" w:rsidRPr="002814C7" w14:paraId="5A510702" w14:textId="77777777" w:rsidTr="00496931">
        <w:tc>
          <w:tcPr>
            <w:tcW w:w="1985" w:type="dxa"/>
            <w:shd w:val="clear" w:color="auto" w:fill="auto"/>
          </w:tcPr>
          <w:p w14:paraId="7B7D6EC2" w14:textId="77777777" w:rsidR="00F87028" w:rsidRPr="00A12E2C" w:rsidRDefault="00F34CB6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  <w:jc w:val="both"/>
              <w:rPr>
                <w:color w:val="0000FF" w:themeColor="hyperlink"/>
              </w:rPr>
            </w:pPr>
            <w:hyperlink r:id="rId17" w:history="1">
              <w:r w:rsidR="00F87028" w:rsidRPr="00A12E2C">
                <w:rPr>
                  <w:color w:val="0000FF" w:themeColor="hyperlink"/>
                </w:rPr>
                <w:t>7</w:t>
              </w:r>
              <w:r w:rsidR="00F87028">
                <w:rPr>
                  <w:color w:val="0000FF" w:themeColor="hyperlink"/>
                </w:rPr>
                <w:t>2</w:t>
              </w:r>
              <w:r w:rsidR="00F87028" w:rsidRPr="00A12E2C">
                <w:rPr>
                  <w:color w:val="0000FF" w:themeColor="hyperlink"/>
                </w:rPr>
                <w:t>/212</w:t>
              </w:r>
            </w:hyperlink>
          </w:p>
        </w:tc>
        <w:tc>
          <w:tcPr>
            <w:tcW w:w="5386" w:type="dxa"/>
            <w:shd w:val="clear" w:color="auto" w:fill="auto"/>
          </w:tcPr>
          <w:p w14:paraId="160F0C21" w14:textId="77777777" w:rsidR="00F87028" w:rsidRPr="00401D81" w:rsidRDefault="00F87028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173"/>
              <w:jc w:val="both"/>
            </w:pPr>
            <w:r w:rsidRPr="00401D81">
              <w:t>Укрепление связей между всеми видами транспорта для достижения целей в области устойчивого развития</w:t>
            </w:r>
          </w:p>
        </w:tc>
      </w:tr>
      <w:tr w:rsidR="00F87028" w:rsidRPr="002814C7" w14:paraId="200B6A02" w14:textId="77777777" w:rsidTr="00496931">
        <w:tc>
          <w:tcPr>
            <w:tcW w:w="1985" w:type="dxa"/>
            <w:shd w:val="clear" w:color="auto" w:fill="auto"/>
          </w:tcPr>
          <w:p w14:paraId="7186BA54" w14:textId="77777777" w:rsidR="00F87028" w:rsidRPr="00A12E2C" w:rsidRDefault="00F34CB6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  <w:jc w:val="both"/>
              <w:rPr>
                <w:color w:val="0000FF" w:themeColor="hyperlink"/>
              </w:rPr>
            </w:pPr>
            <w:hyperlink r:id="rId18" w:history="1">
              <w:r w:rsidR="00F87028" w:rsidRPr="00A12E2C">
                <w:rPr>
                  <w:color w:val="0000FF" w:themeColor="hyperlink"/>
                </w:rPr>
                <w:t>7</w:t>
              </w:r>
              <w:r w:rsidR="00F87028">
                <w:rPr>
                  <w:color w:val="0000FF" w:themeColor="hyperlink"/>
                </w:rPr>
                <w:t>2</w:t>
              </w:r>
              <w:r w:rsidR="00F87028" w:rsidRPr="00A12E2C">
                <w:rPr>
                  <w:color w:val="0000FF" w:themeColor="hyperlink"/>
                </w:rPr>
                <w:t>/271</w:t>
              </w:r>
            </w:hyperlink>
          </w:p>
        </w:tc>
        <w:tc>
          <w:tcPr>
            <w:tcW w:w="5386" w:type="dxa"/>
            <w:shd w:val="clear" w:color="auto" w:fill="auto"/>
          </w:tcPr>
          <w:p w14:paraId="58A72A37" w14:textId="77777777" w:rsidR="00F87028" w:rsidRPr="00401D81" w:rsidRDefault="00F87028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173"/>
              <w:jc w:val="both"/>
            </w:pPr>
            <w:r w:rsidRPr="00401D81">
              <w:t>Повышение безопасности дорожного движения во всем мире</w:t>
            </w:r>
          </w:p>
        </w:tc>
      </w:tr>
      <w:tr w:rsidR="00F87028" w:rsidRPr="002814C7" w14:paraId="7D0BB892" w14:textId="77777777" w:rsidTr="00496931">
        <w:tc>
          <w:tcPr>
            <w:tcW w:w="1985" w:type="dxa"/>
            <w:shd w:val="clear" w:color="auto" w:fill="auto"/>
          </w:tcPr>
          <w:p w14:paraId="70EE8306" w14:textId="77777777" w:rsidR="00F87028" w:rsidRPr="00A12E2C" w:rsidRDefault="00F34CB6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  <w:jc w:val="both"/>
              <w:rPr>
                <w:color w:val="0000FF" w:themeColor="hyperlink"/>
              </w:rPr>
            </w:pPr>
            <w:hyperlink r:id="rId19" w:history="1">
              <w:r w:rsidR="00F87028" w:rsidRPr="00A12E2C">
                <w:rPr>
                  <w:color w:val="0000FF" w:themeColor="hyperlink"/>
                </w:rPr>
                <w:t>7</w:t>
              </w:r>
              <w:r w:rsidR="00F87028">
                <w:rPr>
                  <w:color w:val="0000FF" w:themeColor="hyperlink"/>
                </w:rPr>
                <w:t>3</w:t>
              </w:r>
              <w:r w:rsidR="00F87028" w:rsidRPr="00A12E2C">
                <w:rPr>
                  <w:color w:val="0000FF" w:themeColor="hyperlink"/>
                </w:rPr>
                <w:t>/243</w:t>
              </w:r>
            </w:hyperlink>
          </w:p>
        </w:tc>
        <w:tc>
          <w:tcPr>
            <w:tcW w:w="5386" w:type="dxa"/>
            <w:shd w:val="clear" w:color="auto" w:fill="auto"/>
          </w:tcPr>
          <w:p w14:paraId="09257525" w14:textId="77777777" w:rsidR="00F87028" w:rsidRPr="00401D81" w:rsidRDefault="00F87028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173"/>
              <w:jc w:val="both"/>
            </w:pPr>
            <w:r w:rsidRPr="00401D81">
              <w:t>Последующая деятельность по итогам второй Конференции Организации Объединенных Наций по развивающимся странам, не имеющим выхода к морю</w:t>
            </w:r>
          </w:p>
        </w:tc>
      </w:tr>
      <w:tr w:rsidR="00F87028" w:rsidRPr="002814C7" w14:paraId="411F321A" w14:textId="77777777" w:rsidTr="00496931">
        <w:tc>
          <w:tcPr>
            <w:tcW w:w="7371" w:type="dxa"/>
            <w:gridSpan w:val="2"/>
            <w:shd w:val="clear" w:color="auto" w:fill="auto"/>
          </w:tcPr>
          <w:p w14:paraId="45B4B8B8" w14:textId="77777777" w:rsidR="00F87028" w:rsidRPr="00401D81" w:rsidRDefault="00F87028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173"/>
            </w:pPr>
            <w:r w:rsidRPr="00401D81">
              <w:rPr>
                <w:i/>
                <w:iCs/>
              </w:rPr>
              <w:t>Резолюции Экономического и Социального Совета</w:t>
            </w:r>
          </w:p>
        </w:tc>
      </w:tr>
      <w:tr w:rsidR="00F87028" w:rsidRPr="002814C7" w14:paraId="27C198BC" w14:textId="77777777" w:rsidTr="00496931">
        <w:tc>
          <w:tcPr>
            <w:tcW w:w="1985" w:type="dxa"/>
            <w:shd w:val="clear" w:color="auto" w:fill="auto"/>
          </w:tcPr>
          <w:p w14:paraId="64D1DF51" w14:textId="77777777" w:rsidR="00F87028" w:rsidRPr="00A12E2C" w:rsidRDefault="00F34CB6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  <w:jc w:val="both"/>
              <w:rPr>
                <w:color w:val="0000FF" w:themeColor="hyperlink"/>
              </w:rPr>
            </w:pPr>
            <w:hyperlink r:id="rId20" w:history="1">
              <w:r w:rsidR="00F87028" w:rsidRPr="00A12E2C">
                <w:rPr>
                  <w:color w:val="0000FF" w:themeColor="hyperlink"/>
                </w:rPr>
                <w:t>1999/65</w:t>
              </w:r>
            </w:hyperlink>
          </w:p>
        </w:tc>
        <w:tc>
          <w:tcPr>
            <w:tcW w:w="5386" w:type="dxa"/>
            <w:shd w:val="clear" w:color="auto" w:fill="auto"/>
          </w:tcPr>
          <w:p w14:paraId="62711864" w14:textId="77777777" w:rsidR="00F87028" w:rsidRPr="00401D81" w:rsidRDefault="00F87028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173"/>
              <w:jc w:val="both"/>
            </w:pPr>
            <w:r w:rsidRPr="00401D81">
              <w:t>Преобразование Комитета экспертов по перевозке опасных грузов в Комитет экспертов по перевозке опасных грузов и Согласованной на глобальном уровне системе классификации опасности и маркировки химической продукции</w:t>
            </w:r>
          </w:p>
        </w:tc>
      </w:tr>
      <w:tr w:rsidR="00F87028" w:rsidRPr="002814C7" w14:paraId="567FC707" w14:textId="77777777" w:rsidTr="00496931">
        <w:tc>
          <w:tcPr>
            <w:tcW w:w="1985" w:type="dxa"/>
            <w:shd w:val="clear" w:color="auto" w:fill="auto"/>
          </w:tcPr>
          <w:p w14:paraId="490D270F" w14:textId="77777777" w:rsidR="00F87028" w:rsidRPr="00A12E2C" w:rsidRDefault="00F34CB6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  <w:jc w:val="both"/>
              <w:rPr>
                <w:color w:val="0000FF" w:themeColor="hyperlink"/>
              </w:rPr>
            </w:pPr>
            <w:hyperlink r:id="rId21" w:history="1">
              <w:r w:rsidR="00F87028" w:rsidRPr="00A12E2C">
                <w:rPr>
                  <w:color w:val="0000FF" w:themeColor="hyperlink"/>
                </w:rPr>
                <w:t>2013/7</w:t>
              </w:r>
            </w:hyperlink>
          </w:p>
        </w:tc>
        <w:tc>
          <w:tcPr>
            <w:tcW w:w="5386" w:type="dxa"/>
            <w:shd w:val="clear" w:color="auto" w:fill="auto"/>
          </w:tcPr>
          <w:p w14:paraId="18A03E39" w14:textId="77777777" w:rsidR="00F87028" w:rsidRPr="00401D81" w:rsidRDefault="00F87028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173"/>
              <w:jc w:val="both"/>
            </w:pPr>
            <w:r w:rsidRPr="00401D81">
              <w:t>Постоянно действующая связь Европа–Африка через Гибралтарский пролив</w:t>
            </w:r>
          </w:p>
        </w:tc>
      </w:tr>
      <w:tr w:rsidR="00F87028" w:rsidRPr="002814C7" w14:paraId="3C01B04C" w14:textId="77777777" w:rsidTr="00496931">
        <w:tc>
          <w:tcPr>
            <w:tcW w:w="1985" w:type="dxa"/>
            <w:shd w:val="clear" w:color="auto" w:fill="auto"/>
          </w:tcPr>
          <w:p w14:paraId="7F034BD4" w14:textId="77777777" w:rsidR="00F87028" w:rsidRPr="00CF4C7A" w:rsidRDefault="00F34CB6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  <w:jc w:val="both"/>
              <w:rPr>
                <w:color w:val="0000FF" w:themeColor="hyperlink"/>
              </w:rPr>
            </w:pPr>
            <w:hyperlink r:id="rId22" w:history="1">
              <w:r w:rsidR="00CF4C7A" w:rsidRPr="00CF4C7A">
                <w:rPr>
                  <w:color w:val="0000FF" w:themeColor="hyperlink"/>
                </w:rPr>
                <w:t>2019/</w:t>
              </w:r>
            </w:hyperlink>
            <w:r w:rsidR="00CF4C7A" w:rsidRPr="00CF4C7A">
              <w:rPr>
                <w:color w:val="0000FF" w:themeColor="hyperlink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14:paraId="3C81009F" w14:textId="77777777" w:rsidR="00F87028" w:rsidRPr="00401D81" w:rsidRDefault="00F87028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173"/>
              <w:jc w:val="both"/>
            </w:pPr>
            <w:r w:rsidRPr="00401D81">
              <w:t>Работа Комитета экспертов по перевозке опасных грузов и Согласованной на глобальном уровне системе классификации опасности и маркировки химической продукции</w:t>
            </w:r>
          </w:p>
        </w:tc>
      </w:tr>
      <w:tr w:rsidR="00F87028" w:rsidRPr="005935F0" w14:paraId="3A1D70DA" w14:textId="77777777" w:rsidTr="00496931">
        <w:tc>
          <w:tcPr>
            <w:tcW w:w="7371" w:type="dxa"/>
            <w:gridSpan w:val="2"/>
            <w:shd w:val="clear" w:color="auto" w:fill="auto"/>
          </w:tcPr>
          <w:p w14:paraId="27D539F7" w14:textId="77777777" w:rsidR="00F87028" w:rsidRPr="005935F0" w:rsidRDefault="00F87028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173"/>
            </w:pPr>
            <w:r>
              <w:rPr>
                <w:i/>
                <w:iCs/>
              </w:rPr>
              <w:t>Решения Европейской экономической комиссии</w:t>
            </w:r>
          </w:p>
        </w:tc>
      </w:tr>
      <w:tr w:rsidR="00F87028" w:rsidRPr="002814C7" w14:paraId="6D742D34" w14:textId="77777777" w:rsidTr="00496931">
        <w:tc>
          <w:tcPr>
            <w:tcW w:w="1985" w:type="dxa"/>
            <w:shd w:val="clear" w:color="auto" w:fill="auto"/>
          </w:tcPr>
          <w:p w14:paraId="167F36E9" w14:textId="77777777" w:rsidR="00F87028" w:rsidRPr="00A12E2C" w:rsidRDefault="00F34CB6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  <w:jc w:val="both"/>
              <w:rPr>
                <w:color w:val="0000FF" w:themeColor="hyperlink"/>
              </w:rPr>
            </w:pPr>
            <w:hyperlink r:id="rId23" w:history="1">
              <w:r w:rsidR="00F87028" w:rsidRPr="00A12E2C">
                <w:rPr>
                  <w:color w:val="0000FF" w:themeColor="hyperlink"/>
                </w:rPr>
                <w:t>ECE/AC.21/2014/2</w:t>
              </w:r>
            </w:hyperlink>
          </w:p>
        </w:tc>
        <w:tc>
          <w:tcPr>
            <w:tcW w:w="5386" w:type="dxa"/>
            <w:shd w:val="clear" w:color="auto" w:fill="auto"/>
          </w:tcPr>
          <w:p w14:paraId="296A48B6" w14:textId="77777777" w:rsidR="00F87028" w:rsidRPr="00401D81" w:rsidRDefault="00F87028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173"/>
              <w:jc w:val="both"/>
            </w:pPr>
            <w:r w:rsidRPr="00401D81">
              <w:t>Доклад о работе четвертой сессии Совещания высокого уровня по транспорту, окружающей среде и охране здоровья</w:t>
            </w:r>
          </w:p>
        </w:tc>
      </w:tr>
      <w:tr w:rsidR="00F87028" w:rsidRPr="005935F0" w14:paraId="033012DF" w14:textId="77777777" w:rsidTr="00496931">
        <w:tc>
          <w:tcPr>
            <w:tcW w:w="1985" w:type="dxa"/>
            <w:shd w:val="clear" w:color="auto" w:fill="auto"/>
          </w:tcPr>
          <w:p w14:paraId="1CF721D9" w14:textId="77777777" w:rsidR="00F87028" w:rsidRPr="00A12E2C" w:rsidRDefault="00F34CB6" w:rsidP="00496931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  <w:jc w:val="both"/>
              <w:rPr>
                <w:color w:val="0000FF" w:themeColor="hyperlink"/>
              </w:rPr>
            </w:pPr>
            <w:hyperlink r:id="rId24" w:history="1">
              <w:r w:rsidR="00F87028" w:rsidRPr="00A12E2C">
                <w:rPr>
                  <w:color w:val="0000FF" w:themeColor="hyperlink"/>
                </w:rPr>
                <w:t>ECE/TRANS/224</w:t>
              </w:r>
            </w:hyperlink>
          </w:p>
        </w:tc>
        <w:tc>
          <w:tcPr>
            <w:tcW w:w="5386" w:type="dxa"/>
            <w:shd w:val="clear" w:color="auto" w:fill="auto"/>
          </w:tcPr>
          <w:p w14:paraId="4FDA4258" w14:textId="77777777" w:rsidR="00F87028" w:rsidRPr="005935F0" w:rsidRDefault="00F87028" w:rsidP="00496931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173"/>
              <w:jc w:val="both"/>
            </w:pPr>
            <w:r w:rsidRPr="00401D81">
              <w:t>Доклад Комитета по внутреннему транспорту о работе его семьдесят четвертой сессии («"Дорожная карта" ЕЭК</w:t>
            </w:r>
            <w:r>
              <w:t> </w:t>
            </w:r>
            <w:r w:rsidRPr="00401D81">
              <w:t xml:space="preserve">ООН для содействия использованию </w:t>
            </w:r>
            <w:r>
              <w:t>ИТС</w:t>
            </w:r>
            <w:r>
              <w:rPr>
                <w:lang w:val="en-US"/>
              </w:rPr>
              <w:t xml:space="preserve"> – </w:t>
            </w:r>
            <w:r>
              <w:t>20 направлений глобальных действий на 2012−2020 годы»)</w:t>
            </w:r>
          </w:p>
        </w:tc>
      </w:tr>
      <w:tr w:rsidR="00F87028" w:rsidRPr="002814C7" w14:paraId="579F1667" w14:textId="77777777" w:rsidTr="00496931">
        <w:tc>
          <w:tcPr>
            <w:tcW w:w="1985" w:type="dxa"/>
            <w:shd w:val="clear" w:color="auto" w:fill="auto"/>
          </w:tcPr>
          <w:p w14:paraId="6650B3E0" w14:textId="77777777" w:rsidR="00F87028" w:rsidRPr="00A12E2C" w:rsidRDefault="00F34CB6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  <w:jc w:val="both"/>
              <w:rPr>
                <w:color w:val="0000FF" w:themeColor="hyperlink"/>
              </w:rPr>
            </w:pPr>
            <w:hyperlink r:id="rId25" w:history="1">
              <w:r w:rsidR="00F87028" w:rsidRPr="00A12E2C">
                <w:rPr>
                  <w:color w:val="0000FF" w:themeColor="hyperlink"/>
                </w:rPr>
                <w:t>ECE/TRANS/236</w:t>
              </w:r>
            </w:hyperlink>
          </w:p>
        </w:tc>
        <w:tc>
          <w:tcPr>
            <w:tcW w:w="5386" w:type="dxa"/>
            <w:shd w:val="clear" w:color="auto" w:fill="auto"/>
          </w:tcPr>
          <w:p w14:paraId="4111816D" w14:textId="77777777" w:rsidR="00F87028" w:rsidRPr="00401D81" w:rsidRDefault="00F87028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173"/>
              <w:jc w:val="both"/>
            </w:pPr>
            <w:r w:rsidRPr="00401D81">
              <w:t>Доклад Комитета по внутреннему транспорту о работе его семьдесят пятой сессии (Совместная декларация о развитии евро-азиатских железнодорожных перевозок и деятельности по созданию единого железнодорожного права; и</w:t>
            </w:r>
            <w:r>
              <w:t> </w:t>
            </w:r>
            <w:r w:rsidRPr="00401D81">
              <w:t>Совместное заявление о будущем развитии евро-азиатских транспортных связей)</w:t>
            </w:r>
          </w:p>
        </w:tc>
      </w:tr>
      <w:tr w:rsidR="00F87028" w:rsidRPr="002814C7" w14:paraId="04F5A4C2" w14:textId="77777777" w:rsidTr="00496931">
        <w:tc>
          <w:tcPr>
            <w:tcW w:w="1985" w:type="dxa"/>
            <w:shd w:val="clear" w:color="auto" w:fill="auto"/>
          </w:tcPr>
          <w:p w14:paraId="0D2B452A" w14:textId="77777777" w:rsidR="00F87028" w:rsidRPr="00A12E2C" w:rsidRDefault="00F34CB6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  <w:jc w:val="both"/>
              <w:rPr>
                <w:color w:val="0000FF" w:themeColor="hyperlink"/>
              </w:rPr>
            </w:pPr>
            <w:hyperlink r:id="rId26" w:history="1">
              <w:r w:rsidR="00F87028" w:rsidRPr="00A12E2C">
                <w:rPr>
                  <w:color w:val="0000FF" w:themeColor="hyperlink"/>
                </w:rPr>
                <w:t>ECE/TRANS/248</w:t>
              </w:r>
            </w:hyperlink>
          </w:p>
        </w:tc>
        <w:tc>
          <w:tcPr>
            <w:tcW w:w="5386" w:type="dxa"/>
            <w:shd w:val="clear" w:color="auto" w:fill="auto"/>
          </w:tcPr>
          <w:p w14:paraId="50090445" w14:textId="77777777" w:rsidR="00F87028" w:rsidRPr="00401D81" w:rsidRDefault="00F87028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173"/>
              <w:jc w:val="both"/>
            </w:pPr>
            <w:r w:rsidRPr="00401D81">
              <w:t>Доклад Комитета по внутреннему транспорту о работе его семьдесят седьмой сессии</w:t>
            </w:r>
          </w:p>
        </w:tc>
      </w:tr>
      <w:tr w:rsidR="00F87028" w:rsidRPr="002814C7" w14:paraId="1C6E13BA" w14:textId="77777777" w:rsidTr="00496931">
        <w:tc>
          <w:tcPr>
            <w:tcW w:w="1985" w:type="dxa"/>
            <w:shd w:val="clear" w:color="auto" w:fill="auto"/>
          </w:tcPr>
          <w:p w14:paraId="5EBE6A36" w14:textId="77777777" w:rsidR="00F87028" w:rsidRPr="00A12E2C" w:rsidRDefault="00F34CB6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  <w:jc w:val="both"/>
              <w:rPr>
                <w:color w:val="0000FF" w:themeColor="hyperlink"/>
              </w:rPr>
            </w:pPr>
            <w:hyperlink r:id="rId27" w:history="1">
              <w:r w:rsidR="00F87028" w:rsidRPr="00A12E2C">
                <w:rPr>
                  <w:color w:val="0000FF" w:themeColor="hyperlink"/>
                </w:rPr>
                <w:t>ECE/TRANS/254</w:t>
              </w:r>
            </w:hyperlink>
          </w:p>
        </w:tc>
        <w:tc>
          <w:tcPr>
            <w:tcW w:w="5386" w:type="dxa"/>
            <w:shd w:val="clear" w:color="auto" w:fill="auto"/>
          </w:tcPr>
          <w:p w14:paraId="49FD7B40" w14:textId="77777777" w:rsidR="00F87028" w:rsidRPr="00401D81" w:rsidRDefault="00F87028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173"/>
              <w:jc w:val="both"/>
            </w:pPr>
            <w:r w:rsidRPr="00401D81">
              <w:t>Доклад Комитета по внутреннему транспорту о</w:t>
            </w:r>
            <w:r w:rsidR="00FC106F" w:rsidRPr="00FC106F">
              <w:t xml:space="preserve"> </w:t>
            </w:r>
            <w:r w:rsidRPr="00401D81">
              <w:t>работе его семьдесят восьмой сессии</w:t>
            </w:r>
          </w:p>
        </w:tc>
      </w:tr>
      <w:tr w:rsidR="00F87028" w:rsidRPr="002814C7" w14:paraId="542B2298" w14:textId="77777777" w:rsidTr="00496931">
        <w:tc>
          <w:tcPr>
            <w:tcW w:w="1985" w:type="dxa"/>
            <w:shd w:val="clear" w:color="auto" w:fill="auto"/>
          </w:tcPr>
          <w:p w14:paraId="45F7995E" w14:textId="77777777" w:rsidR="00F87028" w:rsidRPr="00A12E2C" w:rsidRDefault="00F34CB6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  <w:jc w:val="both"/>
              <w:rPr>
                <w:color w:val="0000FF" w:themeColor="hyperlink"/>
              </w:rPr>
            </w:pPr>
            <w:hyperlink r:id="rId28" w:history="1">
              <w:r w:rsidR="00F87028" w:rsidRPr="00A12E2C">
                <w:rPr>
                  <w:color w:val="0000FF" w:themeColor="hyperlink"/>
                </w:rPr>
                <w:t>ECE/TRANS/270</w:t>
              </w:r>
            </w:hyperlink>
          </w:p>
        </w:tc>
        <w:tc>
          <w:tcPr>
            <w:tcW w:w="5386" w:type="dxa"/>
            <w:shd w:val="clear" w:color="auto" w:fill="auto"/>
          </w:tcPr>
          <w:p w14:paraId="46C379F9" w14:textId="77777777" w:rsidR="00F87028" w:rsidRPr="00401D81" w:rsidRDefault="00F87028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173"/>
              <w:jc w:val="both"/>
            </w:pPr>
            <w:r w:rsidRPr="00401D81">
              <w:t>Доклад Комитета по внутреннему транспорту о работе его семьдесят девятой сессии (Резолюция министров «Вступление в новую эру устойчивого внутреннего транспорта и мобильности»)</w:t>
            </w:r>
          </w:p>
        </w:tc>
      </w:tr>
      <w:tr w:rsidR="00F87028" w:rsidRPr="002814C7" w14:paraId="183A0102" w14:textId="77777777" w:rsidTr="00496931">
        <w:tc>
          <w:tcPr>
            <w:tcW w:w="1985" w:type="dxa"/>
            <w:shd w:val="clear" w:color="auto" w:fill="auto"/>
          </w:tcPr>
          <w:p w14:paraId="15DAF298" w14:textId="77777777" w:rsidR="00F87028" w:rsidRPr="00A12E2C" w:rsidRDefault="00F34CB6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  <w:jc w:val="both"/>
              <w:rPr>
                <w:color w:val="0000FF" w:themeColor="hyperlink"/>
              </w:rPr>
            </w:pPr>
            <w:hyperlink r:id="rId29" w:history="1">
              <w:r w:rsidR="00F87028" w:rsidRPr="00A12E2C">
                <w:rPr>
                  <w:color w:val="0000FF" w:themeColor="hyperlink"/>
                </w:rPr>
                <w:t>ECE/TRANS/274</w:t>
              </w:r>
            </w:hyperlink>
          </w:p>
        </w:tc>
        <w:tc>
          <w:tcPr>
            <w:tcW w:w="5386" w:type="dxa"/>
            <w:shd w:val="clear" w:color="auto" w:fill="auto"/>
          </w:tcPr>
          <w:p w14:paraId="0B996EBD" w14:textId="77777777" w:rsidR="00F87028" w:rsidRPr="00401D81" w:rsidRDefault="00F87028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173"/>
              <w:jc w:val="both"/>
            </w:pPr>
            <w:r w:rsidRPr="00401D81">
              <w:t>Доклад Комитета по внутреннему транспорту о</w:t>
            </w:r>
            <w:r w:rsidR="00DD0A4E" w:rsidRPr="00DD0A4E">
              <w:t xml:space="preserve"> </w:t>
            </w:r>
            <w:r w:rsidRPr="00401D81">
              <w:t xml:space="preserve">работе его восьмидесятой сессии </w:t>
            </w:r>
          </w:p>
        </w:tc>
      </w:tr>
      <w:tr w:rsidR="00F87028" w:rsidRPr="005935F0" w14:paraId="6783DD76" w14:textId="77777777" w:rsidTr="00496931">
        <w:tc>
          <w:tcPr>
            <w:tcW w:w="1985" w:type="dxa"/>
            <w:shd w:val="clear" w:color="auto" w:fill="auto"/>
          </w:tcPr>
          <w:p w14:paraId="044573FC" w14:textId="77777777" w:rsidR="00F87028" w:rsidRPr="00A12E2C" w:rsidRDefault="00F34CB6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  <w:jc w:val="both"/>
              <w:rPr>
                <w:color w:val="0000FF" w:themeColor="hyperlink"/>
              </w:rPr>
            </w:pPr>
            <w:hyperlink r:id="rId30" w:history="1">
              <w:r w:rsidR="00F87028" w:rsidRPr="00A12E2C">
                <w:rPr>
                  <w:color w:val="0000FF" w:themeColor="hyperlink"/>
                </w:rPr>
                <w:t>ECE/TRANS/288</w:t>
              </w:r>
            </w:hyperlink>
          </w:p>
        </w:tc>
        <w:tc>
          <w:tcPr>
            <w:tcW w:w="5386" w:type="dxa"/>
            <w:shd w:val="clear" w:color="auto" w:fill="auto"/>
          </w:tcPr>
          <w:p w14:paraId="777F3E3F" w14:textId="77777777" w:rsidR="00F87028" w:rsidRPr="005935F0" w:rsidRDefault="00F87028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173"/>
              <w:jc w:val="both"/>
            </w:pPr>
            <w:r w:rsidRPr="00401D81">
              <w:t xml:space="preserve">Доклад Комитета по внутреннему транспорту о работе его восемьдесят первой сессии (Резолюция министров «Укрепление сотрудничества, согласования и интеграции в эпоху цифровизации и автоматизации на транспорте». </w:t>
            </w:r>
            <w:r>
              <w:t>Резолюция №</w:t>
            </w:r>
            <w:r w:rsidR="00DD0A4E">
              <w:rPr>
                <w:lang w:val="en-US"/>
              </w:rPr>
              <w:t xml:space="preserve"> </w:t>
            </w:r>
            <w:r>
              <w:t>265 КВТ «Содействие развитию внутреннего водного транспорта»)</w:t>
            </w:r>
          </w:p>
        </w:tc>
      </w:tr>
      <w:tr w:rsidR="00F87028" w:rsidRPr="002814C7" w14:paraId="37134B98" w14:textId="77777777" w:rsidTr="00496931">
        <w:tc>
          <w:tcPr>
            <w:tcW w:w="1985" w:type="dxa"/>
            <w:shd w:val="clear" w:color="auto" w:fill="auto"/>
          </w:tcPr>
          <w:p w14:paraId="48D3EB55" w14:textId="77777777" w:rsidR="00F87028" w:rsidRPr="00A12E2C" w:rsidRDefault="00F34CB6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  <w:jc w:val="both"/>
              <w:rPr>
                <w:color w:val="0000FF" w:themeColor="hyperlink"/>
              </w:rPr>
            </w:pPr>
            <w:hyperlink r:id="rId31" w:history="1">
              <w:r w:rsidR="00F87028" w:rsidRPr="00A12E2C">
                <w:rPr>
                  <w:color w:val="0000FF" w:themeColor="hyperlink"/>
                </w:rPr>
                <w:t>ECE/TRANS/288/</w:t>
              </w:r>
              <w:r w:rsidR="00F87028">
                <w:rPr>
                  <w:color w:val="0000FF" w:themeColor="hyperlink"/>
                </w:rPr>
                <w:br/>
              </w:r>
              <w:r w:rsidR="00F87028" w:rsidRPr="00A12E2C">
                <w:rPr>
                  <w:color w:val="0000FF" w:themeColor="hyperlink"/>
                </w:rPr>
                <w:t>Add.2</w:t>
              </w:r>
            </w:hyperlink>
          </w:p>
        </w:tc>
        <w:tc>
          <w:tcPr>
            <w:tcW w:w="5386" w:type="dxa"/>
            <w:shd w:val="clear" w:color="auto" w:fill="auto"/>
          </w:tcPr>
          <w:p w14:paraId="04F7F233" w14:textId="77777777" w:rsidR="00F87028" w:rsidRPr="00401D81" w:rsidRDefault="00F87028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173"/>
              <w:jc w:val="both"/>
            </w:pPr>
            <w:r w:rsidRPr="00401D81">
              <w:t>Стратегия Комитета по внутреннему транспорту на период до 2030</w:t>
            </w:r>
            <w:r>
              <w:t> </w:t>
            </w:r>
            <w:r w:rsidRPr="00401D81">
              <w:t>года</w:t>
            </w:r>
          </w:p>
        </w:tc>
      </w:tr>
      <w:tr w:rsidR="00F87028" w:rsidRPr="002814C7" w14:paraId="0E1967A7" w14:textId="77777777" w:rsidTr="00496931">
        <w:tc>
          <w:tcPr>
            <w:tcW w:w="1985" w:type="dxa"/>
            <w:shd w:val="clear" w:color="auto" w:fill="auto"/>
          </w:tcPr>
          <w:p w14:paraId="7A47E17A" w14:textId="77777777" w:rsidR="00F87028" w:rsidRPr="00F87028" w:rsidRDefault="00F34CB6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  <w:jc w:val="both"/>
              <w:rPr>
                <w:color w:val="0000FF" w:themeColor="hyperlink"/>
                <w:lang w:val="en-US"/>
              </w:rPr>
            </w:pPr>
            <w:hyperlink r:id="rId32" w:history="1">
              <w:r w:rsidR="00F87028" w:rsidRPr="00F87028">
                <w:rPr>
                  <w:color w:val="0000FF" w:themeColor="hyperlink"/>
                  <w:lang w:val="en-US"/>
                </w:rPr>
                <w:t>ECE/TRANS/SC.3/</w:t>
              </w:r>
              <w:r w:rsidR="00F87028" w:rsidRPr="00F87028">
                <w:rPr>
                  <w:color w:val="0000FF" w:themeColor="hyperlink"/>
                  <w:lang w:val="en-US"/>
                </w:rPr>
                <w:br/>
                <w:t>WP.3/2018/8/Rev.1</w:t>
              </w:r>
            </w:hyperlink>
          </w:p>
        </w:tc>
        <w:tc>
          <w:tcPr>
            <w:tcW w:w="5386" w:type="dxa"/>
            <w:shd w:val="clear" w:color="auto" w:fill="auto"/>
          </w:tcPr>
          <w:p w14:paraId="32A20EAA" w14:textId="77777777" w:rsidR="00F87028" w:rsidRPr="00401D81" w:rsidRDefault="00F87028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173"/>
              <w:jc w:val="both"/>
            </w:pPr>
            <w:r w:rsidRPr="00401D81">
              <w:t>Декларация министров «Судоходство по внутренним водным путям во всемирном контексте»</w:t>
            </w:r>
          </w:p>
        </w:tc>
      </w:tr>
      <w:tr w:rsidR="00F87028" w:rsidRPr="002814C7" w14:paraId="5686AE64" w14:textId="77777777" w:rsidTr="00496931">
        <w:tc>
          <w:tcPr>
            <w:tcW w:w="1985" w:type="dxa"/>
            <w:shd w:val="clear" w:color="auto" w:fill="auto"/>
          </w:tcPr>
          <w:p w14:paraId="7FAA279D" w14:textId="77777777" w:rsidR="00F87028" w:rsidRPr="00A12E2C" w:rsidRDefault="00F34CB6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  <w:jc w:val="both"/>
              <w:rPr>
                <w:color w:val="0000FF" w:themeColor="hyperlink"/>
              </w:rPr>
            </w:pPr>
            <w:hyperlink r:id="rId33" w:history="1">
              <w:r w:rsidR="00F87028" w:rsidRPr="00A12E2C">
                <w:rPr>
                  <w:color w:val="0000FF" w:themeColor="hyperlink"/>
                </w:rPr>
                <w:t>B (66)</w:t>
              </w:r>
            </w:hyperlink>
          </w:p>
        </w:tc>
        <w:tc>
          <w:tcPr>
            <w:tcW w:w="5386" w:type="dxa"/>
            <w:shd w:val="clear" w:color="auto" w:fill="auto"/>
          </w:tcPr>
          <w:p w14:paraId="3DBEA9D9" w14:textId="77777777" w:rsidR="00F87028" w:rsidRPr="00401D81" w:rsidRDefault="00F87028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173"/>
              <w:jc w:val="both"/>
            </w:pPr>
            <w:r w:rsidRPr="00401D81">
              <w:t>Утверждение Женевской хартии Организации Объединенных Наций об устойчивом жилищном хозяйстве</w:t>
            </w:r>
          </w:p>
        </w:tc>
      </w:tr>
      <w:tr w:rsidR="00F87028" w:rsidRPr="002814C7" w14:paraId="4750B1F9" w14:textId="77777777" w:rsidTr="00496931">
        <w:tc>
          <w:tcPr>
            <w:tcW w:w="7371" w:type="dxa"/>
            <w:gridSpan w:val="2"/>
            <w:shd w:val="clear" w:color="auto" w:fill="auto"/>
          </w:tcPr>
          <w:p w14:paraId="07DD13E3" w14:textId="77777777" w:rsidR="00F87028" w:rsidRPr="00401D81" w:rsidRDefault="00F87028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173"/>
            </w:pPr>
            <w:r w:rsidRPr="00401D81">
              <w:rPr>
                <w:i/>
                <w:iCs/>
              </w:rPr>
              <w:t>Решения, принятые договорными органами в рамках соглашений Организации Объединенных Наций, касающихся транспорта</w:t>
            </w:r>
          </w:p>
        </w:tc>
      </w:tr>
      <w:tr w:rsidR="00F87028" w:rsidRPr="002814C7" w14:paraId="494731E2" w14:textId="77777777" w:rsidTr="00496931">
        <w:tc>
          <w:tcPr>
            <w:tcW w:w="1985" w:type="dxa"/>
            <w:shd w:val="clear" w:color="auto" w:fill="auto"/>
          </w:tcPr>
          <w:p w14:paraId="7DC8745F" w14:textId="77777777" w:rsidR="00F87028" w:rsidRPr="00A12E2C" w:rsidRDefault="00F34CB6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  <w:jc w:val="both"/>
              <w:rPr>
                <w:color w:val="0000FF" w:themeColor="hyperlink"/>
              </w:rPr>
            </w:pPr>
            <w:hyperlink r:id="rId34" w:history="1">
              <w:r w:rsidR="00F87028" w:rsidRPr="00A12E2C">
                <w:rPr>
                  <w:color w:val="0000FF" w:themeColor="hyperlink"/>
                </w:rPr>
                <w:t>E/ECE/TRANS/505/</w:t>
              </w:r>
              <w:r w:rsidR="00F87028">
                <w:rPr>
                  <w:color w:val="0000FF" w:themeColor="hyperlink"/>
                </w:rPr>
                <w:br/>
              </w:r>
              <w:r w:rsidR="00F87028" w:rsidRPr="00A12E2C">
                <w:rPr>
                  <w:color w:val="0000FF" w:themeColor="hyperlink"/>
                </w:rPr>
                <w:t>Rev.3</w:t>
              </w:r>
            </w:hyperlink>
          </w:p>
        </w:tc>
        <w:tc>
          <w:tcPr>
            <w:tcW w:w="5386" w:type="dxa"/>
            <w:shd w:val="clear" w:color="auto" w:fill="auto"/>
          </w:tcPr>
          <w:p w14:paraId="0E255554" w14:textId="77777777" w:rsidR="00F87028" w:rsidRPr="00401D81" w:rsidRDefault="00F87028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173"/>
              <w:jc w:val="both"/>
            </w:pPr>
            <w:r w:rsidRPr="00401D81">
              <w:t>Соглашение 1958</w:t>
            </w:r>
            <w:r w:rsidR="00DD0A4E" w:rsidRPr="00DD0A4E">
              <w:t xml:space="preserve"> </w:t>
            </w:r>
            <w:r w:rsidRPr="00401D81">
              <w:t>года 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      </w:r>
          </w:p>
        </w:tc>
      </w:tr>
      <w:tr w:rsidR="00F87028" w:rsidRPr="002814C7" w14:paraId="64EE5537" w14:textId="77777777" w:rsidTr="00496931">
        <w:tc>
          <w:tcPr>
            <w:tcW w:w="1985" w:type="dxa"/>
            <w:shd w:val="clear" w:color="auto" w:fill="auto"/>
          </w:tcPr>
          <w:p w14:paraId="4B51980C" w14:textId="77777777" w:rsidR="00F87028" w:rsidRPr="00A12E2C" w:rsidRDefault="00F34CB6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  <w:jc w:val="both"/>
              <w:rPr>
                <w:color w:val="0000FF" w:themeColor="hyperlink"/>
              </w:rPr>
            </w:pPr>
            <w:hyperlink r:id="rId35" w:history="1">
              <w:r w:rsidR="00F87028" w:rsidRPr="00A12E2C">
                <w:rPr>
                  <w:color w:val="0000FF" w:themeColor="hyperlink"/>
                </w:rPr>
                <w:t>ECE/RCTE/CONF/4</w:t>
              </w:r>
            </w:hyperlink>
          </w:p>
        </w:tc>
        <w:tc>
          <w:tcPr>
            <w:tcW w:w="5386" w:type="dxa"/>
            <w:shd w:val="clear" w:color="auto" w:fill="auto"/>
          </w:tcPr>
          <w:p w14:paraId="1442E23F" w14:textId="77777777" w:rsidR="00F87028" w:rsidRPr="00401D81" w:rsidRDefault="00F87028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173"/>
              <w:jc w:val="both"/>
            </w:pPr>
            <w:r w:rsidRPr="00401D81">
              <w:t>Соглашение 1997</w:t>
            </w:r>
            <w:r w:rsidR="00DD0A4E" w:rsidRPr="00DD0A4E">
              <w:t xml:space="preserve"> </w:t>
            </w:r>
            <w:r w:rsidRPr="00401D81">
              <w:t xml:space="preserve">года о принятии единообразных условий для периодических технических осмотров колесных транспортных средств и о взаимном признании таких осмотров </w:t>
            </w:r>
          </w:p>
        </w:tc>
      </w:tr>
      <w:tr w:rsidR="00F87028" w:rsidRPr="002814C7" w14:paraId="201FA943" w14:textId="77777777" w:rsidTr="00496931">
        <w:tc>
          <w:tcPr>
            <w:tcW w:w="1985" w:type="dxa"/>
            <w:shd w:val="clear" w:color="auto" w:fill="auto"/>
          </w:tcPr>
          <w:p w14:paraId="26480004" w14:textId="77777777" w:rsidR="00F87028" w:rsidRPr="00A12E2C" w:rsidRDefault="00F34CB6" w:rsidP="00496931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  <w:jc w:val="both"/>
              <w:rPr>
                <w:color w:val="0000FF" w:themeColor="hyperlink"/>
              </w:rPr>
            </w:pPr>
            <w:hyperlink r:id="rId36" w:history="1">
              <w:r w:rsidR="00F87028" w:rsidRPr="00A12E2C">
                <w:rPr>
                  <w:color w:val="0000FF" w:themeColor="hyperlink"/>
                </w:rPr>
                <w:t>ECE/TRANS/132</w:t>
              </w:r>
            </w:hyperlink>
          </w:p>
        </w:tc>
        <w:tc>
          <w:tcPr>
            <w:tcW w:w="5386" w:type="dxa"/>
            <w:shd w:val="clear" w:color="auto" w:fill="auto"/>
          </w:tcPr>
          <w:p w14:paraId="3335558C" w14:textId="77777777" w:rsidR="00F87028" w:rsidRPr="00401D81" w:rsidRDefault="00F87028" w:rsidP="00496931">
            <w:pPr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173"/>
              <w:jc w:val="both"/>
            </w:pPr>
            <w:r w:rsidRPr="00401D81">
              <w:t>Соглашение 1998</w:t>
            </w:r>
            <w:r w:rsidR="00DD0A4E" w:rsidRPr="00DD0A4E">
              <w:t xml:space="preserve"> </w:t>
            </w:r>
            <w:r w:rsidRPr="00401D81">
              <w:t>года о введении глобальных технических правил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</w:t>
            </w:r>
          </w:p>
        </w:tc>
      </w:tr>
      <w:tr w:rsidR="00F87028" w:rsidRPr="002814C7" w14:paraId="3FCC9E83" w14:textId="77777777" w:rsidTr="00496931">
        <w:tc>
          <w:tcPr>
            <w:tcW w:w="1985" w:type="dxa"/>
            <w:shd w:val="clear" w:color="auto" w:fill="auto"/>
          </w:tcPr>
          <w:p w14:paraId="79AD3B2A" w14:textId="77777777" w:rsidR="00F87028" w:rsidRPr="00F87028" w:rsidRDefault="00F34CB6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  <w:rPr>
                <w:color w:val="0000FF" w:themeColor="hyperlink"/>
                <w:lang w:val="en-US"/>
              </w:rPr>
            </w:pPr>
            <w:hyperlink r:id="rId37" w:history="1">
              <w:r w:rsidR="00F87028" w:rsidRPr="00F87028">
                <w:rPr>
                  <w:rStyle w:val="Hyperlink"/>
                  <w:lang w:val="en-US"/>
                </w:rPr>
                <w:t>ECE/TRANS/ADN/</w:t>
              </w:r>
              <w:r w:rsidR="00F87028" w:rsidRPr="00F87028">
                <w:rPr>
                  <w:rStyle w:val="Hyperlink"/>
                  <w:lang w:val="en-US"/>
                </w:rPr>
                <w:br/>
                <w:t>CONF/10/Add.1</w:t>
              </w:r>
            </w:hyperlink>
            <w:r w:rsidR="00F87028" w:rsidRPr="00F87028">
              <w:rPr>
                <w:color w:val="0000FF" w:themeColor="hyperlink"/>
                <w:lang w:val="en-US"/>
              </w:rPr>
              <w:t xml:space="preserve"> </w:t>
            </w:r>
            <w:r w:rsidR="00F87028" w:rsidRPr="00A12E2C">
              <w:t>и</w:t>
            </w:r>
            <w:r w:rsidR="00F87028" w:rsidRPr="00F87028">
              <w:rPr>
                <w:color w:val="0000FF" w:themeColor="hyperlink"/>
                <w:lang w:val="en-US"/>
              </w:rPr>
              <w:t xml:space="preserve"> </w:t>
            </w:r>
            <w:hyperlink r:id="rId38" w:history="1">
              <w:r w:rsidR="00F87028" w:rsidRPr="00F87028">
                <w:rPr>
                  <w:rStyle w:val="Hyperlink"/>
                  <w:lang w:val="en-US"/>
                </w:rPr>
                <w:t>Corr.1</w:t>
              </w:r>
            </w:hyperlink>
          </w:p>
        </w:tc>
        <w:tc>
          <w:tcPr>
            <w:tcW w:w="5386" w:type="dxa"/>
            <w:shd w:val="clear" w:color="auto" w:fill="auto"/>
          </w:tcPr>
          <w:p w14:paraId="05C3B392" w14:textId="77777777" w:rsidR="00F87028" w:rsidRPr="00401D81" w:rsidRDefault="00F87028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173"/>
              <w:jc w:val="both"/>
            </w:pPr>
            <w:r w:rsidRPr="00401D81">
              <w:t>Европейское соглашение о международной перевозке опасных грузов по внутренним водным путям</w:t>
            </w:r>
          </w:p>
        </w:tc>
      </w:tr>
      <w:tr w:rsidR="00F87028" w:rsidRPr="002814C7" w14:paraId="5063ED4A" w14:textId="77777777" w:rsidTr="00496931">
        <w:tc>
          <w:tcPr>
            <w:tcW w:w="1985" w:type="dxa"/>
            <w:shd w:val="clear" w:color="auto" w:fill="auto"/>
          </w:tcPr>
          <w:p w14:paraId="27E9E374" w14:textId="77777777" w:rsidR="00F87028" w:rsidRPr="005935F0" w:rsidRDefault="00F34CB6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40"/>
              <w:jc w:val="both"/>
            </w:pPr>
            <w:hyperlink r:id="rId39" w:history="1">
              <w:r w:rsidR="00F87028" w:rsidRPr="00A12E2C">
                <w:rPr>
                  <w:color w:val="0000FF" w:themeColor="hyperlink"/>
                </w:rPr>
                <w:t>ECE/TRANS/WP.30/</w:t>
              </w:r>
              <w:r w:rsidR="00F87028">
                <w:rPr>
                  <w:color w:val="0000FF" w:themeColor="hyperlink"/>
                </w:rPr>
                <w:br/>
              </w:r>
              <w:r w:rsidR="00F87028" w:rsidRPr="00A12E2C">
                <w:rPr>
                  <w:color w:val="0000FF" w:themeColor="hyperlink"/>
                </w:rPr>
                <w:t>AC.2/125</w:t>
              </w:r>
            </w:hyperlink>
          </w:p>
        </w:tc>
        <w:tc>
          <w:tcPr>
            <w:tcW w:w="5386" w:type="dxa"/>
            <w:shd w:val="clear" w:color="auto" w:fill="auto"/>
          </w:tcPr>
          <w:p w14:paraId="52C7A724" w14:textId="77777777" w:rsidR="00F87028" w:rsidRPr="00401D81" w:rsidRDefault="00F87028" w:rsidP="0049693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/>
              <w:ind w:right="173"/>
              <w:jc w:val="both"/>
            </w:pPr>
            <w:r w:rsidRPr="00401D81">
              <w:t>Доклад Административного комитета Конвенции МДП 1975</w:t>
            </w:r>
            <w:r>
              <w:rPr>
                <w:lang w:val="en-US"/>
              </w:rPr>
              <w:t> </w:t>
            </w:r>
            <w:r w:rsidRPr="00401D81">
              <w:t>года о работе его шестьдесят первой сессии (приложение</w:t>
            </w:r>
            <w:r>
              <w:t> II</w:t>
            </w:r>
            <w:r w:rsidRPr="00401D81">
              <w:t xml:space="preserve"> «Совместное заявление о компьютеризации процедуры МДП»)</w:t>
            </w:r>
          </w:p>
        </w:tc>
      </w:tr>
    </w:tbl>
    <w:p w14:paraId="2493083A" w14:textId="77777777" w:rsidR="00F87028" w:rsidRPr="00401D81" w:rsidRDefault="00F87028" w:rsidP="00F87028">
      <w:pPr>
        <w:pStyle w:val="HChG"/>
      </w:pPr>
      <w:r w:rsidRPr="00401D81">
        <w:lastRenderedPageBreak/>
        <w:tab/>
      </w:r>
      <w:r w:rsidRPr="00342273">
        <w:rPr>
          <w:lang w:val="en-US"/>
        </w:rPr>
        <w:t>VII</w:t>
      </w:r>
      <w:r w:rsidRPr="00401D81">
        <w:t>.</w:t>
      </w:r>
      <w:r w:rsidRPr="00401D81">
        <w:tab/>
      </w:r>
      <w:r w:rsidRPr="00401D81">
        <w:rPr>
          <w:bCs/>
        </w:rPr>
        <w:t>Результаты</w:t>
      </w:r>
    </w:p>
    <w:p w14:paraId="37AF5277" w14:textId="77777777" w:rsidR="00F87028" w:rsidRPr="00401D81" w:rsidRDefault="00F87028" w:rsidP="00DD0A4E">
      <w:pPr>
        <w:pStyle w:val="SingleTxtG"/>
        <w:rPr>
          <w:rFonts w:ascii="Segoe UI" w:hAnsi="Segoe UI" w:cs="Segoe UI"/>
          <w:sz w:val="18"/>
          <w:szCs w:val="18"/>
        </w:rPr>
      </w:pPr>
      <w:r w:rsidRPr="00401D81">
        <w:t>15.</w:t>
      </w:r>
      <w:r w:rsidRPr="00401D81">
        <w:tab/>
        <w:t>Мандаты обеспечивают нормативную основу для достижения результатов. В</w:t>
      </w:r>
      <w:r>
        <w:t> </w:t>
      </w:r>
      <w:r w:rsidRPr="00401D81">
        <w:t>таблице</w:t>
      </w:r>
      <w:r>
        <w:t> </w:t>
      </w:r>
      <w:r w:rsidRPr="00401D81">
        <w:t>20.1 перечислены с разбивкой по категориям и подкатегориям все запланированные на период 2019–2021</w:t>
      </w:r>
      <w:r>
        <w:t> </w:t>
      </w:r>
      <w:r w:rsidRPr="00401D81">
        <w:t>годов результаты, которые содействовали и, как ожидается, будут содействовать достижению цели, изложенной выше.</w:t>
      </w:r>
    </w:p>
    <w:p w14:paraId="5BFB7E50" w14:textId="77777777" w:rsidR="00F87028" w:rsidRPr="00401D81" w:rsidRDefault="00F87028" w:rsidP="00DD0A4E">
      <w:pPr>
        <w:pStyle w:val="H23G"/>
        <w:ind w:left="0" w:right="0" w:firstLine="0"/>
        <w:rPr>
          <w:rFonts w:ascii="Segoe UI" w:hAnsi="Segoe UI" w:cs="Segoe UI"/>
          <w:sz w:val="18"/>
          <w:szCs w:val="18"/>
        </w:rPr>
      </w:pPr>
      <w:r w:rsidRPr="00DD0A4E">
        <w:rPr>
          <w:b w:val="0"/>
        </w:rPr>
        <w:t>Таблица</w:t>
      </w:r>
      <w:r w:rsidR="00DD0A4E" w:rsidRPr="00DD0A4E">
        <w:rPr>
          <w:b w:val="0"/>
        </w:rPr>
        <w:t xml:space="preserve"> </w:t>
      </w:r>
      <w:r w:rsidRPr="00DD0A4E">
        <w:rPr>
          <w:b w:val="0"/>
        </w:rPr>
        <w:t>20.1</w:t>
      </w:r>
      <w:r w:rsidR="00DD0A4E">
        <w:br/>
      </w:r>
      <w:r w:rsidRPr="00401D81">
        <w:t>Подпрограмма 2: итоговые показатели за период 2019–2021</w:t>
      </w:r>
      <w:r w:rsidR="00DD0A4E" w:rsidRPr="00DD0A4E">
        <w:t xml:space="preserve"> </w:t>
      </w:r>
      <w:r w:rsidRPr="00401D81">
        <w:t>годов с разбивкой по категориям и</w:t>
      </w:r>
      <w:r w:rsidR="00DD0A4E">
        <w:rPr>
          <w:lang w:val="en-US"/>
        </w:rPr>
        <w:t> </w:t>
      </w:r>
      <w:r w:rsidRPr="00401D81">
        <w:t>подкатегориям</w:t>
      </w:r>
    </w:p>
    <w:tbl>
      <w:tblPr>
        <w:tblW w:w="96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7"/>
        <w:gridCol w:w="975"/>
        <w:gridCol w:w="1027"/>
        <w:gridCol w:w="742"/>
        <w:gridCol w:w="706"/>
      </w:tblGrid>
      <w:tr w:rsidR="00F87028" w:rsidRPr="00DD0A4E" w14:paraId="5FC705D0" w14:textId="77777777" w:rsidTr="00DA7D89">
        <w:trPr>
          <w:tblHeader/>
        </w:trPr>
        <w:tc>
          <w:tcPr>
            <w:tcW w:w="61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29B028" w14:textId="77777777" w:rsidR="00F87028" w:rsidRPr="00DD0A4E" w:rsidRDefault="00F87028" w:rsidP="00DA7D89">
            <w:pPr>
              <w:spacing w:before="80" w:after="80" w:line="200" w:lineRule="exact"/>
              <w:rPr>
                <w:rFonts w:eastAsia="Calibri" w:cs="Times New Roman"/>
                <w:i/>
                <w:sz w:val="16"/>
              </w:rPr>
            </w:pPr>
            <w:r w:rsidRPr="00DD0A4E">
              <w:rPr>
                <w:rFonts w:cs="Times New Roman"/>
                <w:i/>
                <w:sz w:val="16"/>
              </w:rPr>
              <w:t>Результаты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C57DA5B" w14:textId="77777777" w:rsidR="00F87028" w:rsidRPr="00DD0A4E" w:rsidRDefault="00F87028" w:rsidP="00DA7D89">
            <w:pPr>
              <w:spacing w:before="80" w:after="80" w:line="200" w:lineRule="exact"/>
              <w:jc w:val="right"/>
              <w:rPr>
                <w:rFonts w:eastAsia="Calibri" w:cs="Times New Roman"/>
                <w:i/>
                <w:sz w:val="16"/>
              </w:rPr>
            </w:pPr>
            <w:r w:rsidRPr="00DD0A4E">
              <w:rPr>
                <w:rFonts w:cs="Times New Roman"/>
                <w:i/>
                <w:sz w:val="16"/>
              </w:rPr>
              <w:t>2019 год (план)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609726" w14:textId="77777777" w:rsidR="00F87028" w:rsidRPr="00DD0A4E" w:rsidRDefault="00F87028" w:rsidP="00DA7D89">
            <w:pPr>
              <w:spacing w:before="80" w:after="80" w:line="200" w:lineRule="exact"/>
              <w:jc w:val="right"/>
              <w:rPr>
                <w:rFonts w:eastAsia="Calibri" w:cs="Times New Roman"/>
                <w:i/>
                <w:sz w:val="16"/>
              </w:rPr>
            </w:pPr>
            <w:r w:rsidRPr="00DD0A4E">
              <w:rPr>
                <w:rFonts w:cs="Times New Roman"/>
                <w:i/>
                <w:sz w:val="16"/>
              </w:rPr>
              <w:t>2019 год (фактические)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193483A" w14:textId="77777777" w:rsidR="00F87028" w:rsidRPr="00DD0A4E" w:rsidRDefault="00F87028" w:rsidP="00DA7D89">
            <w:pPr>
              <w:spacing w:before="80" w:after="80" w:line="200" w:lineRule="exact"/>
              <w:jc w:val="right"/>
              <w:rPr>
                <w:rFonts w:eastAsia="Calibri" w:cs="Times New Roman"/>
                <w:i/>
                <w:sz w:val="16"/>
              </w:rPr>
            </w:pPr>
            <w:r w:rsidRPr="00DD0A4E">
              <w:rPr>
                <w:rFonts w:cs="Times New Roman"/>
                <w:i/>
                <w:sz w:val="16"/>
              </w:rPr>
              <w:t>2020 год (план)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468E1E" w14:textId="77777777" w:rsidR="00F87028" w:rsidRPr="00DD0A4E" w:rsidRDefault="00F87028" w:rsidP="00DA7D89">
            <w:pPr>
              <w:spacing w:before="80" w:after="80" w:line="200" w:lineRule="exact"/>
              <w:jc w:val="right"/>
              <w:rPr>
                <w:rFonts w:eastAsia="Calibri" w:cs="Times New Roman"/>
                <w:i/>
                <w:sz w:val="16"/>
              </w:rPr>
            </w:pPr>
            <w:r w:rsidRPr="00DD0A4E">
              <w:rPr>
                <w:rFonts w:cs="Times New Roman"/>
                <w:i/>
                <w:sz w:val="16"/>
              </w:rPr>
              <w:t>2021 год (план)</w:t>
            </w:r>
          </w:p>
        </w:tc>
      </w:tr>
      <w:tr w:rsidR="00F87028" w:rsidRPr="00DD0A4E" w14:paraId="11EAF999" w14:textId="77777777" w:rsidTr="00DD0A4E">
        <w:tc>
          <w:tcPr>
            <w:tcW w:w="6187" w:type="dxa"/>
            <w:tcBorders>
              <w:top w:val="single" w:sz="12" w:space="0" w:color="auto"/>
            </w:tcBorders>
            <w:shd w:val="clear" w:color="auto" w:fill="auto"/>
          </w:tcPr>
          <w:p w14:paraId="7136F27F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b/>
                <w:sz w:val="18"/>
                <w:szCs w:val="18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Количественные результаты</w:t>
            </w:r>
          </w:p>
          <w:p w14:paraId="6401EE97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b/>
                <w:strike/>
                <w:sz w:val="18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A.</w:t>
            </w:r>
            <w:r w:rsidRPr="00DD0A4E">
              <w:rPr>
                <w:rFonts w:cs="Times New Roman"/>
                <w:sz w:val="18"/>
              </w:rPr>
              <w:tab/>
            </w:r>
            <w:r w:rsidRPr="00DD0A4E">
              <w:rPr>
                <w:rFonts w:cs="Times New Roman"/>
                <w:b/>
                <w:bCs/>
                <w:sz w:val="18"/>
              </w:rPr>
              <w:t>Поддержка межправительственного процесса и экспертных органов</w:t>
            </w:r>
          </w:p>
        </w:tc>
        <w:tc>
          <w:tcPr>
            <w:tcW w:w="97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92B0BD2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sz w:val="18"/>
                <w:lang w:eastAsia="zh-CN"/>
              </w:rPr>
            </w:pPr>
          </w:p>
        </w:tc>
        <w:tc>
          <w:tcPr>
            <w:tcW w:w="10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3713F85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sz w:val="18"/>
                <w:lang w:eastAsia="zh-CN"/>
              </w:rPr>
            </w:pPr>
          </w:p>
        </w:tc>
        <w:tc>
          <w:tcPr>
            <w:tcW w:w="74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A9EAF0D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sz w:val="18"/>
                <w:lang w:eastAsia="zh-CN"/>
              </w:rPr>
            </w:pPr>
          </w:p>
        </w:tc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4AE687A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sz w:val="18"/>
                <w:lang w:eastAsia="zh-CN"/>
              </w:rPr>
            </w:pPr>
          </w:p>
        </w:tc>
      </w:tr>
      <w:tr w:rsidR="00F87028" w:rsidRPr="00DD0A4E" w14:paraId="2B512646" w14:textId="77777777" w:rsidTr="00DD0A4E">
        <w:tc>
          <w:tcPr>
            <w:tcW w:w="6187" w:type="dxa"/>
            <w:shd w:val="clear" w:color="auto" w:fill="auto"/>
          </w:tcPr>
          <w:p w14:paraId="7E761DEC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strike/>
                <w:sz w:val="18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Документация для заседающих органов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1466E18B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bCs/>
                <w:sz w:val="18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1 515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49E7603F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bCs/>
                <w:sz w:val="18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1 507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4C64270E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bCs/>
                <w:sz w:val="18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1 660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393B1994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bCs/>
                <w:sz w:val="18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 xml:space="preserve">1 </w:t>
            </w:r>
            <w:r w:rsidRPr="00DD0A4E">
              <w:rPr>
                <w:rFonts w:cs="Times New Roman"/>
                <w:b/>
                <w:bCs/>
                <w:sz w:val="18"/>
                <w:lang w:val="en-US"/>
              </w:rPr>
              <w:t>26</w:t>
            </w:r>
            <w:r w:rsidRPr="00DD0A4E">
              <w:rPr>
                <w:rFonts w:cs="Times New Roman"/>
                <w:b/>
                <w:bCs/>
                <w:sz w:val="18"/>
              </w:rPr>
              <w:t>4</w:t>
            </w:r>
          </w:p>
        </w:tc>
      </w:tr>
      <w:tr w:rsidR="00F87028" w:rsidRPr="00DD0A4E" w14:paraId="33F8974F" w14:textId="77777777" w:rsidTr="00DD0A4E">
        <w:tc>
          <w:tcPr>
            <w:tcW w:w="6187" w:type="dxa"/>
            <w:shd w:val="clear" w:color="auto" w:fill="auto"/>
          </w:tcPr>
          <w:p w14:paraId="6336074C" w14:textId="77777777" w:rsidR="00F87028" w:rsidRPr="00DD0A4E" w:rsidRDefault="00F87028" w:rsidP="00197AB9">
            <w:pPr>
              <w:spacing w:before="40" w:after="40" w:line="220" w:lineRule="exact"/>
              <w:rPr>
                <w:rFonts w:eastAsia="Calibri" w:cs="Times New Roman"/>
                <w:b/>
                <w:bCs/>
                <w:sz w:val="18"/>
              </w:rPr>
            </w:pPr>
            <w:r w:rsidRPr="00DD0A4E">
              <w:rPr>
                <w:rFonts w:cs="Times New Roman"/>
                <w:sz w:val="18"/>
              </w:rPr>
              <w:t>1.</w:t>
            </w:r>
            <w:r w:rsidRPr="00DD0A4E">
              <w:rPr>
                <w:rFonts w:cs="Times New Roman"/>
                <w:sz w:val="18"/>
              </w:rPr>
              <w:tab/>
            </w:r>
            <w:r w:rsidRPr="00DD0A4E">
              <w:rPr>
                <w:rFonts w:cs="Times New Roman"/>
                <w:b/>
                <w:bCs/>
                <w:sz w:val="18"/>
              </w:rPr>
              <w:t>Документация для заседающих органов Комитета по внутреннему транспорту</w:t>
            </w:r>
            <w:r w:rsidRPr="00DD0A4E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2AC2CD78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bCs/>
                <w:sz w:val="18"/>
                <w:szCs w:val="17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1 320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0E514CCA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bCs/>
                <w:sz w:val="18"/>
                <w:szCs w:val="17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1 312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5FFB8CD7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bCs/>
                <w:sz w:val="18"/>
                <w:szCs w:val="17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1 331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5056FB6E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bCs/>
                <w:sz w:val="18"/>
                <w:szCs w:val="17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1 071</w:t>
            </w:r>
          </w:p>
        </w:tc>
      </w:tr>
      <w:tr w:rsidR="00F87028" w:rsidRPr="00DD0A4E" w14:paraId="4684F66A" w14:textId="77777777" w:rsidTr="00DD0A4E">
        <w:tc>
          <w:tcPr>
            <w:tcW w:w="6187" w:type="dxa"/>
            <w:shd w:val="clear" w:color="auto" w:fill="auto"/>
          </w:tcPr>
          <w:p w14:paraId="62D17E33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sz w:val="18"/>
              </w:rPr>
            </w:pPr>
            <w:bookmarkStart w:id="5" w:name="_Hlk514851110"/>
            <w:r w:rsidRPr="00DD0A4E">
              <w:rPr>
                <w:rFonts w:cs="Times New Roman"/>
                <w:sz w:val="18"/>
              </w:rPr>
              <w:t>a.</w:t>
            </w:r>
            <w:r w:rsidRPr="00DD0A4E">
              <w:rPr>
                <w:rFonts w:cs="Times New Roman"/>
                <w:sz w:val="18"/>
              </w:rPr>
              <w:tab/>
              <w:t>Комитет по внутреннему транспорту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19E355D4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31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41605DB0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31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28F70134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31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26F600AF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31</w:t>
            </w:r>
          </w:p>
        </w:tc>
      </w:tr>
      <w:bookmarkEnd w:id="5"/>
      <w:tr w:rsidR="00F87028" w:rsidRPr="00DD0A4E" w14:paraId="32E4323B" w14:textId="77777777" w:rsidTr="00DD0A4E">
        <w:tc>
          <w:tcPr>
            <w:tcW w:w="6187" w:type="dxa"/>
            <w:shd w:val="clear" w:color="auto" w:fill="auto"/>
          </w:tcPr>
          <w:p w14:paraId="75EE2D3A" w14:textId="77777777" w:rsidR="00F87028" w:rsidRPr="00DD0A4E" w:rsidRDefault="00F87028" w:rsidP="00197AB9">
            <w:pPr>
              <w:spacing w:before="40" w:after="40" w:line="220" w:lineRule="exact"/>
              <w:rPr>
                <w:rFonts w:eastAsia="Calibri" w:cs="Times New Roman"/>
                <w:sz w:val="18"/>
              </w:rPr>
            </w:pPr>
            <w:r w:rsidRPr="00DD0A4E">
              <w:rPr>
                <w:rFonts w:cs="Times New Roman"/>
                <w:sz w:val="18"/>
              </w:rPr>
              <w:t>b.</w:t>
            </w:r>
            <w:r w:rsidRPr="00DD0A4E">
              <w:rPr>
                <w:rFonts w:cs="Times New Roman"/>
                <w:sz w:val="18"/>
              </w:rPr>
              <w:tab/>
              <w:t>Всемирный форум для согласования правил в области транспортных средств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4D49F96A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837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29F22E5A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837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4AE8FA2D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840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66D27520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580</w:t>
            </w:r>
          </w:p>
        </w:tc>
      </w:tr>
      <w:tr w:rsidR="00F87028" w:rsidRPr="00DD0A4E" w14:paraId="5580F285" w14:textId="77777777" w:rsidTr="00DD0A4E">
        <w:tc>
          <w:tcPr>
            <w:tcW w:w="6187" w:type="dxa"/>
            <w:shd w:val="clear" w:color="auto" w:fill="auto"/>
          </w:tcPr>
          <w:p w14:paraId="7767C098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sz w:val="18"/>
              </w:rPr>
            </w:pPr>
            <w:r w:rsidRPr="00DD0A4E">
              <w:rPr>
                <w:rFonts w:cs="Times New Roman"/>
                <w:sz w:val="18"/>
              </w:rPr>
              <w:t>c.</w:t>
            </w:r>
            <w:r w:rsidRPr="00DD0A4E">
              <w:rPr>
                <w:rFonts w:cs="Times New Roman"/>
                <w:sz w:val="18"/>
              </w:rPr>
              <w:tab/>
              <w:t>Рабочая группа по перевозкам скоропортящихся пищевых продуктов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62548C24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33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609123E8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33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3B1B6B86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33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25F8D144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33</w:t>
            </w:r>
          </w:p>
        </w:tc>
      </w:tr>
      <w:tr w:rsidR="00F87028" w:rsidRPr="00DD0A4E" w14:paraId="7754DA78" w14:textId="77777777" w:rsidTr="00DD0A4E">
        <w:tc>
          <w:tcPr>
            <w:tcW w:w="6187" w:type="dxa"/>
            <w:shd w:val="clear" w:color="auto" w:fill="auto"/>
          </w:tcPr>
          <w:p w14:paraId="4EE4C9D5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sz w:val="18"/>
              </w:rPr>
            </w:pPr>
            <w:r w:rsidRPr="00DD0A4E">
              <w:rPr>
                <w:rFonts w:cs="Times New Roman"/>
                <w:sz w:val="18"/>
              </w:rPr>
              <w:t>d.</w:t>
            </w:r>
            <w:r w:rsidRPr="00DD0A4E">
              <w:rPr>
                <w:rFonts w:cs="Times New Roman"/>
                <w:sz w:val="18"/>
              </w:rPr>
              <w:tab/>
              <w:t>Рабочая группа по перевозкам опасных грузов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3A1FD156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214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71AEABBA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214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54FEF674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214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5441B1F5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214</w:t>
            </w:r>
          </w:p>
        </w:tc>
      </w:tr>
      <w:tr w:rsidR="00F87028" w:rsidRPr="00DD0A4E" w14:paraId="0C8F42C3" w14:textId="77777777" w:rsidTr="00DD0A4E">
        <w:tc>
          <w:tcPr>
            <w:tcW w:w="6187" w:type="dxa"/>
            <w:shd w:val="clear" w:color="auto" w:fill="auto"/>
          </w:tcPr>
          <w:p w14:paraId="0D4E1EF7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sz w:val="18"/>
              </w:rPr>
            </w:pPr>
            <w:r w:rsidRPr="00DD0A4E">
              <w:rPr>
                <w:rFonts w:cs="Times New Roman"/>
                <w:sz w:val="18"/>
              </w:rPr>
              <w:t>e.</w:t>
            </w:r>
            <w:r w:rsidRPr="00DD0A4E">
              <w:rPr>
                <w:rFonts w:cs="Times New Roman"/>
                <w:sz w:val="18"/>
              </w:rPr>
              <w:tab/>
              <w:t>Рабочая группа по тенденциям и экономике транспорта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09069677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25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5CC71790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17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5CDFE253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32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13FA8364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20</w:t>
            </w:r>
          </w:p>
        </w:tc>
      </w:tr>
      <w:tr w:rsidR="00F87028" w:rsidRPr="00DD0A4E" w14:paraId="4D4A1A39" w14:textId="77777777" w:rsidTr="00DD0A4E">
        <w:tc>
          <w:tcPr>
            <w:tcW w:w="6187" w:type="dxa"/>
            <w:shd w:val="clear" w:color="auto" w:fill="auto"/>
          </w:tcPr>
          <w:p w14:paraId="6F00E57D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sz w:val="18"/>
              </w:rPr>
            </w:pPr>
            <w:r w:rsidRPr="00DD0A4E">
              <w:rPr>
                <w:rFonts w:cs="Times New Roman"/>
                <w:sz w:val="18"/>
              </w:rPr>
              <w:t>f.</w:t>
            </w:r>
            <w:r w:rsidRPr="00DD0A4E">
              <w:rPr>
                <w:rFonts w:cs="Times New Roman"/>
                <w:sz w:val="18"/>
              </w:rPr>
              <w:tab/>
              <w:t>Рабочая группа по статистике транспорта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1070E486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14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55FBA2C0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14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319F70D3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14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4CB816A8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14</w:t>
            </w:r>
          </w:p>
        </w:tc>
      </w:tr>
      <w:tr w:rsidR="00F87028" w:rsidRPr="00DD0A4E" w14:paraId="0C3E07F0" w14:textId="77777777" w:rsidTr="00DD0A4E">
        <w:tc>
          <w:tcPr>
            <w:tcW w:w="6187" w:type="dxa"/>
            <w:shd w:val="clear" w:color="auto" w:fill="auto"/>
          </w:tcPr>
          <w:p w14:paraId="2EDCEBD4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sz w:val="18"/>
              </w:rPr>
            </w:pPr>
            <w:r w:rsidRPr="00DD0A4E">
              <w:rPr>
                <w:rFonts w:cs="Times New Roman"/>
                <w:sz w:val="18"/>
              </w:rPr>
              <w:t>g.</w:t>
            </w:r>
            <w:r w:rsidRPr="00DD0A4E">
              <w:rPr>
                <w:rFonts w:cs="Times New Roman"/>
                <w:sz w:val="18"/>
              </w:rPr>
              <w:tab/>
              <w:t>Рабочая группа по автомобильному транспорту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6C4FE5CD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9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502FD5BE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9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5627C5FE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10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4EE397A9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10</w:t>
            </w:r>
          </w:p>
        </w:tc>
      </w:tr>
      <w:tr w:rsidR="00F87028" w:rsidRPr="00DD0A4E" w14:paraId="6F6B957C" w14:textId="77777777" w:rsidTr="00DD0A4E">
        <w:tc>
          <w:tcPr>
            <w:tcW w:w="6187" w:type="dxa"/>
            <w:shd w:val="clear" w:color="auto" w:fill="auto"/>
          </w:tcPr>
          <w:p w14:paraId="42C337FC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sz w:val="18"/>
              </w:rPr>
            </w:pPr>
            <w:r w:rsidRPr="00DD0A4E">
              <w:rPr>
                <w:rFonts w:cs="Times New Roman"/>
                <w:sz w:val="18"/>
              </w:rPr>
              <w:t>h.</w:t>
            </w:r>
            <w:r w:rsidRPr="00DD0A4E">
              <w:rPr>
                <w:rFonts w:cs="Times New Roman"/>
                <w:sz w:val="18"/>
              </w:rPr>
              <w:tab/>
              <w:t>Глобальный форум по безопасности дорожного движения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5647A86B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16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161503F7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16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3F45CE35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16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740498EC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16</w:t>
            </w:r>
          </w:p>
        </w:tc>
      </w:tr>
      <w:tr w:rsidR="00F87028" w:rsidRPr="00DD0A4E" w14:paraId="09624609" w14:textId="77777777" w:rsidTr="00DD0A4E">
        <w:tc>
          <w:tcPr>
            <w:tcW w:w="6187" w:type="dxa"/>
            <w:shd w:val="clear" w:color="auto" w:fill="auto"/>
          </w:tcPr>
          <w:p w14:paraId="0D52AAB7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sz w:val="18"/>
              </w:rPr>
            </w:pPr>
            <w:r w:rsidRPr="00DD0A4E">
              <w:rPr>
                <w:rFonts w:cs="Times New Roman"/>
                <w:sz w:val="18"/>
              </w:rPr>
              <w:t>i.</w:t>
            </w:r>
            <w:r w:rsidRPr="00DD0A4E">
              <w:rPr>
                <w:rFonts w:cs="Times New Roman"/>
                <w:sz w:val="18"/>
              </w:rPr>
              <w:tab/>
              <w:t>Рабочая группа по железнодорожному транспорту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376BDAEA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12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3FBA11D5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12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604AF583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12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36B99A53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26</w:t>
            </w:r>
          </w:p>
        </w:tc>
      </w:tr>
      <w:tr w:rsidR="00F87028" w:rsidRPr="00DD0A4E" w14:paraId="66FBD8BF" w14:textId="77777777" w:rsidTr="00DD0A4E">
        <w:tc>
          <w:tcPr>
            <w:tcW w:w="6187" w:type="dxa"/>
            <w:shd w:val="clear" w:color="auto" w:fill="auto"/>
          </w:tcPr>
          <w:p w14:paraId="1A257F9E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sz w:val="18"/>
              </w:rPr>
            </w:pPr>
            <w:r w:rsidRPr="00DD0A4E">
              <w:rPr>
                <w:rFonts w:cs="Times New Roman"/>
                <w:sz w:val="18"/>
              </w:rPr>
              <w:t>j.</w:t>
            </w:r>
            <w:r w:rsidRPr="00DD0A4E">
              <w:rPr>
                <w:rFonts w:cs="Times New Roman"/>
                <w:sz w:val="18"/>
              </w:rPr>
              <w:tab/>
              <w:t>Рабочая группа по смешанным перевозкам и логистике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2B9D9AA7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11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5842D2BB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11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169B3683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11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5B870C9D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15</w:t>
            </w:r>
          </w:p>
        </w:tc>
      </w:tr>
      <w:tr w:rsidR="00F87028" w:rsidRPr="00DD0A4E" w14:paraId="3E689373" w14:textId="77777777" w:rsidTr="00DD0A4E">
        <w:tc>
          <w:tcPr>
            <w:tcW w:w="6187" w:type="dxa"/>
            <w:shd w:val="clear" w:color="auto" w:fill="auto"/>
          </w:tcPr>
          <w:p w14:paraId="66B6FEF0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sz w:val="18"/>
              </w:rPr>
            </w:pPr>
            <w:r w:rsidRPr="00DD0A4E">
              <w:rPr>
                <w:rFonts w:cs="Times New Roman"/>
                <w:sz w:val="18"/>
              </w:rPr>
              <w:t>k.</w:t>
            </w:r>
            <w:r w:rsidRPr="00DD0A4E">
              <w:rPr>
                <w:rFonts w:cs="Times New Roman"/>
                <w:sz w:val="18"/>
              </w:rPr>
              <w:tab/>
              <w:t>Рабочая группа по внутреннему водному транспорту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155F1814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47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7C2B7767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47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2A9096D7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47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07F789A7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41</w:t>
            </w:r>
          </w:p>
        </w:tc>
      </w:tr>
      <w:tr w:rsidR="00F87028" w:rsidRPr="00DD0A4E" w14:paraId="0085ECB9" w14:textId="77777777" w:rsidTr="00DD0A4E">
        <w:tc>
          <w:tcPr>
            <w:tcW w:w="6187" w:type="dxa"/>
            <w:shd w:val="clear" w:color="auto" w:fill="auto"/>
          </w:tcPr>
          <w:p w14:paraId="4CED7D11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sz w:val="18"/>
              </w:rPr>
            </w:pPr>
            <w:r w:rsidRPr="00DD0A4E">
              <w:rPr>
                <w:rFonts w:cs="Times New Roman"/>
                <w:sz w:val="18"/>
              </w:rPr>
              <w:t>l.</w:t>
            </w:r>
            <w:r w:rsidRPr="00DD0A4E">
              <w:rPr>
                <w:rFonts w:cs="Times New Roman"/>
                <w:sz w:val="18"/>
              </w:rPr>
              <w:tab/>
              <w:t>Рабочая группа по таможенным вопросам, связанным с транспортом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4DE3CA4B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71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36D48646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71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122FFBE8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71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55DFA9E7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71</w:t>
            </w:r>
          </w:p>
        </w:tc>
      </w:tr>
      <w:tr w:rsidR="00F87028" w:rsidRPr="00DD0A4E" w14:paraId="1EB6642A" w14:textId="77777777" w:rsidTr="00DD0A4E">
        <w:tc>
          <w:tcPr>
            <w:tcW w:w="6187" w:type="dxa"/>
            <w:shd w:val="clear" w:color="auto" w:fill="auto"/>
          </w:tcPr>
          <w:p w14:paraId="2CD7149A" w14:textId="77777777" w:rsidR="00F87028" w:rsidRPr="00DD0A4E" w:rsidRDefault="00F87028" w:rsidP="00197AB9">
            <w:pPr>
              <w:spacing w:before="40" w:after="40" w:line="220" w:lineRule="exact"/>
              <w:rPr>
                <w:rFonts w:eastAsia="Calibri" w:cs="Times New Roman"/>
                <w:b/>
                <w:bCs/>
                <w:sz w:val="18"/>
              </w:rPr>
            </w:pPr>
            <w:r w:rsidRPr="00DD0A4E">
              <w:rPr>
                <w:rFonts w:cs="Times New Roman"/>
                <w:sz w:val="18"/>
              </w:rPr>
              <w:t>2.</w:t>
            </w:r>
            <w:r w:rsidRPr="00DD0A4E">
              <w:rPr>
                <w:rFonts w:cs="Times New Roman"/>
                <w:sz w:val="18"/>
              </w:rPr>
              <w:tab/>
            </w:r>
            <w:r w:rsidRPr="00DD0A4E">
              <w:rPr>
                <w:rFonts w:cs="Times New Roman"/>
                <w:b/>
                <w:bCs/>
                <w:sz w:val="18"/>
              </w:rPr>
              <w:t>Документация для заседающих органов Экономического и</w:t>
            </w:r>
            <w:r w:rsidR="0007382C">
              <w:rPr>
                <w:rFonts w:cs="Times New Roman"/>
                <w:b/>
                <w:bCs/>
                <w:sz w:val="18"/>
                <w:lang w:val="en-US"/>
              </w:rPr>
              <w:t> </w:t>
            </w:r>
            <w:r w:rsidRPr="00DD0A4E">
              <w:rPr>
                <w:rFonts w:cs="Times New Roman"/>
                <w:b/>
                <w:bCs/>
                <w:sz w:val="18"/>
              </w:rPr>
              <w:t>Социального Совета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523E35E8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bCs/>
                <w:sz w:val="18"/>
                <w:szCs w:val="17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190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37A6E215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bCs/>
                <w:sz w:val="18"/>
                <w:szCs w:val="17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190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183C04DE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bCs/>
                <w:sz w:val="18"/>
                <w:szCs w:val="17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324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519365D4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bCs/>
                <w:sz w:val="18"/>
                <w:szCs w:val="17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190</w:t>
            </w:r>
          </w:p>
        </w:tc>
      </w:tr>
      <w:tr w:rsidR="00F87028" w:rsidRPr="00DD0A4E" w14:paraId="1846EE3D" w14:textId="77777777" w:rsidTr="00DD0A4E">
        <w:tc>
          <w:tcPr>
            <w:tcW w:w="6187" w:type="dxa"/>
            <w:shd w:val="clear" w:color="auto" w:fill="auto"/>
          </w:tcPr>
          <w:p w14:paraId="562D532F" w14:textId="77777777" w:rsidR="00F87028" w:rsidRPr="00DD0A4E" w:rsidRDefault="00F87028" w:rsidP="00197AB9">
            <w:pPr>
              <w:spacing w:before="40" w:after="40" w:line="220" w:lineRule="exact"/>
              <w:rPr>
                <w:rFonts w:eastAsia="Calibri" w:cs="Times New Roman"/>
                <w:sz w:val="18"/>
              </w:rPr>
            </w:pPr>
            <w:r w:rsidRPr="00DD0A4E">
              <w:rPr>
                <w:rFonts w:cs="Times New Roman"/>
                <w:sz w:val="18"/>
              </w:rPr>
              <w:t>a.</w:t>
            </w:r>
            <w:r w:rsidRPr="00DD0A4E">
              <w:rPr>
                <w:rFonts w:cs="Times New Roman"/>
                <w:sz w:val="18"/>
              </w:rPr>
              <w:tab/>
              <w:t>Комитет экспертов по перевозке опасных грузов и согласованной на глобальном уровне системе классификации опасности и маркировки химической продукции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23DD0732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7169C9D3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02709A7E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34E38A8C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</w:t>
            </w:r>
          </w:p>
        </w:tc>
      </w:tr>
      <w:tr w:rsidR="00F87028" w:rsidRPr="00DD0A4E" w14:paraId="03F74AD5" w14:textId="77777777" w:rsidTr="00DD0A4E">
        <w:tc>
          <w:tcPr>
            <w:tcW w:w="6187" w:type="dxa"/>
            <w:shd w:val="clear" w:color="auto" w:fill="auto"/>
          </w:tcPr>
          <w:p w14:paraId="742E4850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sz w:val="18"/>
              </w:rPr>
            </w:pPr>
            <w:r w:rsidRPr="00DD0A4E">
              <w:rPr>
                <w:rFonts w:cs="Times New Roman"/>
                <w:sz w:val="18"/>
              </w:rPr>
              <w:t>b.</w:t>
            </w:r>
            <w:r w:rsidRPr="00DD0A4E">
              <w:rPr>
                <w:rFonts w:cs="Times New Roman"/>
                <w:sz w:val="18"/>
              </w:rPr>
              <w:tab/>
              <w:t>Подкомитет экспертов по перевозке опасных грузов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2E992112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157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43967AB1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157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7EEDB941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257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00E8F478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157</w:t>
            </w:r>
          </w:p>
        </w:tc>
      </w:tr>
      <w:tr w:rsidR="00F87028" w:rsidRPr="00DD0A4E" w14:paraId="71F722C1" w14:textId="77777777" w:rsidTr="00DD0A4E">
        <w:tc>
          <w:tcPr>
            <w:tcW w:w="6187" w:type="dxa"/>
            <w:shd w:val="clear" w:color="auto" w:fill="auto"/>
          </w:tcPr>
          <w:p w14:paraId="40FE7970" w14:textId="77777777" w:rsidR="00F87028" w:rsidRPr="00DD0A4E" w:rsidRDefault="00F87028" w:rsidP="00197AB9">
            <w:pPr>
              <w:spacing w:before="40" w:after="40" w:line="220" w:lineRule="exact"/>
              <w:rPr>
                <w:rFonts w:eastAsia="Calibri" w:cs="Times New Roman"/>
                <w:sz w:val="18"/>
              </w:rPr>
            </w:pPr>
            <w:r w:rsidRPr="00DD0A4E">
              <w:rPr>
                <w:rFonts w:cs="Times New Roman"/>
                <w:sz w:val="18"/>
              </w:rPr>
              <w:t>c.</w:t>
            </w:r>
            <w:r w:rsidRPr="00DD0A4E">
              <w:rPr>
                <w:rFonts w:cs="Times New Roman"/>
                <w:sz w:val="18"/>
              </w:rPr>
              <w:tab/>
              <w:t>Подкомитет экспертов по Согласованной на глобальном уровне системе классификации опасности и маркировки химической продукции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7D859B87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32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09AC82D5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32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3A23D15D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62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0B23A82B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32</w:t>
            </w:r>
          </w:p>
        </w:tc>
      </w:tr>
      <w:tr w:rsidR="00F87028" w:rsidRPr="00DD0A4E" w14:paraId="7EF4FE26" w14:textId="77777777" w:rsidTr="00DD0A4E">
        <w:tc>
          <w:tcPr>
            <w:tcW w:w="6187" w:type="dxa"/>
            <w:shd w:val="clear" w:color="auto" w:fill="auto"/>
          </w:tcPr>
          <w:p w14:paraId="30FD3B9A" w14:textId="77777777" w:rsidR="00F87028" w:rsidRPr="00DD0A4E" w:rsidRDefault="00F87028" w:rsidP="00197AB9">
            <w:pPr>
              <w:spacing w:before="40" w:after="40" w:line="220" w:lineRule="exact"/>
              <w:rPr>
                <w:rFonts w:eastAsia="Calibri" w:cs="Times New Roman"/>
                <w:b/>
                <w:bCs/>
                <w:sz w:val="18"/>
              </w:rPr>
            </w:pPr>
            <w:r w:rsidRPr="00DD0A4E">
              <w:rPr>
                <w:rFonts w:cs="Times New Roman"/>
                <w:sz w:val="18"/>
              </w:rPr>
              <w:t>3.</w:t>
            </w:r>
            <w:r w:rsidRPr="00DD0A4E">
              <w:rPr>
                <w:rFonts w:cs="Times New Roman"/>
                <w:sz w:val="18"/>
              </w:rPr>
              <w:tab/>
            </w:r>
            <w:r w:rsidRPr="00DD0A4E">
              <w:rPr>
                <w:rFonts w:cs="Times New Roman"/>
                <w:b/>
                <w:bCs/>
                <w:sz w:val="18"/>
              </w:rPr>
              <w:t>Документация для заседающих органов Совещания высокого уровня по транспорту, окружающей среде и охране здоровья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7DE45596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bCs/>
                <w:sz w:val="18"/>
                <w:szCs w:val="17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5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3BB4691B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bCs/>
                <w:sz w:val="18"/>
                <w:szCs w:val="17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5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13311657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bCs/>
                <w:sz w:val="18"/>
                <w:szCs w:val="17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5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5D32BFCD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bCs/>
                <w:sz w:val="18"/>
                <w:szCs w:val="17"/>
              </w:rPr>
            </w:pPr>
            <w:r w:rsidRPr="00DD0A4E">
              <w:rPr>
                <w:rFonts w:eastAsia="Calibri" w:cs="Times New Roman"/>
                <w:b/>
                <w:bCs/>
                <w:sz w:val="18"/>
                <w:szCs w:val="17"/>
              </w:rPr>
              <w:t>3</w:t>
            </w:r>
          </w:p>
        </w:tc>
      </w:tr>
      <w:tr w:rsidR="00F87028" w:rsidRPr="00DD0A4E" w14:paraId="07308F4A" w14:textId="77777777" w:rsidTr="00DD0A4E">
        <w:tc>
          <w:tcPr>
            <w:tcW w:w="6187" w:type="dxa"/>
            <w:shd w:val="clear" w:color="auto" w:fill="auto"/>
          </w:tcPr>
          <w:p w14:paraId="17C7007A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strike/>
                <w:sz w:val="18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Основное обслуживание заседаний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486A07C9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354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26B97E17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368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35270A8E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373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35CCA707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364</w:t>
            </w:r>
          </w:p>
        </w:tc>
      </w:tr>
      <w:tr w:rsidR="00F87028" w:rsidRPr="00DD0A4E" w14:paraId="02A226B3" w14:textId="77777777" w:rsidTr="00DD0A4E">
        <w:tc>
          <w:tcPr>
            <w:tcW w:w="6187" w:type="dxa"/>
            <w:shd w:val="clear" w:color="auto" w:fill="auto"/>
          </w:tcPr>
          <w:p w14:paraId="6CF5B1E4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b/>
                <w:bCs/>
                <w:sz w:val="18"/>
              </w:rPr>
            </w:pPr>
            <w:r w:rsidRPr="00DD0A4E">
              <w:rPr>
                <w:rFonts w:cs="Times New Roman"/>
                <w:sz w:val="18"/>
              </w:rPr>
              <w:t>4.</w:t>
            </w:r>
            <w:r w:rsidRPr="00DD0A4E">
              <w:rPr>
                <w:rFonts w:cs="Times New Roman"/>
                <w:sz w:val="18"/>
              </w:rPr>
              <w:tab/>
            </w:r>
            <w:r w:rsidRPr="00DD0A4E">
              <w:rPr>
                <w:rFonts w:cs="Times New Roman"/>
                <w:b/>
                <w:bCs/>
                <w:sz w:val="18"/>
              </w:rPr>
              <w:t>Заседания Комитета по внутреннему транспорту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28B677E2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bCs/>
                <w:sz w:val="18"/>
                <w:szCs w:val="17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317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7B21DCE9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bCs/>
                <w:sz w:val="18"/>
                <w:szCs w:val="17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331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5D24BF3E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bCs/>
                <w:sz w:val="18"/>
                <w:szCs w:val="17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331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65C99D3D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bCs/>
                <w:sz w:val="18"/>
                <w:szCs w:val="17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327</w:t>
            </w:r>
          </w:p>
        </w:tc>
      </w:tr>
      <w:tr w:rsidR="00F87028" w:rsidRPr="00DD0A4E" w14:paraId="66B03A9C" w14:textId="77777777" w:rsidTr="00DD0A4E">
        <w:tc>
          <w:tcPr>
            <w:tcW w:w="6187" w:type="dxa"/>
            <w:shd w:val="clear" w:color="auto" w:fill="auto"/>
          </w:tcPr>
          <w:p w14:paraId="21B345F8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sz w:val="18"/>
              </w:rPr>
            </w:pPr>
            <w:r w:rsidRPr="00DD0A4E">
              <w:rPr>
                <w:rFonts w:cs="Times New Roman"/>
                <w:sz w:val="18"/>
              </w:rPr>
              <w:t>a.</w:t>
            </w:r>
            <w:r w:rsidRPr="00DD0A4E">
              <w:rPr>
                <w:rFonts w:cs="Times New Roman"/>
                <w:sz w:val="18"/>
              </w:rPr>
              <w:tab/>
              <w:t>Комитет по внутреннему транспорту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759003A0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16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30E7FB60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16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4EA35B3B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16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6BEFB99A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16</w:t>
            </w:r>
          </w:p>
        </w:tc>
      </w:tr>
      <w:tr w:rsidR="00F87028" w:rsidRPr="00DD0A4E" w14:paraId="39E3B1E6" w14:textId="77777777" w:rsidTr="00DD0A4E">
        <w:tc>
          <w:tcPr>
            <w:tcW w:w="6187" w:type="dxa"/>
            <w:shd w:val="clear" w:color="auto" w:fill="auto"/>
          </w:tcPr>
          <w:p w14:paraId="11C561A5" w14:textId="77777777" w:rsidR="00F87028" w:rsidRPr="00DD0A4E" w:rsidRDefault="00F87028" w:rsidP="00197AB9">
            <w:pPr>
              <w:spacing w:before="40" w:after="40" w:line="220" w:lineRule="exact"/>
              <w:rPr>
                <w:rFonts w:eastAsia="Calibri" w:cs="Times New Roman"/>
                <w:sz w:val="18"/>
              </w:rPr>
            </w:pPr>
            <w:r w:rsidRPr="00DD0A4E">
              <w:rPr>
                <w:rFonts w:cs="Times New Roman"/>
                <w:sz w:val="18"/>
              </w:rPr>
              <w:t>b.</w:t>
            </w:r>
            <w:r w:rsidRPr="00DD0A4E">
              <w:rPr>
                <w:rFonts w:cs="Times New Roman"/>
                <w:sz w:val="18"/>
              </w:rPr>
              <w:tab/>
              <w:t>Всемирный форум для согласования правил в области транспортных средств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5C3FAACA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111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1187FBE6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111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28D76B57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111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6B3DB8B4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111</w:t>
            </w:r>
          </w:p>
        </w:tc>
      </w:tr>
      <w:tr w:rsidR="00F87028" w:rsidRPr="00DD0A4E" w14:paraId="18A51F2A" w14:textId="77777777" w:rsidTr="00DD0A4E">
        <w:tc>
          <w:tcPr>
            <w:tcW w:w="6187" w:type="dxa"/>
            <w:shd w:val="clear" w:color="auto" w:fill="auto"/>
          </w:tcPr>
          <w:p w14:paraId="6F2C9C98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sz w:val="18"/>
              </w:rPr>
            </w:pPr>
            <w:r w:rsidRPr="00DD0A4E">
              <w:rPr>
                <w:rFonts w:cs="Times New Roman"/>
                <w:sz w:val="18"/>
              </w:rPr>
              <w:t>c.</w:t>
            </w:r>
            <w:r w:rsidRPr="00DD0A4E">
              <w:rPr>
                <w:rFonts w:cs="Times New Roman"/>
                <w:sz w:val="18"/>
              </w:rPr>
              <w:tab/>
              <w:t>Рабочая группа по перевозкам скоропортящихся пищевых продуктов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1D805D78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8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608E8DF2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8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57E87672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12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0C14E515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8</w:t>
            </w:r>
          </w:p>
        </w:tc>
      </w:tr>
      <w:tr w:rsidR="00F87028" w:rsidRPr="00DD0A4E" w14:paraId="09F4E04A" w14:textId="77777777" w:rsidTr="00DD0A4E">
        <w:tc>
          <w:tcPr>
            <w:tcW w:w="6187" w:type="dxa"/>
            <w:shd w:val="clear" w:color="auto" w:fill="auto"/>
          </w:tcPr>
          <w:p w14:paraId="11A93B25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sz w:val="18"/>
              </w:rPr>
            </w:pPr>
            <w:r w:rsidRPr="00DD0A4E">
              <w:rPr>
                <w:rFonts w:cs="Times New Roman"/>
                <w:sz w:val="18"/>
              </w:rPr>
              <w:t>d.</w:t>
            </w:r>
            <w:r w:rsidRPr="00DD0A4E">
              <w:rPr>
                <w:rFonts w:cs="Times New Roman"/>
                <w:sz w:val="18"/>
              </w:rPr>
              <w:tab/>
              <w:t>Рабочая группа по перевозкам опасных грузов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244EA65A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68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78508F1A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68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458ED26E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58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132B94B7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68</w:t>
            </w:r>
          </w:p>
        </w:tc>
      </w:tr>
      <w:tr w:rsidR="00F87028" w:rsidRPr="00DD0A4E" w14:paraId="394493AE" w14:textId="77777777" w:rsidTr="00DD0A4E">
        <w:tc>
          <w:tcPr>
            <w:tcW w:w="6187" w:type="dxa"/>
            <w:shd w:val="clear" w:color="auto" w:fill="auto"/>
          </w:tcPr>
          <w:p w14:paraId="124D2604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sz w:val="18"/>
              </w:rPr>
            </w:pPr>
            <w:r w:rsidRPr="00DD0A4E">
              <w:rPr>
                <w:rFonts w:cs="Times New Roman"/>
                <w:sz w:val="18"/>
              </w:rPr>
              <w:t>e.</w:t>
            </w:r>
            <w:r w:rsidRPr="00DD0A4E">
              <w:rPr>
                <w:rFonts w:cs="Times New Roman"/>
                <w:sz w:val="18"/>
              </w:rPr>
              <w:tab/>
              <w:t>Рабочая группа по тенденциям и экономике транспорта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34B82498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12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1760BD74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26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7550C3A2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32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366E1C68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22</w:t>
            </w:r>
          </w:p>
        </w:tc>
      </w:tr>
      <w:tr w:rsidR="00F87028" w:rsidRPr="00DD0A4E" w14:paraId="1AB2A69E" w14:textId="77777777" w:rsidTr="00DD0A4E">
        <w:tc>
          <w:tcPr>
            <w:tcW w:w="6187" w:type="dxa"/>
            <w:shd w:val="clear" w:color="auto" w:fill="auto"/>
          </w:tcPr>
          <w:p w14:paraId="16E24225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sz w:val="18"/>
              </w:rPr>
            </w:pPr>
            <w:r w:rsidRPr="00DD0A4E">
              <w:rPr>
                <w:rFonts w:cs="Times New Roman"/>
                <w:sz w:val="18"/>
              </w:rPr>
              <w:t>f.</w:t>
            </w:r>
            <w:r w:rsidRPr="00DD0A4E">
              <w:rPr>
                <w:rFonts w:cs="Times New Roman"/>
                <w:sz w:val="18"/>
              </w:rPr>
              <w:tab/>
              <w:t>Рабочая группа по статистике транспорта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0110474F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6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688C4836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6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68BB2764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6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6EE32295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6</w:t>
            </w:r>
          </w:p>
        </w:tc>
      </w:tr>
      <w:tr w:rsidR="00F87028" w:rsidRPr="00DD0A4E" w14:paraId="3DBACEA3" w14:textId="77777777" w:rsidTr="00DD0A4E">
        <w:tc>
          <w:tcPr>
            <w:tcW w:w="6187" w:type="dxa"/>
            <w:shd w:val="clear" w:color="auto" w:fill="auto"/>
          </w:tcPr>
          <w:p w14:paraId="52AEB1DF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sz w:val="18"/>
              </w:rPr>
            </w:pPr>
            <w:r w:rsidRPr="00DD0A4E">
              <w:rPr>
                <w:rFonts w:cs="Times New Roman"/>
                <w:sz w:val="18"/>
              </w:rPr>
              <w:t>g.</w:t>
            </w:r>
            <w:r w:rsidRPr="00DD0A4E">
              <w:rPr>
                <w:rFonts w:cs="Times New Roman"/>
                <w:sz w:val="18"/>
              </w:rPr>
              <w:tab/>
              <w:t>Рабочая группа по автомобильному транспорту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12EA93E0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6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4C37C660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6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12C22E17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6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3E6EDA55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6</w:t>
            </w:r>
          </w:p>
        </w:tc>
      </w:tr>
      <w:tr w:rsidR="00F87028" w:rsidRPr="00DD0A4E" w14:paraId="59256E7D" w14:textId="77777777" w:rsidTr="00DD0A4E">
        <w:tc>
          <w:tcPr>
            <w:tcW w:w="6187" w:type="dxa"/>
            <w:shd w:val="clear" w:color="auto" w:fill="auto"/>
          </w:tcPr>
          <w:p w14:paraId="4296224D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sz w:val="18"/>
              </w:rPr>
            </w:pPr>
            <w:r w:rsidRPr="00DD0A4E">
              <w:rPr>
                <w:rFonts w:cs="Times New Roman"/>
                <w:sz w:val="18"/>
              </w:rPr>
              <w:t>h.</w:t>
            </w:r>
            <w:r w:rsidRPr="00DD0A4E">
              <w:rPr>
                <w:rFonts w:cs="Times New Roman"/>
                <w:sz w:val="18"/>
              </w:rPr>
              <w:tab/>
              <w:t>Глобальный форум по безопасности дорожного движения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14AEAAB5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14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0BD7A737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14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6B36AB11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14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2B4D8CF5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14</w:t>
            </w:r>
          </w:p>
        </w:tc>
      </w:tr>
      <w:tr w:rsidR="00F87028" w:rsidRPr="00DD0A4E" w14:paraId="08ED8C9D" w14:textId="77777777" w:rsidTr="00DD0A4E">
        <w:tc>
          <w:tcPr>
            <w:tcW w:w="6187" w:type="dxa"/>
            <w:shd w:val="clear" w:color="auto" w:fill="auto"/>
          </w:tcPr>
          <w:p w14:paraId="0C0CA94D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sz w:val="18"/>
              </w:rPr>
            </w:pPr>
            <w:r w:rsidRPr="00DD0A4E">
              <w:rPr>
                <w:rFonts w:cs="Times New Roman"/>
                <w:sz w:val="18"/>
              </w:rPr>
              <w:lastRenderedPageBreak/>
              <w:t>i.</w:t>
            </w:r>
            <w:r w:rsidRPr="00DD0A4E">
              <w:rPr>
                <w:rFonts w:cs="Times New Roman"/>
                <w:sz w:val="18"/>
              </w:rPr>
              <w:tab/>
              <w:t>Рабочая группа по железнодорожному транспорту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5CC79410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6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6F880047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6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4F7F9529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6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6C8A18FD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6</w:t>
            </w:r>
          </w:p>
        </w:tc>
      </w:tr>
      <w:tr w:rsidR="00F87028" w:rsidRPr="00DD0A4E" w14:paraId="778D00BF" w14:textId="77777777" w:rsidTr="00DD0A4E">
        <w:tc>
          <w:tcPr>
            <w:tcW w:w="6187" w:type="dxa"/>
            <w:shd w:val="clear" w:color="auto" w:fill="auto"/>
          </w:tcPr>
          <w:p w14:paraId="1C380953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sz w:val="18"/>
              </w:rPr>
            </w:pPr>
            <w:r w:rsidRPr="00DD0A4E">
              <w:rPr>
                <w:rFonts w:cs="Times New Roman"/>
                <w:sz w:val="18"/>
              </w:rPr>
              <w:t>j.</w:t>
            </w:r>
            <w:r w:rsidRPr="00DD0A4E">
              <w:rPr>
                <w:rFonts w:cs="Times New Roman"/>
                <w:sz w:val="18"/>
              </w:rPr>
              <w:tab/>
              <w:t>Рабочая группа по смешанным перевозкам и логистике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2CCA8806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6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70D123F8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6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225DE079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6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067953B5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6</w:t>
            </w:r>
          </w:p>
        </w:tc>
      </w:tr>
      <w:tr w:rsidR="00F87028" w:rsidRPr="00DD0A4E" w14:paraId="4688DD04" w14:textId="77777777" w:rsidTr="00DD0A4E">
        <w:tc>
          <w:tcPr>
            <w:tcW w:w="6187" w:type="dxa"/>
            <w:shd w:val="clear" w:color="auto" w:fill="auto"/>
          </w:tcPr>
          <w:p w14:paraId="77628FDA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sz w:val="18"/>
              </w:rPr>
            </w:pPr>
            <w:r w:rsidRPr="00DD0A4E">
              <w:rPr>
                <w:rFonts w:cs="Times New Roman"/>
                <w:sz w:val="18"/>
              </w:rPr>
              <w:t>k.</w:t>
            </w:r>
            <w:r w:rsidRPr="00DD0A4E">
              <w:rPr>
                <w:rFonts w:cs="Times New Roman"/>
                <w:sz w:val="18"/>
              </w:rPr>
              <w:tab/>
              <w:t>Рабочая группа по внутреннему водному транспорту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1B3590C3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18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70FF5856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18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0EECD0BC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18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2E106895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18</w:t>
            </w:r>
          </w:p>
        </w:tc>
      </w:tr>
      <w:tr w:rsidR="00F87028" w:rsidRPr="00DD0A4E" w14:paraId="26E69A08" w14:textId="77777777" w:rsidTr="00DD0A4E">
        <w:tc>
          <w:tcPr>
            <w:tcW w:w="6187" w:type="dxa"/>
            <w:shd w:val="clear" w:color="auto" w:fill="auto"/>
          </w:tcPr>
          <w:p w14:paraId="0B93C7D6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sz w:val="18"/>
              </w:rPr>
            </w:pPr>
            <w:r w:rsidRPr="00DD0A4E">
              <w:rPr>
                <w:rFonts w:cs="Times New Roman"/>
                <w:sz w:val="18"/>
              </w:rPr>
              <w:t>l.</w:t>
            </w:r>
            <w:r w:rsidRPr="00DD0A4E">
              <w:rPr>
                <w:rFonts w:cs="Times New Roman"/>
                <w:sz w:val="18"/>
              </w:rPr>
              <w:tab/>
              <w:t>Рабочая группа по таможенным вопросам, связанным с транспортом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3F660701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46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482775EC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46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2CE3C04B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46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3854C3C1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46</w:t>
            </w:r>
          </w:p>
        </w:tc>
      </w:tr>
      <w:tr w:rsidR="00F87028" w:rsidRPr="00DD0A4E" w14:paraId="1911F675" w14:textId="77777777" w:rsidTr="00DD0A4E">
        <w:tc>
          <w:tcPr>
            <w:tcW w:w="6187" w:type="dxa"/>
            <w:shd w:val="clear" w:color="auto" w:fill="auto"/>
          </w:tcPr>
          <w:p w14:paraId="77AFF35A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b/>
                <w:bCs/>
                <w:sz w:val="18"/>
              </w:rPr>
            </w:pPr>
            <w:r w:rsidRPr="00DD0A4E">
              <w:rPr>
                <w:rFonts w:cs="Times New Roman"/>
                <w:sz w:val="18"/>
              </w:rPr>
              <w:t>5.</w:t>
            </w:r>
            <w:r w:rsidRPr="00DD0A4E">
              <w:rPr>
                <w:rFonts w:cs="Times New Roman"/>
                <w:sz w:val="18"/>
              </w:rPr>
              <w:tab/>
            </w:r>
            <w:r w:rsidRPr="00DD0A4E">
              <w:rPr>
                <w:rFonts w:cs="Times New Roman"/>
                <w:b/>
                <w:bCs/>
                <w:sz w:val="18"/>
              </w:rPr>
              <w:t>Заседания Экономического и Социального Совета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3417CAB8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bCs/>
                <w:sz w:val="18"/>
                <w:szCs w:val="17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35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0FC8B49C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bCs/>
                <w:sz w:val="18"/>
                <w:szCs w:val="17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35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21C58E41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bCs/>
                <w:sz w:val="18"/>
                <w:szCs w:val="17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40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32EF1554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bCs/>
                <w:sz w:val="18"/>
                <w:szCs w:val="17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35</w:t>
            </w:r>
          </w:p>
        </w:tc>
      </w:tr>
      <w:tr w:rsidR="00F87028" w:rsidRPr="00DD0A4E" w14:paraId="29249C93" w14:textId="77777777" w:rsidTr="00DD0A4E">
        <w:tc>
          <w:tcPr>
            <w:tcW w:w="6187" w:type="dxa"/>
            <w:shd w:val="clear" w:color="auto" w:fill="auto"/>
          </w:tcPr>
          <w:p w14:paraId="6128B028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sz w:val="18"/>
              </w:rPr>
            </w:pPr>
            <w:r w:rsidRPr="00DD0A4E">
              <w:rPr>
                <w:rFonts w:cs="Times New Roman"/>
                <w:sz w:val="18"/>
              </w:rPr>
              <w:t>a.</w:t>
            </w:r>
            <w:r w:rsidRPr="00DD0A4E">
              <w:rPr>
                <w:rFonts w:cs="Times New Roman"/>
                <w:sz w:val="18"/>
              </w:rPr>
              <w:tab/>
              <w:t>Комитет экспертов по перевозке опасных грузов и согласованной на глобальном уровне системе классификации опасности и маркировки химической продукции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70FADD93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0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63133195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0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72621198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3749E6B6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0</w:t>
            </w:r>
          </w:p>
        </w:tc>
      </w:tr>
      <w:tr w:rsidR="00F87028" w:rsidRPr="00DD0A4E" w14:paraId="1286418B" w14:textId="77777777" w:rsidTr="00DD0A4E">
        <w:tc>
          <w:tcPr>
            <w:tcW w:w="6187" w:type="dxa"/>
            <w:shd w:val="clear" w:color="auto" w:fill="auto"/>
          </w:tcPr>
          <w:p w14:paraId="7C977FAD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sz w:val="18"/>
              </w:rPr>
            </w:pPr>
            <w:r w:rsidRPr="00DD0A4E">
              <w:rPr>
                <w:rFonts w:cs="Times New Roman"/>
                <w:sz w:val="18"/>
              </w:rPr>
              <w:t>b.</w:t>
            </w:r>
            <w:r w:rsidRPr="00DD0A4E">
              <w:rPr>
                <w:rFonts w:cs="Times New Roman"/>
                <w:sz w:val="18"/>
              </w:rPr>
              <w:tab/>
              <w:t>Подкомитет экспертов по перевозке опасных грузов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5B0A0C9A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25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2B925A6C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25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28A398FC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29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2730B46B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25</w:t>
            </w:r>
          </w:p>
        </w:tc>
      </w:tr>
      <w:tr w:rsidR="00F87028" w:rsidRPr="00DD0A4E" w14:paraId="2C5A055D" w14:textId="77777777" w:rsidTr="00DD0A4E">
        <w:tc>
          <w:tcPr>
            <w:tcW w:w="6187" w:type="dxa"/>
            <w:shd w:val="clear" w:color="auto" w:fill="auto"/>
          </w:tcPr>
          <w:p w14:paraId="438D2EB6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sz w:val="18"/>
              </w:rPr>
            </w:pPr>
            <w:r w:rsidRPr="00DD0A4E">
              <w:rPr>
                <w:rFonts w:cs="Times New Roman"/>
                <w:sz w:val="18"/>
              </w:rPr>
              <w:t>c.</w:t>
            </w:r>
            <w:r w:rsidRPr="00DD0A4E">
              <w:rPr>
                <w:rFonts w:cs="Times New Roman"/>
                <w:sz w:val="18"/>
              </w:rPr>
              <w:tab/>
              <w:t>Подкомитет экспертов по Согласованной на глобальном уровне системе классификации опасности и маркировки химической продукции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1A45E552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10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067B2F2B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10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3ECD36D3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10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61BD0AF3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10</w:t>
            </w:r>
          </w:p>
        </w:tc>
      </w:tr>
      <w:tr w:rsidR="00F87028" w:rsidRPr="00DD0A4E" w14:paraId="6C3C4B79" w14:textId="77777777" w:rsidTr="00DD0A4E">
        <w:tc>
          <w:tcPr>
            <w:tcW w:w="6187" w:type="dxa"/>
            <w:shd w:val="clear" w:color="auto" w:fill="auto"/>
          </w:tcPr>
          <w:p w14:paraId="148C88A5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b/>
                <w:bCs/>
                <w:sz w:val="18"/>
              </w:rPr>
            </w:pPr>
            <w:r w:rsidRPr="00DD0A4E">
              <w:rPr>
                <w:rFonts w:cs="Times New Roman"/>
                <w:sz w:val="18"/>
              </w:rPr>
              <w:t>6.</w:t>
            </w:r>
            <w:r w:rsidRPr="00DD0A4E">
              <w:rPr>
                <w:rFonts w:cs="Times New Roman"/>
                <w:sz w:val="18"/>
              </w:rPr>
              <w:tab/>
            </w:r>
            <w:r w:rsidRPr="00DD0A4E">
              <w:rPr>
                <w:rFonts w:cs="Times New Roman"/>
                <w:b/>
                <w:bCs/>
                <w:sz w:val="18"/>
              </w:rPr>
              <w:t>Заседания в рамках Совещания высокого уровня по транспорту, окружающей среде и охране здоровья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6E62DCD5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bCs/>
                <w:sz w:val="18"/>
                <w:szCs w:val="17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2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61BECEBD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bCs/>
                <w:sz w:val="18"/>
                <w:szCs w:val="17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2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700E1022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bCs/>
                <w:sz w:val="18"/>
                <w:szCs w:val="17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2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668DE2A2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bCs/>
                <w:sz w:val="18"/>
                <w:szCs w:val="17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2</w:t>
            </w:r>
          </w:p>
        </w:tc>
      </w:tr>
      <w:tr w:rsidR="00F87028" w:rsidRPr="00DD0A4E" w14:paraId="76C364DD" w14:textId="77777777" w:rsidTr="00DD0A4E">
        <w:tc>
          <w:tcPr>
            <w:tcW w:w="6187" w:type="dxa"/>
            <w:shd w:val="clear" w:color="auto" w:fill="auto"/>
          </w:tcPr>
          <w:p w14:paraId="60284D01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b/>
                <w:sz w:val="18"/>
              </w:rPr>
            </w:pPr>
            <w:r w:rsidRPr="00DD0A4E">
              <w:rPr>
                <w:rFonts w:cs="Times New Roman"/>
                <w:b/>
                <w:sz w:val="18"/>
              </w:rPr>
              <w:t>B.</w:t>
            </w:r>
            <w:r w:rsidRPr="00DD0A4E">
              <w:rPr>
                <w:rFonts w:cs="Times New Roman"/>
                <w:b/>
                <w:sz w:val="18"/>
              </w:rPr>
              <w:tab/>
            </w:r>
            <w:r w:rsidRPr="00DD0A4E">
              <w:rPr>
                <w:rFonts w:cs="Times New Roman"/>
                <w:b/>
                <w:bCs/>
                <w:sz w:val="18"/>
              </w:rPr>
              <w:t>Получение и передача знаний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051EF682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  <w:lang w:eastAsia="zh-CN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14:paraId="0FE39639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  <w:lang w:eastAsia="zh-CN"/>
              </w:rPr>
            </w:pPr>
          </w:p>
        </w:tc>
        <w:tc>
          <w:tcPr>
            <w:tcW w:w="742" w:type="dxa"/>
            <w:shd w:val="clear" w:color="auto" w:fill="auto"/>
            <w:vAlign w:val="bottom"/>
          </w:tcPr>
          <w:p w14:paraId="2906B6A4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  <w:lang w:eastAsia="zh-CN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14:paraId="01997252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  <w:lang w:eastAsia="zh-CN"/>
              </w:rPr>
            </w:pPr>
          </w:p>
        </w:tc>
      </w:tr>
      <w:tr w:rsidR="00F87028" w:rsidRPr="00DD0A4E" w14:paraId="55D9BB8D" w14:textId="77777777" w:rsidTr="00DD0A4E">
        <w:tc>
          <w:tcPr>
            <w:tcW w:w="6187" w:type="dxa"/>
            <w:shd w:val="clear" w:color="auto" w:fill="auto"/>
          </w:tcPr>
          <w:p w14:paraId="41017184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b/>
                <w:sz w:val="18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Проекты технического сотрудничества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6F6CA44D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bCs/>
                <w:sz w:val="18"/>
                <w:szCs w:val="17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2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35E80586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bCs/>
                <w:sz w:val="18"/>
                <w:szCs w:val="17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2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2128C0B8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bCs/>
                <w:sz w:val="18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2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337620EC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bCs/>
                <w:sz w:val="18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2</w:t>
            </w:r>
          </w:p>
        </w:tc>
      </w:tr>
      <w:tr w:rsidR="00F87028" w:rsidRPr="00DD0A4E" w14:paraId="6051ABB4" w14:textId="77777777" w:rsidTr="00DD0A4E">
        <w:tc>
          <w:tcPr>
            <w:tcW w:w="6187" w:type="dxa"/>
            <w:shd w:val="clear" w:color="auto" w:fill="auto"/>
          </w:tcPr>
          <w:p w14:paraId="1CFCE472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bCs/>
                <w:sz w:val="18"/>
              </w:rPr>
            </w:pPr>
            <w:r w:rsidRPr="00DD0A4E">
              <w:rPr>
                <w:rFonts w:cs="Times New Roman"/>
                <w:sz w:val="18"/>
              </w:rPr>
              <w:t>7.</w:t>
            </w:r>
            <w:r w:rsidRPr="00DD0A4E">
              <w:rPr>
                <w:rFonts w:cs="Times New Roman"/>
                <w:sz w:val="18"/>
              </w:rPr>
              <w:tab/>
              <w:t>Проект Трансъевропейской автомагистрали Север–Юг (ТЕА)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2CD4A32F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74851DA2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31CECEB5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65DCBD29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</w:t>
            </w:r>
          </w:p>
        </w:tc>
      </w:tr>
      <w:tr w:rsidR="00F87028" w:rsidRPr="00DD0A4E" w14:paraId="5C0CF1DD" w14:textId="77777777" w:rsidTr="00DD0A4E">
        <w:tc>
          <w:tcPr>
            <w:tcW w:w="6187" w:type="dxa"/>
            <w:shd w:val="clear" w:color="auto" w:fill="auto"/>
          </w:tcPr>
          <w:p w14:paraId="3835021E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bCs/>
                <w:sz w:val="18"/>
              </w:rPr>
            </w:pPr>
            <w:r w:rsidRPr="00DD0A4E">
              <w:rPr>
                <w:rFonts w:cs="Times New Roman"/>
                <w:sz w:val="18"/>
              </w:rPr>
              <w:t>8.</w:t>
            </w:r>
            <w:r w:rsidRPr="00DD0A4E">
              <w:rPr>
                <w:rFonts w:cs="Times New Roman"/>
                <w:sz w:val="18"/>
              </w:rPr>
              <w:tab/>
              <w:t>Проект Трансъевропейской железнодорожной магистрали (ТЕЖ)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649EF7B0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4190FD05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724779BC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3B162818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</w:t>
            </w:r>
          </w:p>
        </w:tc>
      </w:tr>
      <w:tr w:rsidR="00F87028" w:rsidRPr="00DD0A4E" w14:paraId="01253843" w14:textId="77777777" w:rsidTr="00DD0A4E">
        <w:tc>
          <w:tcPr>
            <w:tcW w:w="6187" w:type="dxa"/>
            <w:shd w:val="clear" w:color="auto" w:fill="auto"/>
          </w:tcPr>
          <w:p w14:paraId="77A7A09F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b/>
                <w:sz w:val="18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Семинары, рабочие совещания, стипендии и подготовка кадров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74C9DED5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bCs/>
                <w:sz w:val="18"/>
                <w:szCs w:val="17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11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7F7680F2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bCs/>
                <w:sz w:val="18"/>
                <w:szCs w:val="17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11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003DAF97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bCs/>
                <w:sz w:val="18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13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5985E814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bCs/>
                <w:sz w:val="18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13</w:t>
            </w:r>
          </w:p>
        </w:tc>
      </w:tr>
      <w:tr w:rsidR="00F87028" w:rsidRPr="00DD0A4E" w14:paraId="66CA079B" w14:textId="77777777" w:rsidTr="00DD0A4E">
        <w:tc>
          <w:tcPr>
            <w:tcW w:w="6187" w:type="dxa"/>
            <w:shd w:val="clear" w:color="auto" w:fill="auto"/>
          </w:tcPr>
          <w:p w14:paraId="0BEC20E9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bCs/>
                <w:sz w:val="18"/>
              </w:rPr>
            </w:pPr>
            <w:r w:rsidRPr="00DD0A4E">
              <w:rPr>
                <w:rFonts w:cs="Times New Roman"/>
                <w:sz w:val="18"/>
              </w:rPr>
              <w:t>9.</w:t>
            </w:r>
            <w:r w:rsidRPr="00DD0A4E">
              <w:rPr>
                <w:rFonts w:cs="Times New Roman"/>
                <w:sz w:val="18"/>
              </w:rPr>
              <w:tab/>
              <w:t>Рабочие совещания для государственных должностных лиц и других заинтересованных сторон в регионе ЕЭК и в странах, являющихся Договаривающимися сторонами правовых документов, относящихся к компетенции Комитета по внутреннему транспорту, по следующим темам: интеллектуальные транспортные системы; статистика транспорта и тенденции в области транспорта; вопросы, касающиеся автомобильного, железнодорожного и внутреннего водного транспорта и интермодальных перевозок; соглашения и правила в области транспортных средств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7CB73175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7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1AF13E4B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7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33EF8AF4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9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07B285F7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9</w:t>
            </w:r>
          </w:p>
        </w:tc>
      </w:tr>
      <w:tr w:rsidR="00F87028" w:rsidRPr="00DD0A4E" w14:paraId="06683464" w14:textId="77777777" w:rsidTr="00DD0A4E">
        <w:tc>
          <w:tcPr>
            <w:tcW w:w="6187" w:type="dxa"/>
            <w:shd w:val="clear" w:color="auto" w:fill="auto"/>
          </w:tcPr>
          <w:p w14:paraId="6F92ABF5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bCs/>
                <w:sz w:val="18"/>
              </w:rPr>
            </w:pPr>
            <w:r w:rsidRPr="00DD0A4E">
              <w:rPr>
                <w:rFonts w:cs="Times New Roman"/>
                <w:sz w:val="18"/>
              </w:rPr>
              <w:t>10.</w:t>
            </w:r>
            <w:r w:rsidRPr="00DD0A4E">
              <w:rPr>
                <w:rFonts w:cs="Times New Roman"/>
                <w:sz w:val="18"/>
              </w:rPr>
              <w:tab/>
              <w:t>Семинары для национальных координаторов, экспертов, сотрудников таможенных органов и транспортной отрасли по Конвенции МДП и проектам Трансъевропейской автомагистрали Север–Юг и Трансъевропейской железнодорожной магистрали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68DBD05C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4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53D54B16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4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38AE79E3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4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1886CCB7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4</w:t>
            </w:r>
          </w:p>
        </w:tc>
      </w:tr>
      <w:tr w:rsidR="00F87028" w:rsidRPr="00DD0A4E" w14:paraId="4FD6E350" w14:textId="77777777" w:rsidTr="00DD0A4E">
        <w:tc>
          <w:tcPr>
            <w:tcW w:w="6187" w:type="dxa"/>
            <w:shd w:val="clear" w:color="auto" w:fill="auto"/>
          </w:tcPr>
          <w:p w14:paraId="66AEA4BC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b/>
                <w:sz w:val="18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Публикации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54F2BA47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sz w:val="18"/>
                <w:szCs w:val="17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14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7EE12AE7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sz w:val="18"/>
                <w:szCs w:val="17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14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1F37DC73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sz w:val="18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13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3D10FD6C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sz w:val="18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12</w:t>
            </w:r>
          </w:p>
        </w:tc>
      </w:tr>
      <w:tr w:rsidR="00F87028" w:rsidRPr="00DD0A4E" w14:paraId="0BD83A1C" w14:textId="77777777" w:rsidTr="00DD0A4E">
        <w:tc>
          <w:tcPr>
            <w:tcW w:w="6187" w:type="dxa"/>
            <w:shd w:val="clear" w:color="auto" w:fill="auto"/>
          </w:tcPr>
          <w:p w14:paraId="01DB4E0E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bCs/>
                <w:sz w:val="18"/>
              </w:rPr>
            </w:pPr>
            <w:r w:rsidRPr="00DD0A4E">
              <w:rPr>
                <w:rFonts w:cs="Times New Roman"/>
                <w:sz w:val="18"/>
              </w:rPr>
              <w:t>11.</w:t>
            </w:r>
            <w:r w:rsidRPr="00DD0A4E">
              <w:rPr>
                <w:rFonts w:cs="Times New Roman"/>
                <w:sz w:val="18"/>
              </w:rPr>
              <w:tab/>
              <w:t>Публикации по перевозке опасных грузов и специальных грузов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554E2855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4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326E1608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4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444FF085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3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49CB0053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3</w:t>
            </w:r>
          </w:p>
        </w:tc>
      </w:tr>
      <w:tr w:rsidR="00F87028" w:rsidRPr="00DD0A4E" w14:paraId="1B0FFF7D" w14:textId="77777777" w:rsidTr="00DD0A4E">
        <w:tc>
          <w:tcPr>
            <w:tcW w:w="6187" w:type="dxa"/>
            <w:shd w:val="clear" w:color="auto" w:fill="auto"/>
          </w:tcPr>
          <w:p w14:paraId="013A025E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sz w:val="18"/>
              </w:rPr>
            </w:pPr>
            <w:r w:rsidRPr="00DD0A4E">
              <w:rPr>
                <w:rFonts w:cs="Times New Roman"/>
                <w:sz w:val="18"/>
              </w:rPr>
              <w:t>12.</w:t>
            </w:r>
            <w:r w:rsidRPr="00DD0A4E">
              <w:rPr>
                <w:rFonts w:cs="Times New Roman"/>
                <w:sz w:val="18"/>
              </w:rPr>
              <w:tab/>
              <w:t>Публикации по перевозке скоропортящихся пищевых продуктов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29797A7C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0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345CB294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0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633B9A56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0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009CD124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</w:t>
            </w:r>
          </w:p>
        </w:tc>
      </w:tr>
      <w:tr w:rsidR="00F87028" w:rsidRPr="00DD0A4E" w14:paraId="0273F594" w14:textId="77777777" w:rsidTr="00DD0A4E">
        <w:tc>
          <w:tcPr>
            <w:tcW w:w="6187" w:type="dxa"/>
            <w:shd w:val="clear" w:color="auto" w:fill="auto"/>
          </w:tcPr>
          <w:p w14:paraId="4FC914BC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sz w:val="18"/>
              </w:rPr>
            </w:pPr>
            <w:r w:rsidRPr="00DD0A4E">
              <w:rPr>
                <w:rFonts w:cs="Times New Roman"/>
                <w:sz w:val="18"/>
              </w:rPr>
              <w:t>13.</w:t>
            </w:r>
            <w:r w:rsidRPr="00DD0A4E">
              <w:rPr>
                <w:rFonts w:cs="Times New Roman"/>
                <w:sz w:val="18"/>
              </w:rPr>
              <w:tab/>
              <w:t>Публикации по облегчению процесса организации перевозок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702D49B9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3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14722310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3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79B7E32B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0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1E92D7F8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</w:t>
            </w:r>
          </w:p>
        </w:tc>
      </w:tr>
      <w:tr w:rsidR="00F87028" w:rsidRPr="00DD0A4E" w14:paraId="46838077" w14:textId="77777777" w:rsidTr="00DD0A4E">
        <w:tc>
          <w:tcPr>
            <w:tcW w:w="6187" w:type="dxa"/>
            <w:shd w:val="clear" w:color="auto" w:fill="auto"/>
          </w:tcPr>
          <w:p w14:paraId="35A0CFE3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sz w:val="18"/>
              </w:rPr>
            </w:pPr>
            <w:r w:rsidRPr="00DD0A4E">
              <w:rPr>
                <w:rFonts w:cs="Times New Roman"/>
                <w:sz w:val="18"/>
              </w:rPr>
              <w:t>14.</w:t>
            </w:r>
            <w:r w:rsidRPr="00DD0A4E">
              <w:rPr>
                <w:rFonts w:cs="Times New Roman"/>
                <w:sz w:val="18"/>
              </w:rPr>
              <w:tab/>
              <w:t>Публикации по экологичным и безопасным перевозкам и сквозным вопросам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7553F5E1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4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310CB558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4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4F95CD81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8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40F9B437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5</w:t>
            </w:r>
          </w:p>
        </w:tc>
      </w:tr>
      <w:tr w:rsidR="00F87028" w:rsidRPr="00DD0A4E" w14:paraId="3AF21D1D" w14:textId="77777777" w:rsidTr="00DD0A4E">
        <w:tc>
          <w:tcPr>
            <w:tcW w:w="6187" w:type="dxa"/>
            <w:shd w:val="clear" w:color="auto" w:fill="auto"/>
          </w:tcPr>
          <w:p w14:paraId="3DE430F1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sz w:val="18"/>
              </w:rPr>
            </w:pPr>
            <w:r w:rsidRPr="00DD0A4E">
              <w:rPr>
                <w:rFonts w:cs="Times New Roman"/>
                <w:sz w:val="18"/>
              </w:rPr>
              <w:t>15.</w:t>
            </w:r>
            <w:r w:rsidRPr="00DD0A4E">
              <w:rPr>
                <w:rFonts w:cs="Times New Roman"/>
                <w:sz w:val="18"/>
              </w:rPr>
              <w:tab/>
              <w:t>Публикации по правилам в области транспортных средств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763673FA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220C2346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46B20C2C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3789C25C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</w:t>
            </w:r>
          </w:p>
        </w:tc>
      </w:tr>
      <w:tr w:rsidR="00F87028" w:rsidRPr="00DD0A4E" w14:paraId="4A3023AF" w14:textId="77777777" w:rsidTr="00DD0A4E">
        <w:tc>
          <w:tcPr>
            <w:tcW w:w="6187" w:type="dxa"/>
            <w:shd w:val="clear" w:color="auto" w:fill="auto"/>
          </w:tcPr>
          <w:p w14:paraId="7553A544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bCs/>
                <w:sz w:val="18"/>
              </w:rPr>
            </w:pPr>
            <w:r w:rsidRPr="00DD0A4E">
              <w:rPr>
                <w:rFonts w:cs="Times New Roman"/>
                <w:sz w:val="18"/>
              </w:rPr>
              <w:t>16.</w:t>
            </w:r>
            <w:r w:rsidRPr="00DD0A4E">
              <w:rPr>
                <w:rFonts w:cs="Times New Roman"/>
                <w:sz w:val="18"/>
              </w:rPr>
              <w:tab/>
              <w:t>Публикации по статистике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24F829B3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2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5F648594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2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2E655888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0102241D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</w:t>
            </w:r>
          </w:p>
        </w:tc>
      </w:tr>
      <w:tr w:rsidR="00F87028" w:rsidRPr="00DD0A4E" w14:paraId="0F311791" w14:textId="77777777" w:rsidTr="00DD0A4E">
        <w:tc>
          <w:tcPr>
            <w:tcW w:w="6187" w:type="dxa"/>
            <w:shd w:val="clear" w:color="auto" w:fill="auto"/>
          </w:tcPr>
          <w:p w14:paraId="33D5BE6D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b/>
                <w:sz w:val="18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Технические материалы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29F73656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sz w:val="18"/>
                <w:szCs w:val="17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2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0BEC59D0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sz w:val="18"/>
                <w:szCs w:val="17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2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053E2881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sz w:val="18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2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3CA48939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b/>
                <w:sz w:val="18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t>2</w:t>
            </w:r>
          </w:p>
        </w:tc>
      </w:tr>
      <w:tr w:rsidR="00F87028" w:rsidRPr="00DD0A4E" w14:paraId="5BA9B1D9" w14:textId="77777777" w:rsidTr="00DD0A4E">
        <w:tc>
          <w:tcPr>
            <w:tcW w:w="6187" w:type="dxa"/>
            <w:shd w:val="clear" w:color="auto" w:fill="auto"/>
          </w:tcPr>
          <w:p w14:paraId="6961D091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bCs/>
                <w:sz w:val="18"/>
              </w:rPr>
            </w:pPr>
            <w:r w:rsidRPr="00DD0A4E">
              <w:rPr>
                <w:rFonts w:cs="Times New Roman"/>
                <w:sz w:val="18"/>
              </w:rPr>
              <w:t>17.</w:t>
            </w:r>
            <w:r w:rsidRPr="00DD0A4E">
              <w:rPr>
                <w:rFonts w:cs="Times New Roman"/>
                <w:sz w:val="18"/>
              </w:rPr>
              <w:tab/>
              <w:t>Фактологический бюллетень «Что вы должны знать о шинах»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688B4209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41713AAC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2FE4A570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0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71AB8211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0</w:t>
            </w:r>
          </w:p>
        </w:tc>
      </w:tr>
      <w:tr w:rsidR="00F87028" w:rsidRPr="00DD0A4E" w14:paraId="792BD04D" w14:textId="77777777" w:rsidTr="00DD0A4E">
        <w:tc>
          <w:tcPr>
            <w:tcW w:w="6187" w:type="dxa"/>
            <w:shd w:val="clear" w:color="auto" w:fill="auto"/>
          </w:tcPr>
          <w:p w14:paraId="1818AC6C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sz w:val="18"/>
              </w:rPr>
            </w:pPr>
            <w:r w:rsidRPr="00DD0A4E">
              <w:rPr>
                <w:rFonts w:cs="Times New Roman"/>
                <w:sz w:val="18"/>
              </w:rPr>
              <w:t>18.</w:t>
            </w:r>
            <w:r w:rsidRPr="00DD0A4E">
              <w:rPr>
                <w:rFonts w:cs="Times New Roman"/>
                <w:sz w:val="18"/>
              </w:rPr>
              <w:tab/>
              <w:t>Фактологический бюллетень «Что вы должны знать о ремнях безопасности»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059B75DE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0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380575D4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0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448617FD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675313CF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0</w:t>
            </w:r>
          </w:p>
        </w:tc>
      </w:tr>
      <w:tr w:rsidR="00F87028" w:rsidRPr="00DD0A4E" w14:paraId="51EF2BC0" w14:textId="77777777" w:rsidTr="00DD0A4E">
        <w:tc>
          <w:tcPr>
            <w:tcW w:w="6187" w:type="dxa"/>
            <w:shd w:val="clear" w:color="auto" w:fill="auto"/>
          </w:tcPr>
          <w:p w14:paraId="20E30D97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sz w:val="18"/>
              </w:rPr>
            </w:pPr>
            <w:r w:rsidRPr="00DD0A4E">
              <w:rPr>
                <w:rFonts w:cs="Times New Roman"/>
                <w:sz w:val="18"/>
              </w:rPr>
              <w:t>19.</w:t>
            </w:r>
            <w:r w:rsidRPr="00DD0A4E">
              <w:rPr>
                <w:rFonts w:cs="Times New Roman"/>
                <w:sz w:val="18"/>
              </w:rPr>
              <w:tab/>
              <w:t xml:space="preserve">Фактологический бюллетень «Что вы должны знать о современных системах помощи водителю» </w:t>
            </w:r>
            <w:r w:rsidRPr="00DD0A4E">
              <w:rPr>
                <w:rFonts w:cs="Times New Roman"/>
                <w:sz w:val="18"/>
                <w:lang w:val="en-US"/>
              </w:rPr>
              <w:t>(ССПВ</w:t>
            </w:r>
            <w:r w:rsidRPr="00DD0A4E">
              <w:rPr>
                <w:rFonts w:cs="Times New Roman"/>
                <w:sz w:val="18"/>
              </w:rPr>
              <w:t>)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418D17D2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0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5CD7B572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0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5A58AE4E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0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1723C2A7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</w:t>
            </w:r>
          </w:p>
        </w:tc>
      </w:tr>
      <w:tr w:rsidR="00F87028" w:rsidRPr="00DD0A4E" w14:paraId="40B21EB6" w14:textId="77777777" w:rsidTr="00DD0A4E">
        <w:tc>
          <w:tcPr>
            <w:tcW w:w="6187" w:type="dxa"/>
            <w:shd w:val="clear" w:color="auto" w:fill="auto"/>
          </w:tcPr>
          <w:p w14:paraId="5F6E4F99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sz w:val="18"/>
              </w:rPr>
            </w:pPr>
            <w:r w:rsidRPr="00DD0A4E">
              <w:rPr>
                <w:rFonts w:cs="Times New Roman"/>
                <w:sz w:val="18"/>
              </w:rPr>
              <w:t>20.</w:t>
            </w:r>
            <w:r w:rsidRPr="00DD0A4E">
              <w:rPr>
                <w:rFonts w:cs="Times New Roman"/>
                <w:sz w:val="18"/>
              </w:rPr>
              <w:tab/>
              <w:t>Статистика транспорта: страновые обзоры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25F07B2C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</w:t>
            </w:r>
          </w:p>
        </w:tc>
        <w:tc>
          <w:tcPr>
            <w:tcW w:w="1027" w:type="dxa"/>
            <w:shd w:val="clear" w:color="auto" w:fill="auto"/>
            <w:vAlign w:val="bottom"/>
          </w:tcPr>
          <w:p w14:paraId="15B2119E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6B5A8A93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</w:t>
            </w:r>
          </w:p>
        </w:tc>
        <w:tc>
          <w:tcPr>
            <w:tcW w:w="706" w:type="dxa"/>
            <w:shd w:val="clear" w:color="auto" w:fill="auto"/>
            <w:vAlign w:val="bottom"/>
          </w:tcPr>
          <w:p w14:paraId="0B8321BE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</w:rPr>
            </w:pPr>
            <w:r w:rsidRPr="00DD0A4E">
              <w:rPr>
                <w:rFonts w:cs="Times New Roman"/>
                <w:sz w:val="18"/>
              </w:rPr>
              <w:t>1</w:t>
            </w:r>
          </w:p>
        </w:tc>
      </w:tr>
      <w:tr w:rsidR="00F87028" w:rsidRPr="00DD0A4E" w14:paraId="2A8ACFFB" w14:textId="77777777" w:rsidTr="00DD0A4E">
        <w:tc>
          <w:tcPr>
            <w:tcW w:w="6187" w:type="dxa"/>
            <w:shd w:val="clear" w:color="auto" w:fill="auto"/>
          </w:tcPr>
          <w:p w14:paraId="0C50F7CC" w14:textId="77777777" w:rsidR="00F87028" w:rsidRPr="00DD0A4E" w:rsidRDefault="00F87028" w:rsidP="00D77175">
            <w:pPr>
              <w:pageBreakBefore/>
              <w:spacing w:before="40" w:after="40" w:line="220" w:lineRule="exact"/>
              <w:rPr>
                <w:rFonts w:eastAsia="Calibri" w:cs="Times New Roman"/>
                <w:b/>
                <w:sz w:val="18"/>
                <w:szCs w:val="18"/>
              </w:rPr>
            </w:pPr>
            <w:r w:rsidRPr="00DD0A4E">
              <w:rPr>
                <w:rFonts w:cs="Times New Roman"/>
                <w:b/>
                <w:bCs/>
                <w:sz w:val="18"/>
              </w:rPr>
              <w:lastRenderedPageBreak/>
              <w:t>Неколичественные результаты</w:t>
            </w:r>
          </w:p>
          <w:p w14:paraId="193F121F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b/>
                <w:sz w:val="18"/>
              </w:rPr>
            </w:pPr>
            <w:r w:rsidRPr="00DD0A4E">
              <w:rPr>
                <w:rFonts w:cs="Times New Roman"/>
                <w:b/>
                <w:sz w:val="18"/>
              </w:rPr>
              <w:t>C.</w:t>
            </w:r>
            <w:r w:rsidRPr="00DD0A4E">
              <w:rPr>
                <w:rFonts w:cs="Times New Roman"/>
                <w:sz w:val="18"/>
              </w:rPr>
              <w:tab/>
            </w:r>
            <w:r w:rsidRPr="00DD0A4E">
              <w:rPr>
                <w:rFonts w:cs="Times New Roman"/>
                <w:b/>
                <w:bCs/>
                <w:sz w:val="18"/>
              </w:rPr>
              <w:t>Основные результаты</w:t>
            </w:r>
          </w:p>
        </w:tc>
        <w:tc>
          <w:tcPr>
            <w:tcW w:w="975" w:type="dxa"/>
            <w:shd w:val="clear" w:color="auto" w:fill="auto"/>
            <w:vAlign w:val="bottom"/>
          </w:tcPr>
          <w:p w14:paraId="23A6EDE7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  <w:lang w:eastAsia="zh-CN"/>
              </w:rPr>
            </w:pPr>
          </w:p>
        </w:tc>
        <w:tc>
          <w:tcPr>
            <w:tcW w:w="1027" w:type="dxa"/>
            <w:shd w:val="clear" w:color="auto" w:fill="auto"/>
            <w:vAlign w:val="bottom"/>
          </w:tcPr>
          <w:p w14:paraId="56018B10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  <w:lang w:eastAsia="zh-CN"/>
              </w:rPr>
            </w:pPr>
          </w:p>
        </w:tc>
        <w:tc>
          <w:tcPr>
            <w:tcW w:w="742" w:type="dxa"/>
            <w:shd w:val="clear" w:color="auto" w:fill="auto"/>
            <w:vAlign w:val="bottom"/>
          </w:tcPr>
          <w:p w14:paraId="1440BDFB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  <w:lang w:eastAsia="zh-CN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14:paraId="12C4FF82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  <w:lang w:eastAsia="zh-CN"/>
              </w:rPr>
            </w:pPr>
          </w:p>
        </w:tc>
      </w:tr>
      <w:tr w:rsidR="00F87028" w:rsidRPr="00DD0A4E" w14:paraId="1A38BF74" w14:textId="77777777" w:rsidTr="00DD0A4E">
        <w:tc>
          <w:tcPr>
            <w:tcW w:w="9637" w:type="dxa"/>
            <w:gridSpan w:val="5"/>
            <w:shd w:val="clear" w:color="auto" w:fill="auto"/>
          </w:tcPr>
          <w:p w14:paraId="2A599B0A" w14:textId="77777777" w:rsidR="00F87028" w:rsidRPr="005009C1" w:rsidRDefault="00F87028" w:rsidP="005009C1">
            <w:pPr>
              <w:pStyle w:val="Bullet1G"/>
              <w:tabs>
                <w:tab w:val="left" w:pos="142"/>
              </w:tabs>
              <w:spacing w:line="220" w:lineRule="exact"/>
              <w:ind w:left="0" w:right="0" w:firstLine="0"/>
              <w:jc w:val="left"/>
              <w:rPr>
                <w:sz w:val="18"/>
                <w:szCs w:val="18"/>
              </w:rPr>
            </w:pPr>
            <w:r w:rsidRPr="005009C1">
              <w:rPr>
                <w:sz w:val="18"/>
                <w:szCs w:val="18"/>
              </w:rPr>
              <w:t>Консультации, консультативная помощь и информационная деятельность: набор консультационных услуг для Договаривающихся сторон конвенций Организации Объединенных Наций по вопросам транспорта, находящихся в ведении</w:t>
            </w:r>
            <w:r w:rsidR="00D77175">
              <w:rPr>
                <w:sz w:val="18"/>
                <w:szCs w:val="18"/>
                <w:lang w:val="en-US"/>
              </w:rPr>
              <w:t> </w:t>
            </w:r>
            <w:r w:rsidRPr="005009C1">
              <w:rPr>
                <w:sz w:val="18"/>
                <w:szCs w:val="18"/>
              </w:rPr>
              <w:t>ЕЭК, в связи с правовыми документами, касающимися внутреннего транспорта, облегчения процесса организации перевозок, пересечения границ, безопасности дорожного движения, конструкции транспортных средств, перевозки опасных грузов и других специальных грузов.</w:t>
            </w:r>
          </w:p>
          <w:p w14:paraId="4A9D93B7" w14:textId="77777777" w:rsidR="00F87028" w:rsidRPr="00DD0A4E" w:rsidRDefault="00F87028" w:rsidP="005009C1">
            <w:pPr>
              <w:pStyle w:val="Bullet1G"/>
              <w:tabs>
                <w:tab w:val="left" w:pos="142"/>
              </w:tabs>
              <w:spacing w:line="220" w:lineRule="exact"/>
              <w:ind w:left="0" w:right="0" w:firstLine="0"/>
              <w:jc w:val="left"/>
              <w:rPr>
                <w:rFonts w:eastAsia="Calibri"/>
                <w:sz w:val="18"/>
              </w:rPr>
            </w:pPr>
            <w:r w:rsidRPr="005009C1">
              <w:rPr>
                <w:sz w:val="18"/>
                <w:szCs w:val="18"/>
              </w:rPr>
              <w:t>Базы данных и цифровые материалы по существу: обновление и обслуживание международного банка данных МДП, который включает в себя перечень транспортных компаний, уполномоченных использовать систему МДП, онлайновый Реестр устройств наложения таможенных пломб и таможенных печатей, перечень таможенных учреждений, функционирующих для МДП, и, возможно, свидетельства о допущении МДП; веб-сайты МДП и eTIR; сетевая база данных по стандартам инфраструктуры внутреннего водного транспорта; сетевая база существующих стандартов и параметров Европейского соглашения о международных магистральных железнодорожных линиях (СМЖЛ) и Европейского соглашения о важнейших линиях международных комбинированных перевозок и соответствующих объектах (СЛКП); базы данных по транспортной статистике, дорожно-транспортным происшествиям, перевозке опасных грузов, перевозке скоропортящихся пищевых продуктов, городскому транспорту, а также транспорту и окружающей среде; создание и обслуживание онлайнового Международного центра мониторинга железнодорожной безопасности; Электронная конвенция о дорожных знаках и сигналах (e-CoRSS); платформа электронного обучения по «умной» и устойчивой стыкуемости.</w:t>
            </w:r>
          </w:p>
        </w:tc>
      </w:tr>
      <w:tr w:rsidR="00F87028" w:rsidRPr="00DD0A4E" w14:paraId="1DA16418" w14:textId="77777777" w:rsidTr="00DD0A4E">
        <w:tc>
          <w:tcPr>
            <w:tcW w:w="8189" w:type="dxa"/>
            <w:gridSpan w:val="3"/>
            <w:shd w:val="clear" w:color="auto" w:fill="auto"/>
          </w:tcPr>
          <w:p w14:paraId="0E15952B" w14:textId="77777777" w:rsidR="00F87028" w:rsidRPr="00DD0A4E" w:rsidRDefault="00F87028" w:rsidP="00DD0A4E">
            <w:pPr>
              <w:spacing w:before="40" w:after="40" w:line="220" w:lineRule="exact"/>
              <w:rPr>
                <w:rFonts w:eastAsia="Calibri" w:cs="Times New Roman"/>
                <w:sz w:val="18"/>
                <w:szCs w:val="17"/>
                <w:lang w:eastAsia="zh-CN"/>
              </w:rPr>
            </w:pPr>
            <w:r w:rsidRPr="00DD0A4E">
              <w:rPr>
                <w:rFonts w:cs="Times New Roman"/>
                <w:b/>
                <w:sz w:val="18"/>
              </w:rPr>
              <w:t>D.</w:t>
            </w:r>
            <w:r w:rsidRPr="00DD0A4E">
              <w:rPr>
                <w:rFonts w:cs="Times New Roman"/>
                <w:b/>
                <w:sz w:val="18"/>
              </w:rPr>
              <w:tab/>
            </w:r>
            <w:r w:rsidRPr="00DD0A4E">
              <w:rPr>
                <w:rFonts w:cs="Times New Roman"/>
                <w:b/>
                <w:bCs/>
                <w:sz w:val="18"/>
              </w:rPr>
              <w:t>Результаты в области информирования широкой общественности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6D0845CB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  <w:lang w:eastAsia="zh-CN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14:paraId="716A7F45" w14:textId="77777777" w:rsidR="00F87028" w:rsidRPr="00DD0A4E" w:rsidRDefault="00F87028" w:rsidP="00DD0A4E">
            <w:pPr>
              <w:spacing w:before="40" w:after="40" w:line="220" w:lineRule="exact"/>
              <w:jc w:val="right"/>
              <w:rPr>
                <w:rFonts w:eastAsia="Calibri" w:cs="Times New Roman"/>
                <w:sz w:val="18"/>
                <w:szCs w:val="17"/>
                <w:lang w:eastAsia="zh-CN"/>
              </w:rPr>
            </w:pPr>
          </w:p>
        </w:tc>
      </w:tr>
      <w:tr w:rsidR="00F87028" w:rsidRPr="00DD0A4E" w14:paraId="61F5EE48" w14:textId="77777777" w:rsidTr="00DD0A4E">
        <w:tc>
          <w:tcPr>
            <w:tcW w:w="9637" w:type="dxa"/>
            <w:gridSpan w:val="5"/>
            <w:shd w:val="clear" w:color="auto" w:fill="auto"/>
          </w:tcPr>
          <w:p w14:paraId="5389A118" w14:textId="77777777" w:rsidR="00F87028" w:rsidRPr="00DD0A4E" w:rsidRDefault="00F87028" w:rsidP="00D77175">
            <w:pPr>
              <w:pStyle w:val="Bullet1G"/>
              <w:tabs>
                <w:tab w:val="left" w:pos="142"/>
              </w:tabs>
              <w:spacing w:line="220" w:lineRule="exact"/>
              <w:ind w:left="0" w:right="0" w:firstLine="0"/>
              <w:jc w:val="left"/>
              <w:rPr>
                <w:rFonts w:eastAsia="Calibri"/>
                <w:sz w:val="18"/>
              </w:rPr>
            </w:pPr>
            <w:r w:rsidRPr="005009C1">
              <w:rPr>
                <w:sz w:val="18"/>
                <w:szCs w:val="18"/>
              </w:rPr>
              <w:t>Информационно-просветительские программы, специальные мероприятия и информационные материалы: информационные материалы по правовым документам и мероприятиям в рамках подпрограммы.</w:t>
            </w:r>
          </w:p>
        </w:tc>
      </w:tr>
      <w:tr w:rsidR="00F87028" w:rsidRPr="00DD0A4E" w14:paraId="51EE4DF2" w14:textId="77777777" w:rsidTr="00DD0A4E">
        <w:tc>
          <w:tcPr>
            <w:tcW w:w="9637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32C334D2" w14:textId="77777777" w:rsidR="00F87028" w:rsidRPr="005009C1" w:rsidRDefault="00F87028" w:rsidP="005009C1">
            <w:pPr>
              <w:pStyle w:val="Bullet1G"/>
              <w:tabs>
                <w:tab w:val="left" w:pos="142"/>
              </w:tabs>
              <w:spacing w:line="220" w:lineRule="exact"/>
              <w:ind w:left="0" w:right="0" w:firstLine="0"/>
              <w:jc w:val="left"/>
              <w:rPr>
                <w:sz w:val="18"/>
                <w:szCs w:val="18"/>
              </w:rPr>
            </w:pPr>
            <w:r w:rsidRPr="005009C1">
              <w:rPr>
                <w:sz w:val="18"/>
                <w:szCs w:val="18"/>
              </w:rPr>
              <w:t>Взаимодействие с третьими организациями и средствами массовой информации: годовая подборка пресс-релизов для подпрограммы.</w:t>
            </w:r>
          </w:p>
          <w:p w14:paraId="05CE2F04" w14:textId="77777777" w:rsidR="00F87028" w:rsidRPr="00DD0A4E" w:rsidRDefault="00F87028" w:rsidP="005009C1">
            <w:pPr>
              <w:pStyle w:val="Bullet1G"/>
              <w:tabs>
                <w:tab w:val="left" w:pos="142"/>
              </w:tabs>
              <w:spacing w:line="220" w:lineRule="exact"/>
              <w:ind w:left="0" w:right="0" w:firstLine="0"/>
              <w:jc w:val="left"/>
              <w:rPr>
                <w:rFonts w:eastAsia="Calibri"/>
                <w:sz w:val="18"/>
              </w:rPr>
            </w:pPr>
            <w:r w:rsidRPr="005009C1">
              <w:rPr>
                <w:sz w:val="18"/>
                <w:szCs w:val="18"/>
              </w:rPr>
              <w:t>Цифровые платформы и мультимедийные материалы: цифровые платформы и мультимедийные материалы по вопросам устойчивого транспорта и мобильности; обновление и ведение веб-сайта подпрограммы.</w:t>
            </w:r>
          </w:p>
        </w:tc>
      </w:tr>
    </w:tbl>
    <w:p w14:paraId="3E311E2C" w14:textId="77777777" w:rsidR="00F87028" w:rsidRPr="00401D81" w:rsidRDefault="00F87028" w:rsidP="00F87028">
      <w:pPr>
        <w:spacing w:before="240"/>
        <w:jc w:val="center"/>
        <w:rPr>
          <w:u w:val="single"/>
        </w:rPr>
      </w:pPr>
      <w:r w:rsidRPr="00401D81">
        <w:rPr>
          <w:u w:val="single"/>
        </w:rPr>
        <w:tab/>
      </w:r>
      <w:r w:rsidRPr="00401D81">
        <w:rPr>
          <w:u w:val="single"/>
        </w:rPr>
        <w:tab/>
      </w:r>
      <w:r w:rsidRPr="00401D81">
        <w:rPr>
          <w:u w:val="single"/>
        </w:rPr>
        <w:tab/>
      </w:r>
    </w:p>
    <w:p w14:paraId="7D5F4EFA" w14:textId="77777777" w:rsidR="00E12C5F" w:rsidRPr="008D53B6" w:rsidRDefault="00E12C5F" w:rsidP="00D9145B"/>
    <w:sectPr w:rsidR="00E12C5F" w:rsidRPr="008D53B6" w:rsidSect="00F87028">
      <w:headerReference w:type="even" r:id="rId40"/>
      <w:headerReference w:type="default" r:id="rId41"/>
      <w:footerReference w:type="even" r:id="rId42"/>
      <w:footerReference w:type="default" r:id="rId43"/>
      <w:footerReference w:type="first" r:id="rId4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2BD68" w14:textId="77777777" w:rsidR="00150E72" w:rsidRPr="00A312BC" w:rsidRDefault="00150E72" w:rsidP="00A312BC"/>
  </w:endnote>
  <w:endnote w:type="continuationSeparator" w:id="0">
    <w:p w14:paraId="0750959B" w14:textId="77777777" w:rsidR="00150E72" w:rsidRPr="00A312BC" w:rsidRDefault="00150E7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D7C2" w14:textId="77777777" w:rsidR="00150E72" w:rsidRPr="00F87028" w:rsidRDefault="00150E72">
    <w:pPr>
      <w:pStyle w:val="Footer"/>
    </w:pPr>
    <w:r w:rsidRPr="00F87028">
      <w:rPr>
        <w:b/>
        <w:sz w:val="18"/>
      </w:rPr>
      <w:fldChar w:fldCharType="begin"/>
    </w:r>
    <w:r w:rsidRPr="00F87028">
      <w:rPr>
        <w:b/>
        <w:sz w:val="18"/>
      </w:rPr>
      <w:instrText xml:space="preserve"> PAGE  \* MERGEFORMAT </w:instrText>
    </w:r>
    <w:r w:rsidRPr="00F87028">
      <w:rPr>
        <w:b/>
        <w:sz w:val="18"/>
      </w:rPr>
      <w:fldChar w:fldCharType="separate"/>
    </w:r>
    <w:r w:rsidRPr="00F87028">
      <w:rPr>
        <w:b/>
        <w:noProof/>
        <w:sz w:val="18"/>
      </w:rPr>
      <w:t>2</w:t>
    </w:r>
    <w:r w:rsidRPr="00F87028">
      <w:rPr>
        <w:b/>
        <w:sz w:val="18"/>
      </w:rPr>
      <w:fldChar w:fldCharType="end"/>
    </w:r>
    <w:r>
      <w:rPr>
        <w:b/>
        <w:sz w:val="18"/>
      </w:rPr>
      <w:tab/>
    </w:r>
    <w:r>
      <w:t>GE.20-01081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F6D5C" w14:textId="77777777" w:rsidR="00150E72" w:rsidRPr="00F87028" w:rsidRDefault="00150E72" w:rsidP="00F87028">
    <w:pPr>
      <w:pStyle w:val="Footer"/>
      <w:tabs>
        <w:tab w:val="clear" w:pos="9639"/>
        <w:tab w:val="right" w:pos="9638"/>
      </w:tabs>
      <w:rPr>
        <w:b/>
        <w:sz w:val="18"/>
      </w:rPr>
    </w:pPr>
    <w:r>
      <w:t>GE.20-01081</w:t>
    </w:r>
    <w:r>
      <w:tab/>
    </w:r>
    <w:r w:rsidRPr="00F87028">
      <w:rPr>
        <w:b/>
        <w:sz w:val="18"/>
      </w:rPr>
      <w:fldChar w:fldCharType="begin"/>
    </w:r>
    <w:r w:rsidRPr="00F87028">
      <w:rPr>
        <w:b/>
        <w:sz w:val="18"/>
      </w:rPr>
      <w:instrText xml:space="preserve"> PAGE  \* MERGEFORMAT </w:instrText>
    </w:r>
    <w:r w:rsidRPr="00F87028">
      <w:rPr>
        <w:b/>
        <w:sz w:val="18"/>
      </w:rPr>
      <w:fldChar w:fldCharType="separate"/>
    </w:r>
    <w:r w:rsidRPr="00F87028">
      <w:rPr>
        <w:b/>
        <w:noProof/>
        <w:sz w:val="18"/>
      </w:rPr>
      <w:t>3</w:t>
    </w:r>
    <w:r w:rsidRPr="00F8702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A0149" w14:textId="77777777" w:rsidR="00150E72" w:rsidRPr="00F87028" w:rsidRDefault="00150E72" w:rsidP="00F87028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2330AB4" wp14:editId="3B2E69D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20-01081  (R)</w:t>
    </w:r>
    <w:r>
      <w:rPr>
        <w:lang w:val="en-US"/>
      </w:rPr>
      <w:t xml:space="preserve">  120220  130220</w:t>
    </w:r>
    <w:r>
      <w:br/>
    </w:r>
    <w:r w:rsidRPr="00F87028">
      <w:rPr>
        <w:rFonts w:ascii="C39T30Lfz" w:hAnsi="C39T30Lfz"/>
        <w:kern w:val="14"/>
        <w:sz w:val="56"/>
      </w:rPr>
      <w:t></w:t>
    </w:r>
    <w:r w:rsidRPr="00F87028">
      <w:rPr>
        <w:rFonts w:ascii="C39T30Lfz" w:hAnsi="C39T30Lfz"/>
        <w:kern w:val="14"/>
        <w:sz w:val="56"/>
      </w:rPr>
      <w:t></w:t>
    </w:r>
    <w:r w:rsidRPr="00F87028">
      <w:rPr>
        <w:rFonts w:ascii="C39T30Lfz" w:hAnsi="C39T30Lfz"/>
        <w:kern w:val="14"/>
        <w:sz w:val="56"/>
      </w:rPr>
      <w:t></w:t>
    </w:r>
    <w:r w:rsidRPr="00F87028">
      <w:rPr>
        <w:rFonts w:ascii="C39T30Lfz" w:hAnsi="C39T30Lfz"/>
        <w:kern w:val="14"/>
        <w:sz w:val="56"/>
      </w:rPr>
      <w:t></w:t>
    </w:r>
    <w:r w:rsidRPr="00F87028">
      <w:rPr>
        <w:rFonts w:ascii="C39T30Lfz" w:hAnsi="C39T30Lfz"/>
        <w:kern w:val="14"/>
        <w:sz w:val="56"/>
      </w:rPr>
      <w:t></w:t>
    </w:r>
    <w:r w:rsidRPr="00F87028">
      <w:rPr>
        <w:rFonts w:ascii="C39T30Lfz" w:hAnsi="C39T30Lfz"/>
        <w:kern w:val="14"/>
        <w:sz w:val="56"/>
      </w:rPr>
      <w:t></w:t>
    </w:r>
    <w:r w:rsidRPr="00F87028">
      <w:rPr>
        <w:rFonts w:ascii="C39T30Lfz" w:hAnsi="C39T30Lfz"/>
        <w:kern w:val="14"/>
        <w:sz w:val="56"/>
      </w:rPr>
      <w:t></w:t>
    </w:r>
    <w:r w:rsidRPr="00F87028">
      <w:rPr>
        <w:rFonts w:ascii="C39T30Lfz" w:hAnsi="C39T30Lfz"/>
        <w:kern w:val="14"/>
        <w:sz w:val="56"/>
      </w:rPr>
      <w:t></w:t>
    </w:r>
    <w:r w:rsidRPr="00F87028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0AFD67B" wp14:editId="64C3EFA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2020/22/Rev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20/22/Rev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0C2A7" w14:textId="77777777" w:rsidR="00150E72" w:rsidRPr="001075E9" w:rsidRDefault="00150E7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55033A9" w14:textId="77777777" w:rsidR="00150E72" w:rsidRDefault="00150E7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BCE5BCC" w14:textId="7131882D" w:rsidR="00150E72" w:rsidRPr="00401D81" w:rsidRDefault="00150E72" w:rsidP="00F01035">
      <w:pPr>
        <w:pStyle w:val="FootnoteText"/>
      </w:pPr>
      <w:r>
        <w:tab/>
      </w:r>
      <w:r w:rsidRPr="00F01035">
        <w:rPr>
          <w:sz w:val="20"/>
        </w:rPr>
        <w:t>*</w:t>
      </w:r>
      <w:r>
        <w:tab/>
        <w:t xml:space="preserve">Настоящий пересмотренный вариант издается в ответ на резолюцию </w:t>
      </w:r>
      <w:r w:rsidRPr="007E4742">
        <w:rPr>
          <w:lang w:eastAsia="fr-FR"/>
        </w:rPr>
        <w:t>74/251</w:t>
      </w:r>
      <w:r>
        <w:t xml:space="preserve"> Генеральной Ассамблеи о планировании по программам, в которой к секретариату обращена просьба укрепить формат документов, касающихся предлагаемого бюджета по программам, представив всеобъемлющий общий обзор прошлых результатов. В настоящем пересмотренном варианте отражена дополнительная новая информация об итоговых результатах.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B6935" w14:textId="6D9E6948" w:rsidR="00150E72" w:rsidRPr="00F87028" w:rsidRDefault="008E12FD">
    <w:pPr>
      <w:pStyle w:val="Header"/>
    </w:pPr>
    <w:fldSimple w:instr=" TITLE  \* MERGEFORMAT ">
      <w:r>
        <w:t>ECE/TRANS/2020/22/Rev.1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4FBC2" w14:textId="53255642" w:rsidR="00150E72" w:rsidRPr="00F87028" w:rsidRDefault="008E12FD" w:rsidP="00F87028">
    <w:pPr>
      <w:pStyle w:val="Header"/>
      <w:jc w:val="right"/>
    </w:pPr>
    <w:fldSimple w:instr=" TITLE  \* MERGEFORMAT ">
      <w:r>
        <w:t>ECE/TRANS/2020/22/Rev.1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36"/>
    <w:rsid w:val="00033EE1"/>
    <w:rsid w:val="00042B72"/>
    <w:rsid w:val="000558BD"/>
    <w:rsid w:val="0007382C"/>
    <w:rsid w:val="000B57E7"/>
    <w:rsid w:val="000B6373"/>
    <w:rsid w:val="000C1315"/>
    <w:rsid w:val="000E168C"/>
    <w:rsid w:val="000E4E5B"/>
    <w:rsid w:val="000F09DF"/>
    <w:rsid w:val="000F61B2"/>
    <w:rsid w:val="001075E9"/>
    <w:rsid w:val="0014152F"/>
    <w:rsid w:val="00150E72"/>
    <w:rsid w:val="001540BC"/>
    <w:rsid w:val="00180183"/>
    <w:rsid w:val="0018024D"/>
    <w:rsid w:val="0018649F"/>
    <w:rsid w:val="00196389"/>
    <w:rsid w:val="00197AB9"/>
    <w:rsid w:val="001B3EF6"/>
    <w:rsid w:val="001C7A89"/>
    <w:rsid w:val="00242753"/>
    <w:rsid w:val="00255343"/>
    <w:rsid w:val="0027151D"/>
    <w:rsid w:val="00297B2F"/>
    <w:rsid w:val="002A2EFC"/>
    <w:rsid w:val="002B0106"/>
    <w:rsid w:val="002B74B1"/>
    <w:rsid w:val="002C0E18"/>
    <w:rsid w:val="002D19AE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5BCE"/>
    <w:rsid w:val="003402C2"/>
    <w:rsid w:val="00381C24"/>
    <w:rsid w:val="00387CD4"/>
    <w:rsid w:val="003958D0"/>
    <w:rsid w:val="003A0D43"/>
    <w:rsid w:val="003A48CE"/>
    <w:rsid w:val="003B00E5"/>
    <w:rsid w:val="003C4553"/>
    <w:rsid w:val="003E0B46"/>
    <w:rsid w:val="00407B78"/>
    <w:rsid w:val="00424203"/>
    <w:rsid w:val="0042608E"/>
    <w:rsid w:val="00452493"/>
    <w:rsid w:val="00453318"/>
    <w:rsid w:val="00454AF2"/>
    <w:rsid w:val="00454E07"/>
    <w:rsid w:val="00472C5C"/>
    <w:rsid w:val="0048148F"/>
    <w:rsid w:val="00496931"/>
    <w:rsid w:val="004E05B7"/>
    <w:rsid w:val="005009C1"/>
    <w:rsid w:val="0050108D"/>
    <w:rsid w:val="00513081"/>
    <w:rsid w:val="00517901"/>
    <w:rsid w:val="00526683"/>
    <w:rsid w:val="005304A2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16A6"/>
    <w:rsid w:val="007E4742"/>
    <w:rsid w:val="00806737"/>
    <w:rsid w:val="00825F8D"/>
    <w:rsid w:val="00834B71"/>
    <w:rsid w:val="0086445C"/>
    <w:rsid w:val="00894693"/>
    <w:rsid w:val="008A08D7"/>
    <w:rsid w:val="008A37C8"/>
    <w:rsid w:val="008B6909"/>
    <w:rsid w:val="008D4048"/>
    <w:rsid w:val="008D53B6"/>
    <w:rsid w:val="008E12FD"/>
    <w:rsid w:val="008F7609"/>
    <w:rsid w:val="00906890"/>
    <w:rsid w:val="00911BE4"/>
    <w:rsid w:val="009334E1"/>
    <w:rsid w:val="00945B36"/>
    <w:rsid w:val="00951972"/>
    <w:rsid w:val="009608F3"/>
    <w:rsid w:val="009A24AC"/>
    <w:rsid w:val="009C59D7"/>
    <w:rsid w:val="009C6FE6"/>
    <w:rsid w:val="009D7E7D"/>
    <w:rsid w:val="00A14DA8"/>
    <w:rsid w:val="00A26F91"/>
    <w:rsid w:val="00A312BC"/>
    <w:rsid w:val="00A837CA"/>
    <w:rsid w:val="00A84021"/>
    <w:rsid w:val="00A84D35"/>
    <w:rsid w:val="00A917B3"/>
    <w:rsid w:val="00AB4B51"/>
    <w:rsid w:val="00AC0B79"/>
    <w:rsid w:val="00B10CC7"/>
    <w:rsid w:val="00B30BFB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C7836"/>
    <w:rsid w:val="00CE5A1A"/>
    <w:rsid w:val="00CF4C7A"/>
    <w:rsid w:val="00CF55F6"/>
    <w:rsid w:val="00D33D63"/>
    <w:rsid w:val="00D5253A"/>
    <w:rsid w:val="00D77175"/>
    <w:rsid w:val="00D873A8"/>
    <w:rsid w:val="00D90028"/>
    <w:rsid w:val="00D90138"/>
    <w:rsid w:val="00D9145B"/>
    <w:rsid w:val="00DA7D89"/>
    <w:rsid w:val="00DD0A4E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1035"/>
    <w:rsid w:val="00F2523A"/>
    <w:rsid w:val="00F34CB6"/>
    <w:rsid w:val="00F357B8"/>
    <w:rsid w:val="00F43903"/>
    <w:rsid w:val="00F87028"/>
    <w:rsid w:val="00F94155"/>
    <w:rsid w:val="00F9783F"/>
    <w:rsid w:val="00FC106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1503B9"/>
  <w15:docId w15:val="{9C831D70-FE6D-44A4-9408-87F1F45C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F87028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ru/A/72/266" TargetMode="External"/><Relationship Id="rId13" Type="http://schemas.openxmlformats.org/officeDocument/2006/relationships/hyperlink" Target="https://www.un.org/en/ga/search/view_doc.asp?symbol=A/RES/69/137&amp;Lang=R" TargetMode="External"/><Relationship Id="rId18" Type="http://schemas.openxmlformats.org/officeDocument/2006/relationships/hyperlink" Target="https://www.un.org/en/ga/search/view_doc.asp?symbol=A/RES/72/271&amp;Lang=R" TargetMode="External"/><Relationship Id="rId26" Type="http://schemas.openxmlformats.org/officeDocument/2006/relationships/hyperlink" Target="http://www.unece.org/fileadmin/DAM/trans/doc/2015/itc/ECE-TRANS-248e.pdf" TargetMode="External"/><Relationship Id="rId39" Type="http://schemas.openxmlformats.org/officeDocument/2006/relationships/hyperlink" Target="https://documents-dds-ny.un.org/doc/UNDOC/GEN/G15/133/57/PDF/G1513357.pdf?OpenEleme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n.org/ga/search/view_doc.asp?symbol=E/RES/2013/7&amp;Lang=R" TargetMode="External"/><Relationship Id="rId34" Type="http://schemas.openxmlformats.org/officeDocument/2006/relationships/hyperlink" Target="http://www.unece.org/fileadmin/DAM/trans/main/wp29/wp29regs/2017/E-ECE-TRANS-505-Rev.3e.pdf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hyperlink" Target="https://www.un.org/en/ga/search/view_doc.asp?symbol=A/RES/68/269&amp;Lang=R" TargetMode="External"/><Relationship Id="rId17" Type="http://schemas.openxmlformats.org/officeDocument/2006/relationships/hyperlink" Target="https://www.un.org/en/ga/search/view_doc.asp?symbol=A/RES/72/212&amp;Lang=R" TargetMode="External"/><Relationship Id="rId25" Type="http://schemas.openxmlformats.org/officeDocument/2006/relationships/hyperlink" Target="http://www.unece.org/fileadmin/DAM/trans/doc/2013/itc/ECE-TRANS-236e.pdf" TargetMode="External"/><Relationship Id="rId33" Type="http://schemas.openxmlformats.org/officeDocument/2006/relationships/hyperlink" Target="http://www.unece.org/fileadmin/DAM/commission/2015/Report_66th_session_E_ECE_1472_English_advance.pdf" TargetMode="External"/><Relationship Id="rId38" Type="http://schemas.openxmlformats.org/officeDocument/2006/relationships/hyperlink" Target="http://www.unece.org/fileadmin/DAM/trans/danger/publi/adn/adnnotif/CN.482.2009f.pdf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un.org/en/ga/search/view_doc.asp?symbol=A/RES/70/217&amp;Lang=R" TargetMode="External"/><Relationship Id="rId20" Type="http://schemas.openxmlformats.org/officeDocument/2006/relationships/hyperlink" Target="http://www.unece.org/fileadmin/DAM/trans/main/dgdb/dgsubc4/ECOSOC/1999-65/1999-65e.pdf" TargetMode="External"/><Relationship Id="rId29" Type="http://schemas.openxmlformats.org/officeDocument/2006/relationships/hyperlink" Target="http://www.unece.org/fileadmin/DAM/trans/doc/2017/itc/ECE_TRANS_270e.pdf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.unece.org/fileadmin/DAM/trans/doc/2012/itc/ECE-TRANS-224e.pdf" TargetMode="External"/><Relationship Id="rId32" Type="http://schemas.openxmlformats.org/officeDocument/2006/relationships/hyperlink" Target="file:///C:\Users\Georgiadis\AppData\Roaming\Microsoft\Word\ECE\TRANS\SC.3\WP.3\2018\8\Rev.1" TargetMode="External"/><Relationship Id="rId37" Type="http://schemas.openxmlformats.org/officeDocument/2006/relationships/hyperlink" Target="http://www.unece.org/fileadmin/DAM/trans/danger/publi/adn/adn_history/docs/ECE-TRANS-ADN-CONF-10a1e.pdf" TargetMode="External"/><Relationship Id="rId40" Type="http://schemas.openxmlformats.org/officeDocument/2006/relationships/header" Target="header1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un.org/en/ga/search/view_doc.asp?symbol=A/RES/70/197&amp;Lang=R" TargetMode="External"/><Relationship Id="rId23" Type="http://schemas.openxmlformats.org/officeDocument/2006/relationships/hyperlink" Target="http://www.unece.org/fileadmin/DAM/env/documents/2014/ece/ece.ac.21.2014.2.e.pdf" TargetMode="External"/><Relationship Id="rId28" Type="http://schemas.openxmlformats.org/officeDocument/2006/relationships/hyperlink" Target="http://www.unece.org/fileadmin/DAM/trans/doc/2017/itc/ECE_TRANS_270e.pdf" TargetMode="External"/><Relationship Id="rId36" Type="http://schemas.openxmlformats.org/officeDocument/2006/relationships/hyperlink" Target="http://www.unece.org/fileadmin/DAM/trans/main/wp29/wp29wgs/wp29gen/wp29glob/tran132.pdf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un.org/en/ga/search/view_doc.asp?symbol=A/RES/73/243&amp;Lang=R" TargetMode="External"/><Relationship Id="rId31" Type="http://schemas.openxmlformats.org/officeDocument/2006/relationships/hyperlink" Target="https://www.unece.org/fileadmin/DAM/trans/doc/2019/itc/ECE-TRANS-288add2e.pdf" TargetMode="Externa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unece.org/fileadmin/DAM/trans/doc/2019/itc/ECE-TRANS-288add2r.pdf" TargetMode="External"/><Relationship Id="rId14" Type="http://schemas.openxmlformats.org/officeDocument/2006/relationships/hyperlink" Target="https://www.un.org/en/ga/search/view_doc.asp?symbol=A/RES/69/213&amp;Lang=R" TargetMode="External"/><Relationship Id="rId22" Type="http://schemas.openxmlformats.org/officeDocument/2006/relationships/hyperlink" Target="https://www.un.org/ga/search/view_doc.asp?symbol=E/RES/2015/7&amp;Lang=R" TargetMode="External"/><Relationship Id="rId27" Type="http://schemas.openxmlformats.org/officeDocument/2006/relationships/hyperlink" Target="https://www.unece.org/fileadmin/DAM/trans/doc/2016/itc/ECE-TRANS-254e.pdf" TargetMode="External"/><Relationship Id="rId30" Type="http://schemas.openxmlformats.org/officeDocument/2006/relationships/hyperlink" Target="https://www.unece.org/fileadmin/DAM/trans/doc/2019/itc/ECE-TRANS-288e.pdf" TargetMode="External"/><Relationship Id="rId35" Type="http://schemas.openxmlformats.org/officeDocument/2006/relationships/hyperlink" Target="http://www.unece.org/fileadmin/DAM/trans/conventn/conf4e.pdf" TargetMode="External"/><Relationship Id="rId43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5277</Words>
  <Characters>30081</Characters>
  <Application>Microsoft Office Word</Application>
  <DocSecurity>4</DocSecurity>
  <Lines>250</Lines>
  <Paragraphs>70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ECE/TRANS/2020/22/Rev.1</vt:lpstr>
      <vt:lpstr>ECE/TRANS/2020/22/Rev.1</vt:lpstr>
      <vt:lpstr>A/</vt:lpstr>
    </vt:vector>
  </TitlesOfParts>
  <Company>DCM</Company>
  <LinksUpToDate>false</LinksUpToDate>
  <CharactersWithSpaces>35288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ECE/TRANS/2020/22/Rev.1</dc:title>
  <dc:subject/>
  <dc:creator>Elena IZOTOVA</dc:creator>
  <cp:keywords/>
  <cp:lastModifiedBy>Anastasia Barinova</cp:lastModifiedBy>
  <cp:revision>2</cp:revision>
  <cp:lastPrinted>2020-02-13T15:19:00Z</cp:lastPrinted>
  <dcterms:created xsi:type="dcterms:W3CDTF">2020-03-23T14:05:00Z</dcterms:created>
  <dcterms:modified xsi:type="dcterms:W3CDTF">2020-03-23T14:05:00Z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