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F2D350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6947918" w14:textId="77777777" w:rsidR="002D5AAC" w:rsidRDefault="002D5AAC" w:rsidP="001E4B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F6505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7492B5" w14:textId="77777777" w:rsidR="002D5AAC" w:rsidRDefault="001E4B0A" w:rsidP="001E4B0A">
            <w:pPr>
              <w:jc w:val="right"/>
            </w:pPr>
            <w:r w:rsidRPr="001E4B0A">
              <w:rPr>
                <w:sz w:val="40"/>
              </w:rPr>
              <w:t>ECE</w:t>
            </w:r>
            <w:r>
              <w:t>/TRANS/2020/10</w:t>
            </w:r>
          </w:p>
        </w:tc>
      </w:tr>
      <w:tr w:rsidR="002D5AAC" w:rsidRPr="00F90C87" w14:paraId="7388427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58DA9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3173BF0" wp14:editId="7D631E7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C776E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22A3D4A" w14:textId="77777777" w:rsidR="002D5AAC" w:rsidRDefault="001E4B0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7DF59B" w14:textId="77777777" w:rsidR="001E4B0A" w:rsidRDefault="001E4B0A" w:rsidP="001E4B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2019</w:t>
            </w:r>
          </w:p>
          <w:p w14:paraId="00441E38" w14:textId="77777777" w:rsidR="001E4B0A" w:rsidRDefault="001E4B0A" w:rsidP="001E4B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47F4D4" w14:textId="77777777" w:rsidR="001E4B0A" w:rsidRPr="008D53B6" w:rsidRDefault="001E4B0A" w:rsidP="001E4B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D6B4C43" w14:textId="77777777" w:rsidR="001E4B0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598F9E" w14:textId="77777777" w:rsidR="001E4B0A" w:rsidRPr="003825EB" w:rsidRDefault="001E4B0A" w:rsidP="001E4B0A">
      <w:pPr>
        <w:spacing w:before="120"/>
        <w:rPr>
          <w:sz w:val="28"/>
          <w:szCs w:val="28"/>
        </w:rPr>
      </w:pPr>
      <w:r w:rsidRPr="003825EB">
        <w:rPr>
          <w:sz w:val="28"/>
          <w:szCs w:val="28"/>
        </w:rPr>
        <w:t>Комитет по внутреннему транспорту</w:t>
      </w:r>
    </w:p>
    <w:p w14:paraId="0EE75BBF" w14:textId="77777777" w:rsidR="001E4B0A" w:rsidRPr="000A2A26" w:rsidRDefault="001E4B0A" w:rsidP="001E4B0A">
      <w:pPr>
        <w:spacing w:before="120"/>
        <w:rPr>
          <w:b/>
          <w:bCs/>
        </w:rPr>
      </w:pPr>
      <w:r>
        <w:rPr>
          <w:b/>
          <w:bCs/>
        </w:rPr>
        <w:t>Восемьдесят вторая сессия</w:t>
      </w:r>
    </w:p>
    <w:p w14:paraId="5CB75C77" w14:textId="77777777" w:rsidR="001E4B0A" w:rsidRDefault="001E4B0A" w:rsidP="001E4B0A">
      <w:r>
        <w:t xml:space="preserve">Женева, 25−28 февраля 2020 года </w:t>
      </w:r>
    </w:p>
    <w:p w14:paraId="01633646" w14:textId="77777777" w:rsidR="001E4B0A" w:rsidRDefault="001E4B0A" w:rsidP="001E4B0A">
      <w:r>
        <w:t>Пункт 4</w:t>
      </w:r>
      <w:r w:rsidR="00222957">
        <w:t xml:space="preserve"> </w:t>
      </w:r>
      <w:r>
        <w:t xml:space="preserve">h) предварительной повестки дня </w:t>
      </w:r>
    </w:p>
    <w:p w14:paraId="5625C444" w14:textId="77777777" w:rsidR="001E4B0A" w:rsidRPr="000A2A26" w:rsidRDefault="001E4B0A" w:rsidP="001E4B0A">
      <w:pPr>
        <w:rPr>
          <w:b/>
          <w:bCs/>
        </w:rPr>
      </w:pPr>
      <w:r>
        <w:rPr>
          <w:b/>
          <w:bCs/>
        </w:rPr>
        <w:t>Стратегические вопросы горизонтальной</w:t>
      </w:r>
      <w:r>
        <w:rPr>
          <w:b/>
          <w:bCs/>
        </w:rPr>
        <w:br/>
        <w:t>или нормативной</w:t>
      </w:r>
      <w:r w:rsidRPr="001E4B0A">
        <w:rPr>
          <w:b/>
          <w:bCs/>
        </w:rPr>
        <w:t xml:space="preserve"> </w:t>
      </w:r>
      <w:r>
        <w:rPr>
          <w:b/>
          <w:bCs/>
        </w:rPr>
        <w:t>политики: Безопасность</w:t>
      </w:r>
      <w:r>
        <w:rPr>
          <w:b/>
          <w:bCs/>
        </w:rPr>
        <w:br/>
        <w:t>дорожного движения</w:t>
      </w:r>
    </w:p>
    <w:p w14:paraId="01E73E53" w14:textId="77777777" w:rsidR="001E4B0A" w:rsidRPr="000A2A26" w:rsidRDefault="001E4B0A" w:rsidP="001E4B0A">
      <w:pPr>
        <w:pStyle w:val="HChG"/>
      </w:pPr>
      <w:bookmarkStart w:id="0" w:name="_Hlk18676048"/>
      <w:r>
        <w:tab/>
      </w:r>
      <w:r>
        <w:tab/>
      </w:r>
      <w:r>
        <w:rPr>
          <w:bCs/>
        </w:rPr>
        <w:t>Процесс оценки системы безопасности дорожного движения</w:t>
      </w:r>
    </w:p>
    <w:p w14:paraId="1F4E9806" w14:textId="77777777" w:rsidR="001E4B0A" w:rsidRDefault="001E4B0A" w:rsidP="001E4B0A">
      <w:pPr>
        <w:pStyle w:val="H1G"/>
        <w:rPr>
          <w:bCs/>
        </w:rPr>
      </w:pPr>
      <w:r>
        <w:tab/>
      </w:r>
      <w:r>
        <w:tab/>
      </w:r>
      <w:r>
        <w:rPr>
          <w:bCs/>
        </w:rPr>
        <w:t>Записка секретариата</w:t>
      </w:r>
    </w:p>
    <w:tbl>
      <w:tblPr>
        <w:tblStyle w:val="TableGrid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1E4B0A" w14:paraId="774F7BFA" w14:textId="77777777" w:rsidTr="00637466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2AD58E" w14:textId="77777777" w:rsidR="001E4B0A" w:rsidRDefault="001E4B0A" w:rsidP="00637466"/>
        </w:tc>
      </w:tr>
      <w:tr w:rsidR="001E4B0A" w14:paraId="3237C79C" w14:textId="77777777" w:rsidTr="0063746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42C64" w14:textId="77777777" w:rsidR="001E4B0A" w:rsidRPr="000A2A26" w:rsidRDefault="001E4B0A" w:rsidP="00F90C87">
            <w:pPr>
              <w:spacing w:after="120"/>
              <w:jc w:val="both"/>
            </w:pPr>
            <w:r>
              <w:tab/>
              <w:t xml:space="preserve">Оценка национальной системы безопасности дорожного движения (ОСБДД) заключается в оценке прогресса и потребностей той или иной страны в деле совершенствования своей системы организации и обеспечения безопасности дорожного движения, определяемой по числу участников дорожного движения, которые погибли или получили серьезные ранения в течение определенного периода времени. Ее цель состоит в оказании помощи странам: </w:t>
            </w:r>
          </w:p>
          <w:p w14:paraId="1B37DADD" w14:textId="77777777" w:rsidR="001E4B0A" w:rsidRPr="000A2A26" w:rsidRDefault="001E4B0A" w:rsidP="00F90C87">
            <w:pPr>
              <w:pStyle w:val="Bullet1G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7" w:right="0"/>
            </w:pPr>
            <w:r>
              <w:t>в</w:t>
            </w:r>
            <w:r w:rsidR="00413F73" w:rsidRPr="00413F73">
              <w:t xml:space="preserve"> </w:t>
            </w:r>
            <w:r w:rsidRPr="00F90C87">
              <w:rPr>
                <w:lang w:val="fr-FR" w:eastAsia="fr-FR"/>
              </w:rPr>
              <w:t>определении</w:t>
            </w:r>
            <w:r>
              <w:t xml:space="preserve"> </w:t>
            </w:r>
            <w:r w:rsidRPr="00F90C87">
              <w:rPr>
                <w:lang w:val="fr-FR" w:eastAsia="fr-FR"/>
              </w:rPr>
              <w:t>состояния</w:t>
            </w:r>
            <w:r>
              <w:t>, прогресса и недочетов в области безопасности дорожного движения</w:t>
            </w:r>
            <w:r w:rsidR="000136F8">
              <w:t>;</w:t>
            </w:r>
          </w:p>
          <w:p w14:paraId="48D3FE4A" w14:textId="77777777" w:rsidR="001E4B0A" w:rsidRPr="001E4B0A" w:rsidRDefault="001E4B0A" w:rsidP="00F90C87">
            <w:pPr>
              <w:pStyle w:val="Bullet1G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7" w:right="0"/>
            </w:pPr>
            <w:r>
              <w:t xml:space="preserve">в </w:t>
            </w:r>
            <w:r w:rsidRPr="00F90C87">
              <w:rPr>
                <w:lang w:val="fr-FR" w:eastAsia="fr-FR"/>
              </w:rPr>
              <w:t>совершенствовании</w:t>
            </w:r>
            <w:r>
              <w:t xml:space="preserve"> системы управления в области безопасности дорожного движения</w:t>
            </w:r>
            <w:r w:rsidR="000136F8">
              <w:t>;</w:t>
            </w:r>
          </w:p>
          <w:p w14:paraId="07CF4AF5" w14:textId="77777777" w:rsidR="001E4B0A" w:rsidRPr="000A2A26" w:rsidRDefault="001E4B0A" w:rsidP="00F90C87">
            <w:pPr>
              <w:pStyle w:val="Bullet1G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7" w:right="0"/>
            </w:pPr>
            <w:r>
              <w:t xml:space="preserve">в </w:t>
            </w:r>
            <w:r w:rsidRPr="00F90C87">
              <w:rPr>
                <w:lang w:val="fr-FR" w:eastAsia="fr-FR"/>
              </w:rPr>
              <w:t>содействии</w:t>
            </w:r>
            <w:r>
              <w:t xml:space="preserve"> непрерывной координации и сотрудничеству между заинтересованными сторонами в деле оптимального использования концепции системы безопасности и прогресса в соответствии с общими целями Повестки дня в области устойчивого развития на период до 2030 года и целевыми показателями в области устойчивого развития</w:t>
            </w:r>
            <w:r w:rsidR="000136F8">
              <w:t>;</w:t>
            </w:r>
          </w:p>
          <w:p w14:paraId="367B45F6" w14:textId="77777777" w:rsidR="001E4B0A" w:rsidRDefault="001E4B0A" w:rsidP="00F90C87">
            <w:pPr>
              <w:pStyle w:val="Bullet1G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7" w:right="0"/>
            </w:pPr>
            <w:r>
              <w:t xml:space="preserve">в </w:t>
            </w:r>
            <w:r w:rsidRPr="00F90C87">
              <w:rPr>
                <w:lang w:val="fr-FR" w:eastAsia="fr-FR"/>
              </w:rPr>
              <w:t>определении</w:t>
            </w:r>
            <w:r>
              <w:t xml:space="preserve"> приоритетности задач.</w:t>
            </w:r>
          </w:p>
        </w:tc>
      </w:tr>
      <w:tr w:rsidR="001E4B0A" w14:paraId="68C7905C" w14:textId="77777777" w:rsidTr="0063746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16BF6" w14:textId="77777777" w:rsidR="001E4B0A" w:rsidRDefault="001E4B0A" w:rsidP="00F90C87">
            <w:pPr>
              <w:spacing w:after="120"/>
              <w:jc w:val="both"/>
            </w:pPr>
            <w:r>
              <w:tab/>
              <w:t xml:space="preserve">Комитет может при желании </w:t>
            </w:r>
            <w:r>
              <w:rPr>
                <w:b/>
                <w:bCs/>
              </w:rPr>
              <w:t xml:space="preserve">рассмотреть и по возможности принять </w:t>
            </w:r>
            <w:r>
              <w:t>порядок и подход к ОСБДД, содержащийся в настоящем документе, в качестве одного из инструментов, который позволит дополнить усилия государств-членов и договаривающихся сторон в деле укрепления своих национальных систем обеспечения безопасности дорожного движения и тем самым еще больше укрепить вклад Комитета в проводимую в настоящее время работу по повышению показателей в области безопасности дорожного движения во всем мире.</w:t>
            </w:r>
          </w:p>
        </w:tc>
      </w:tr>
      <w:tr w:rsidR="001E4B0A" w14:paraId="75855A03" w14:textId="77777777" w:rsidTr="0063746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0B03" w14:textId="77777777" w:rsidR="001E4B0A" w:rsidRDefault="001E4B0A" w:rsidP="001E4B0A"/>
        </w:tc>
      </w:tr>
    </w:tbl>
    <w:bookmarkEnd w:id="0"/>
    <w:p w14:paraId="17DB22D3" w14:textId="77777777" w:rsidR="001E4B0A" w:rsidRPr="000A2A26" w:rsidRDefault="001E4B0A" w:rsidP="001E4B0A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Что представляет собой оценка системы обеспечения безопасности дорожного движения</w:t>
      </w:r>
    </w:p>
    <w:p w14:paraId="4CD3A456" w14:textId="77777777" w:rsidR="001E4B0A" w:rsidRPr="000A2A26" w:rsidRDefault="001E4B0A" w:rsidP="001E4B0A">
      <w:pPr>
        <w:pStyle w:val="SingleTxtG"/>
      </w:pPr>
      <w:r>
        <w:t>1.</w:t>
      </w:r>
      <w:r>
        <w:tab/>
        <w:t xml:space="preserve">Оценка системы безопасности дорожного движения (ОСБДД или </w:t>
      </w:r>
      <w:r w:rsidR="000136F8">
        <w:t>«</w:t>
      </w:r>
      <w:r>
        <w:t>оценка</w:t>
      </w:r>
      <w:r w:rsidR="000136F8">
        <w:t>»</w:t>
      </w:r>
      <w:r>
        <w:t>) представляет собой оценку прогресса и потребностей той или иной страны в деле совершенствования своей системы организации и обеспечения безопасности дорожного движения, которая определяется по числу участников дорожного движения, которые погибли или получили серьезные ранения в течение определенного периода времени. В основу ОСБДД положен всесторонний анализ существования и функционирования соответствующей национальной системы обеспечения безопасности дорожного движения, включая учреждения, законодательство, правоприменительную деятельность, образование, политику, инфраструктуру и связи с системой международной нормативно-правовой поддержки (конвенции Организации Объединенных Наций по безопасности дорожного движения). Концептуальные рамки анализа и оценки обеспечиваются Глобальным рамочным планом действий по безопасности дорожного движения (ГРПД).</w:t>
      </w:r>
    </w:p>
    <w:p w14:paraId="6E544D1C" w14:textId="77777777" w:rsidR="001E4B0A" w:rsidRPr="000136F8" w:rsidRDefault="003E7A2C" w:rsidP="000136F8">
      <w:pPr>
        <w:pStyle w:val="H1G"/>
      </w:pPr>
      <w:r>
        <w:tab/>
      </w:r>
      <w:r>
        <w:tab/>
      </w:r>
      <w:r w:rsidR="001E4B0A" w:rsidRPr="000136F8">
        <w:t>Цель</w:t>
      </w:r>
    </w:p>
    <w:p w14:paraId="331F0B28" w14:textId="77777777" w:rsidR="001E4B0A" w:rsidRPr="000A2A26" w:rsidRDefault="001E4B0A" w:rsidP="001E4B0A">
      <w:pPr>
        <w:pStyle w:val="SingleTxtG"/>
      </w:pPr>
      <w:r>
        <w:t>2.</w:t>
      </w:r>
      <w:r>
        <w:tab/>
        <w:t xml:space="preserve">Цель оценки </w:t>
      </w:r>
      <w:r w:rsidR="000136F8">
        <w:t>–</w:t>
      </w:r>
      <w:r>
        <w:t xml:space="preserve"> помочь странам: </w:t>
      </w:r>
    </w:p>
    <w:p w14:paraId="48FBCB3B" w14:textId="77777777" w:rsidR="001E4B0A" w:rsidRPr="000A2A26" w:rsidRDefault="001E4B0A" w:rsidP="001E4B0A">
      <w:pPr>
        <w:pStyle w:val="Bullet1G"/>
        <w:numPr>
          <w:ilvl w:val="0"/>
          <w:numId w:val="22"/>
        </w:numPr>
      </w:pPr>
      <w:r>
        <w:t>определить состояние, прогресс и недочеты в области безопасности дорожного движения</w:t>
      </w:r>
      <w:r w:rsidR="000136F8">
        <w:t>;</w:t>
      </w:r>
    </w:p>
    <w:p w14:paraId="7EB07E21" w14:textId="77777777" w:rsidR="001E4B0A" w:rsidRPr="000A2A26" w:rsidRDefault="001E4B0A" w:rsidP="001E4B0A">
      <w:pPr>
        <w:pStyle w:val="Bullet1G"/>
        <w:numPr>
          <w:ilvl w:val="0"/>
          <w:numId w:val="22"/>
        </w:numPr>
      </w:pPr>
      <w:r>
        <w:t>улучшить свою систему обеспечения безопасности дорожного движения путем создания базовых условий и разработки конкретных рекомендаций в целях более эффективного и результативного осуществления институциональных и программных мер</w:t>
      </w:r>
      <w:r w:rsidR="000136F8">
        <w:t>;</w:t>
      </w:r>
      <w:r>
        <w:t xml:space="preserve"> </w:t>
      </w:r>
    </w:p>
    <w:p w14:paraId="53E3C72D" w14:textId="77777777" w:rsidR="001E4B0A" w:rsidRPr="000A2A26" w:rsidRDefault="001E4B0A" w:rsidP="001E4B0A">
      <w:pPr>
        <w:pStyle w:val="Bullet1G"/>
        <w:numPr>
          <w:ilvl w:val="0"/>
          <w:numId w:val="22"/>
        </w:numPr>
      </w:pPr>
      <w:r>
        <w:t>содействовать непрерывной координации и сотрудничеству между заинтересованными сторонами в деле оптимального использования концепции системы безопасности и прогресса в соответствии с общими целями Повестки дня в области устойчивого развития на период до 2030 года и целевыми показателями в области устойчивого развития</w:t>
      </w:r>
      <w:r w:rsidR="000136F8">
        <w:t>;</w:t>
      </w:r>
    </w:p>
    <w:p w14:paraId="645CE7AE" w14:textId="77777777" w:rsidR="001E4B0A" w:rsidRPr="000A2A26" w:rsidRDefault="001E4B0A" w:rsidP="001E4B0A">
      <w:pPr>
        <w:pStyle w:val="Bullet1G"/>
        <w:numPr>
          <w:ilvl w:val="0"/>
          <w:numId w:val="22"/>
        </w:numPr>
      </w:pPr>
      <w:r>
        <w:t>определять приоритетность тем задачам, которые позволят преодолеть кризис в области безопасности дорожного движения, и направлять национальные усилия и финансовые ресурсы на инвестиции с высокой отдачей, которые опираются на надежные, структурированные и последовательные результаты анализа и рекомендации.</w:t>
      </w:r>
    </w:p>
    <w:p w14:paraId="5B30F259" w14:textId="77777777" w:rsidR="001E4B0A" w:rsidRPr="000A2A26" w:rsidRDefault="001E4B0A" w:rsidP="001E4B0A">
      <w:pPr>
        <w:pStyle w:val="HChG"/>
      </w:pPr>
      <w:r>
        <w:tab/>
        <w:t>II.</w:t>
      </w:r>
      <w:r>
        <w:tab/>
      </w:r>
      <w:r>
        <w:rPr>
          <w:bCs/>
        </w:rPr>
        <w:t>Процесс оценки и его цели и задачи</w:t>
      </w:r>
    </w:p>
    <w:p w14:paraId="7FCE2EFF" w14:textId="77777777" w:rsidR="001E4B0A" w:rsidRPr="000A2A26" w:rsidRDefault="001E4B0A" w:rsidP="001E4B0A">
      <w:pPr>
        <w:pStyle w:val="SingleTxtG"/>
      </w:pPr>
      <w:r>
        <w:t>3.</w:t>
      </w:r>
      <w:r>
        <w:tab/>
        <w:t>Эта оценка проводится по просьбе самой страны в качестве добровольного мероприятия.</w:t>
      </w:r>
    </w:p>
    <w:p w14:paraId="23EDF7B5" w14:textId="77777777" w:rsidR="001E4B0A" w:rsidRPr="000A2A26" w:rsidRDefault="001E4B0A" w:rsidP="001E4B0A">
      <w:pPr>
        <w:pStyle w:val="SingleTxtG"/>
      </w:pPr>
      <w:r>
        <w:t>4.</w:t>
      </w:r>
      <w:r>
        <w:tab/>
        <w:t xml:space="preserve">Ее начинают с согласования структуры протокола между ЕЭК и/или соответствующими региональными комиссиями, с одной стороны, и высокопоставленными должностными лицами транспортных органов страны-кандидата, с другой. </w:t>
      </w:r>
    </w:p>
    <w:p w14:paraId="7B449306" w14:textId="77777777" w:rsidR="001E4B0A" w:rsidRPr="000A2A26" w:rsidRDefault="001E4B0A" w:rsidP="001E4B0A">
      <w:pPr>
        <w:pStyle w:val="SingleTxtG"/>
      </w:pPr>
      <w:r>
        <w:t>5.</w:t>
      </w:r>
      <w:r>
        <w:tab/>
        <w:t xml:space="preserve">В состав группы по оценке входят международные и, по мере необходимости, национальные эксперты. Группа по оценке применяет гибкий подход к удовлетворению потребностей той страны, в которой проводится оценка. В целях обсуждения проблем, возникающих в национальной системе безопасности дорожного движения, эта группа проводит, в соответствии с Глобальным рамочным планом действий по обеспечению безопасности дорожного движения (ГРПД), соответствующие совещания с национальными экспертами. Заключительный доклад группы содержит рекомендации по дальнейшему совершенствованию работы. </w:t>
      </w:r>
    </w:p>
    <w:p w14:paraId="10C936D5" w14:textId="77777777" w:rsidR="001E4B0A" w:rsidRPr="000A2A26" w:rsidRDefault="001E4B0A" w:rsidP="001E4B0A">
      <w:pPr>
        <w:pStyle w:val="SingleTxtG"/>
      </w:pPr>
      <w:bookmarkStart w:id="1" w:name="_GoBack"/>
      <w:bookmarkEnd w:id="1"/>
      <w:r>
        <w:lastRenderedPageBreak/>
        <w:t>6.</w:t>
      </w:r>
      <w:r>
        <w:tab/>
        <w:t>В целях повышения надежности и стратегического значения анализа и рекомендаций, которые должны быть подготовлены группой, проводится соответствующий коллегиальный обзор доклада.</w:t>
      </w:r>
    </w:p>
    <w:p w14:paraId="1249415A" w14:textId="77777777" w:rsidR="001E4B0A" w:rsidRPr="000A2A26" w:rsidRDefault="001E4B0A" w:rsidP="001E4B0A">
      <w:pPr>
        <w:pStyle w:val="SingleTxtG"/>
      </w:pPr>
      <w:r>
        <w:t>7.</w:t>
      </w:r>
      <w:r>
        <w:tab/>
        <w:t>Процесс ОСБДД состоит из пяти этапов</w:t>
      </w:r>
      <w:r w:rsidR="003E7A2C">
        <w:t>:</w:t>
      </w:r>
    </w:p>
    <w:p w14:paraId="1F5CE779" w14:textId="77777777" w:rsidR="001E4B0A" w:rsidRPr="000A2A26" w:rsidRDefault="001E4B0A" w:rsidP="001E4B0A">
      <w:pPr>
        <w:pStyle w:val="SingleTxtG"/>
        <w:ind w:firstLine="567"/>
      </w:pPr>
      <w:r>
        <w:t>a)</w:t>
      </w:r>
      <w:r>
        <w:tab/>
        <w:t>подготовительная миссия</w:t>
      </w:r>
      <w:r w:rsidR="000136F8">
        <w:t>;</w:t>
      </w:r>
      <w:r>
        <w:t xml:space="preserve"> </w:t>
      </w:r>
    </w:p>
    <w:p w14:paraId="4A28D543" w14:textId="77777777" w:rsidR="001E4B0A" w:rsidRPr="000A2A26" w:rsidRDefault="001E4B0A" w:rsidP="001E4B0A">
      <w:pPr>
        <w:pStyle w:val="SingleTxtG"/>
        <w:ind w:firstLine="567"/>
      </w:pPr>
      <w:r>
        <w:t>b)</w:t>
      </w:r>
      <w:r>
        <w:tab/>
        <w:t>миссия по оценке и проект доклада</w:t>
      </w:r>
      <w:r w:rsidR="000136F8">
        <w:t>;</w:t>
      </w:r>
    </w:p>
    <w:p w14:paraId="1B8A500C" w14:textId="77777777" w:rsidR="001E4B0A" w:rsidRPr="000A2A26" w:rsidRDefault="001E4B0A" w:rsidP="001E4B0A">
      <w:pPr>
        <w:pStyle w:val="SingleTxtG"/>
        <w:ind w:firstLine="567"/>
      </w:pPr>
      <w:r>
        <w:t>c)</w:t>
      </w:r>
      <w:r>
        <w:tab/>
        <w:t>коллегиальное рассмотрение и утверждение доклада</w:t>
      </w:r>
      <w:r w:rsidR="000136F8">
        <w:t>;</w:t>
      </w:r>
    </w:p>
    <w:p w14:paraId="242D94A2" w14:textId="77777777" w:rsidR="001E4B0A" w:rsidRPr="000A2A26" w:rsidRDefault="001E4B0A" w:rsidP="001E4B0A">
      <w:pPr>
        <w:pStyle w:val="SingleTxtG"/>
        <w:ind w:firstLine="567"/>
      </w:pPr>
      <w:r>
        <w:t>d)</w:t>
      </w:r>
      <w:r>
        <w:tab/>
        <w:t>публикация</w:t>
      </w:r>
      <w:r w:rsidR="000136F8">
        <w:t>;</w:t>
      </w:r>
      <w:r>
        <w:t xml:space="preserve"> </w:t>
      </w:r>
    </w:p>
    <w:p w14:paraId="03ABCE24" w14:textId="77777777" w:rsidR="001E4B0A" w:rsidRPr="000A2A26" w:rsidRDefault="001E4B0A" w:rsidP="001E4B0A">
      <w:pPr>
        <w:pStyle w:val="SingleTxtG"/>
        <w:ind w:firstLine="567"/>
      </w:pPr>
      <w:r>
        <w:t>e)</w:t>
      </w:r>
      <w:r>
        <w:tab/>
        <w:t>этап осуществления, включая развитие потенциала.</w:t>
      </w:r>
    </w:p>
    <w:p w14:paraId="710FF2E6" w14:textId="77777777" w:rsidR="001E4B0A" w:rsidRPr="000A2A26" w:rsidRDefault="001E4B0A" w:rsidP="001E4B0A">
      <w:pPr>
        <w:pStyle w:val="H1G"/>
      </w:pPr>
      <w:r>
        <w:tab/>
        <w:t>A.</w:t>
      </w:r>
      <w:r>
        <w:tab/>
      </w:r>
      <w:r>
        <w:rPr>
          <w:bCs/>
        </w:rPr>
        <w:t>Подготовительная миссия</w:t>
      </w:r>
    </w:p>
    <w:p w14:paraId="0BE647C3" w14:textId="77777777" w:rsidR="001E4B0A" w:rsidRPr="000A2A26" w:rsidRDefault="001E4B0A" w:rsidP="001E4B0A">
      <w:pPr>
        <w:pStyle w:val="SingleTxtG"/>
      </w:pPr>
      <w:r>
        <w:t>8.</w:t>
      </w:r>
      <w:r>
        <w:tab/>
        <w:t xml:space="preserve">Процесс начинается с того момента, когда та или иная страна обращается к соответствующей организации с просьбой провести обзор. Решение приступить к работе с какой-либо конкретной страной принимает соответствующая организация. </w:t>
      </w:r>
    </w:p>
    <w:p w14:paraId="1C5BAE07" w14:textId="77777777" w:rsidR="001E4B0A" w:rsidRPr="000A2A26" w:rsidRDefault="001E4B0A" w:rsidP="001E4B0A">
      <w:pPr>
        <w:pStyle w:val="SingleTxtG"/>
      </w:pPr>
      <w:r>
        <w:t>9.</w:t>
      </w:r>
      <w:r>
        <w:tab/>
        <w:t>В ходе подготовительной миссии в данную страну секретариат проводит консультации с этой страной в целях анализа структуры оценки. После этого секретариат создает соответствующую группу по оценке, которая, как правило, включает правительственных экспертов (международная поддержка натурой), а также экспертов из числа сотрудников ЕЭК ООН и других региональных комиссий и прочих соответствующих международных организаций и учреждений, обладающих специальными знаниями, например Всемирной организации здравоохранения (компонент ухода за пострадавшими в результате дорожно-транспортных происшествий), Всемирного банка, Международной автодорожной федерации, Международного альянса за ответственное потребление алкоголя (ИАРД), Международной автомобильной федерации и научных кругов.</w:t>
      </w:r>
    </w:p>
    <w:p w14:paraId="04300023" w14:textId="77777777" w:rsidR="001E4B0A" w:rsidRPr="000C0015" w:rsidRDefault="001E4B0A" w:rsidP="001E4B0A">
      <w:pPr>
        <w:pStyle w:val="H1G"/>
      </w:pPr>
      <w:r w:rsidRPr="001E4B0A">
        <w:tab/>
      </w:r>
      <w:r w:rsidRPr="000A2A26">
        <w:rPr>
          <w:lang w:val="en-US"/>
        </w:rPr>
        <w:t>B</w:t>
      </w:r>
      <w:r w:rsidRPr="000C0015">
        <w:t>.</w:t>
      </w:r>
      <w:r w:rsidRPr="000C0015">
        <w:tab/>
      </w:r>
      <w:r>
        <w:t>Миссия по оценке и проект доклада</w:t>
      </w:r>
    </w:p>
    <w:p w14:paraId="4081FE08" w14:textId="77777777" w:rsidR="001E4B0A" w:rsidRPr="004F2FCA" w:rsidRDefault="001E4B0A" w:rsidP="001E4B0A">
      <w:pPr>
        <w:pStyle w:val="SingleTxtG"/>
      </w:pPr>
      <w:r w:rsidRPr="000C0015">
        <w:t>10.</w:t>
      </w:r>
      <w:r w:rsidRPr="000C0015">
        <w:tab/>
      </w:r>
      <w:r>
        <w:t>После завершения подготовки группа по оценке отправляется в страну, в которой она будет проводить свою оценку, и встречается с представителями национальных и местных органов управления, неправительственных организаций</w:t>
      </w:r>
      <w:r w:rsidR="000136F8">
        <w:t> </w:t>
      </w:r>
      <w:r>
        <w:t>(НПО) и частного сектора. Акцент в ходе совещаний ставится на оценку состояния системы безопасности дорожного движения в соответствии с планом оценки системы дорожной безопасности, а также контрольным списком и вопросником, который необходимо будет разработать на его основе. Кроме того, неоценимый опыт в работе группы по обзору могут внести и национальные эксперты</w:t>
      </w:r>
      <w:r w:rsidRPr="004F2FCA">
        <w:t>.</w:t>
      </w:r>
    </w:p>
    <w:p w14:paraId="55FB3F0A" w14:textId="77777777" w:rsidR="001E4B0A" w:rsidRPr="007F2E20" w:rsidRDefault="001E4B0A" w:rsidP="001E4B0A">
      <w:pPr>
        <w:pStyle w:val="SingleTxtG"/>
      </w:pPr>
      <w:r w:rsidRPr="004F2FCA">
        <w:t>11.</w:t>
      </w:r>
      <w:r w:rsidRPr="004F2FCA">
        <w:tab/>
      </w:r>
      <w:r>
        <w:t xml:space="preserve">На заключительном этапе миссии по оценке группа по оценке готовит целый ряд разделов, которые редактируются и компонуются в виде ОСБДД. Эти разделы содержат как описательную часть, так </w:t>
      </w:r>
      <w:r w:rsidR="003E7A2C">
        <w:t xml:space="preserve">и </w:t>
      </w:r>
      <w:r>
        <w:t>целый ряд рекомендаций на предмет внесения улучшений в проблемные области</w:t>
      </w:r>
      <w:r w:rsidRPr="007F2E20">
        <w:t xml:space="preserve">. </w:t>
      </w:r>
    </w:p>
    <w:p w14:paraId="22AE3D13" w14:textId="77777777" w:rsidR="001E4B0A" w:rsidRPr="007F2E20" w:rsidRDefault="001E4B0A" w:rsidP="001E4B0A">
      <w:pPr>
        <w:pStyle w:val="SingleTxtG"/>
      </w:pPr>
      <w:r w:rsidRPr="007F2E20">
        <w:t>12.</w:t>
      </w:r>
      <w:r w:rsidRPr="007F2E20">
        <w:tab/>
      </w:r>
      <w:r>
        <w:t>Окончательный проект представляется на коллегиальное рассмотрение и утверждение (см. следующий этап</w:t>
      </w:r>
      <w:r w:rsidRPr="007F2E20">
        <w:t>).</w:t>
      </w:r>
    </w:p>
    <w:p w14:paraId="1169BE99" w14:textId="77777777" w:rsidR="001E4B0A" w:rsidRPr="007F2E20" w:rsidRDefault="001E4B0A" w:rsidP="001E4B0A">
      <w:pPr>
        <w:pStyle w:val="H1G"/>
      </w:pPr>
      <w:r w:rsidRPr="007F2E20">
        <w:tab/>
      </w:r>
      <w:r w:rsidRPr="000A2A26">
        <w:rPr>
          <w:lang w:val="en-US"/>
        </w:rPr>
        <w:t>C</w:t>
      </w:r>
      <w:r w:rsidRPr="007F2E20">
        <w:t>.</w:t>
      </w:r>
      <w:r w:rsidRPr="007F2E20">
        <w:tab/>
        <w:t>Коллегиальное рассмотрение и утверждение доклада</w:t>
      </w:r>
    </w:p>
    <w:p w14:paraId="20C1AC01" w14:textId="77777777" w:rsidR="001E4B0A" w:rsidRPr="00426FD9" w:rsidRDefault="001E4B0A" w:rsidP="001E4B0A">
      <w:pPr>
        <w:pStyle w:val="SingleTxtG"/>
      </w:pPr>
      <w:r w:rsidRPr="007F2E20">
        <w:t>13.</w:t>
      </w:r>
      <w:r w:rsidRPr="007F2E20">
        <w:tab/>
      </w:r>
      <w:r>
        <w:t>На этом этапе доклад</w:t>
      </w:r>
      <w:r w:rsidRPr="007F2E20">
        <w:t xml:space="preserve"> </w:t>
      </w:r>
      <w:r>
        <w:t>по</w:t>
      </w:r>
      <w:r w:rsidRPr="007F2E20">
        <w:t xml:space="preserve"> </w:t>
      </w:r>
      <w:r>
        <w:t>ОСБДД</w:t>
      </w:r>
      <w:r w:rsidRPr="007F2E20">
        <w:t xml:space="preserve"> </w:t>
      </w:r>
      <w:r>
        <w:t>подвергается соответствующему коллегиальному рассмотрению. В процессе этого рассмотрения обсуждение должно быть сосредоточено на некоторых важнейших программных вопросах, которые возникли в ходе ОСБДД, с уделением особого внимания выводам и рекомендациям, а также их выполнению на практике, в том числе при поддержке, оказываемой по линии Фонда</w:t>
      </w:r>
      <w:r w:rsidRPr="00426FD9">
        <w:t>.</w:t>
      </w:r>
    </w:p>
    <w:p w14:paraId="40F07396" w14:textId="77777777" w:rsidR="001E4B0A" w:rsidRPr="00DB238E" w:rsidRDefault="001E4B0A" w:rsidP="001E4B0A">
      <w:pPr>
        <w:pStyle w:val="SingleTxtG"/>
      </w:pPr>
      <w:r w:rsidRPr="00426FD9">
        <w:lastRenderedPageBreak/>
        <w:t>14.</w:t>
      </w:r>
      <w:r w:rsidRPr="00426FD9">
        <w:tab/>
      </w:r>
      <w:r>
        <w:t>На это совещание приглашаются эксперты страны (национальные эксперты), в которой проводится обзор. В</w:t>
      </w:r>
      <w:r w:rsidRPr="00426FD9">
        <w:t xml:space="preserve"> </w:t>
      </w:r>
      <w:r>
        <w:t>целях усиления принципа причастности на национальном уровне и устойчивости последующих действий в конце этого</w:t>
      </w:r>
      <w:r w:rsidRPr="00426FD9">
        <w:t xml:space="preserve"> </w:t>
      </w:r>
      <w:r>
        <w:t>обзорного</w:t>
      </w:r>
      <w:r w:rsidRPr="00426FD9">
        <w:t xml:space="preserve"> </w:t>
      </w:r>
      <w:r>
        <w:t>совещания данный доклад должен быть принят страной, в которой проводится оценка</w:t>
      </w:r>
      <w:r w:rsidRPr="00DB238E">
        <w:t xml:space="preserve">. </w:t>
      </w:r>
    </w:p>
    <w:p w14:paraId="638F176F" w14:textId="77777777" w:rsidR="001E4B0A" w:rsidRPr="00DB238E" w:rsidRDefault="001E4B0A" w:rsidP="001E4B0A">
      <w:pPr>
        <w:pStyle w:val="SingleTxtG"/>
      </w:pPr>
      <w:r w:rsidRPr="00DB238E">
        <w:t>15.</w:t>
      </w:r>
      <w:r w:rsidRPr="00DB238E">
        <w:tab/>
      </w:r>
      <w:r>
        <w:t>По завершении коллегиального обзора и последующего утверждения доклада он дорабатывается и передается на этап публикации</w:t>
      </w:r>
      <w:r w:rsidRPr="00DB238E">
        <w:t>.</w:t>
      </w:r>
    </w:p>
    <w:p w14:paraId="0382E448" w14:textId="77777777" w:rsidR="001E4B0A" w:rsidRPr="00E12415" w:rsidRDefault="001E4B0A" w:rsidP="001E4B0A">
      <w:pPr>
        <w:pStyle w:val="H1G"/>
      </w:pPr>
      <w:r w:rsidRPr="00DB238E">
        <w:tab/>
      </w:r>
      <w:r w:rsidRPr="000A2A26">
        <w:rPr>
          <w:lang w:val="en-US"/>
        </w:rPr>
        <w:t>D</w:t>
      </w:r>
      <w:r w:rsidRPr="00E12415">
        <w:t>.</w:t>
      </w:r>
      <w:r w:rsidRPr="00E12415">
        <w:tab/>
      </w:r>
      <w:r>
        <w:t>Публикация и распространение</w:t>
      </w:r>
    </w:p>
    <w:p w14:paraId="4F7C414C" w14:textId="77777777" w:rsidR="001E4B0A" w:rsidRPr="001B6649" w:rsidRDefault="001E4B0A" w:rsidP="001E4B0A">
      <w:pPr>
        <w:pStyle w:val="SingleTxtG"/>
      </w:pPr>
      <w:r w:rsidRPr="00E12415">
        <w:t>16.</w:t>
      </w:r>
      <w:r w:rsidRPr="00E12415">
        <w:tab/>
      </w:r>
      <w:r>
        <w:t>Публикация полного доклада – последний этап процесса оценки. Стране, в которой проводилась оценка, может быть направлена просьба представить соответствующие новые факты и цифры. Секретариат вносит полученные поправки вместе с возможными изменениями, отражающими выводы, сделанные в процессе коллегиального рассмотрения. Эти доклады ориентированы в первую очередь на представителей директивных органов, однако они могут быть также нацелены и на все остальные субъекты, имеющие отношение к безопасности дорожного движения в той стране, в которой проводится обзор, равно как и в других заинтересованных странах</w:t>
      </w:r>
      <w:r w:rsidRPr="001B6649">
        <w:t>.</w:t>
      </w:r>
    </w:p>
    <w:p w14:paraId="6CE1E1B7" w14:textId="77777777" w:rsidR="001E4B0A" w:rsidRPr="00CA6CCD" w:rsidRDefault="001E4B0A" w:rsidP="001E4B0A">
      <w:pPr>
        <w:pStyle w:val="SingleTxtG"/>
      </w:pPr>
      <w:r w:rsidRPr="001B6649">
        <w:t>17.</w:t>
      </w:r>
      <w:r w:rsidRPr="001B6649">
        <w:tab/>
      </w:r>
      <w:r>
        <w:t>По просьбе страны, в которой проводится обзор, организуется соответствующее мероприятие, посвященное данной оценке, в целях представления выводов доклада в интересах государственных органов, международного сообщества, НПО и других заинтересованных сторон. Это мероприятие обычно проводится в присутствии представителей средств массовой информации. Данное мероприятие дает возможность национальным субъектам, причастным к безопасности дорожного движения, обратить внимание на наиболее неотложные проблемы в области безопасности дорожного движения, получившие отражение в проведенной оценке состояния дел в этой области</w:t>
      </w:r>
      <w:r w:rsidRPr="00CA6CCD">
        <w:t>.</w:t>
      </w:r>
    </w:p>
    <w:p w14:paraId="309D12E8" w14:textId="77777777" w:rsidR="001E4B0A" w:rsidRPr="00CA6CCD" w:rsidRDefault="001E4B0A" w:rsidP="001E4B0A">
      <w:pPr>
        <w:pStyle w:val="H1G"/>
      </w:pPr>
      <w:r w:rsidRPr="00CA6CCD">
        <w:tab/>
      </w:r>
      <w:r w:rsidRPr="000A2A26">
        <w:rPr>
          <w:lang w:val="en-US"/>
        </w:rPr>
        <w:t>E</w:t>
      </w:r>
      <w:r w:rsidRPr="00CA6CCD">
        <w:t>.</w:t>
      </w:r>
      <w:r w:rsidRPr="00CA6CCD">
        <w:tab/>
      </w:r>
      <w:r>
        <w:t>Этап осуществления и развитие потенциала</w:t>
      </w:r>
    </w:p>
    <w:p w14:paraId="14EB17A4" w14:textId="77777777" w:rsidR="001E4B0A" w:rsidRPr="006679B7" w:rsidRDefault="001E4B0A" w:rsidP="001E4B0A">
      <w:pPr>
        <w:pStyle w:val="SingleTxtG"/>
      </w:pPr>
      <w:r w:rsidRPr="00CA6CCD">
        <w:t>18.</w:t>
      </w:r>
      <w:r w:rsidRPr="00CA6CCD">
        <w:tab/>
      </w:r>
      <w:r>
        <w:t xml:space="preserve">После публикации доклада страна, в которой был проведен обзор, приступает, при поддержке секретариата, к осуществлению последующих действий, которые, возможно, уже были определены на этапе оценки. Указанная поддержка может выражаться в форме мероприятий по укреплению потенциала и, в подходящих случаях, в форме мероприятий по линии </w:t>
      </w:r>
      <w:r w:rsidRPr="006679B7">
        <w:t>Фонда по безопасности дорожного движения Организации Объединенных Наций.</w:t>
      </w:r>
    </w:p>
    <w:p w14:paraId="19F69B63" w14:textId="77777777" w:rsidR="00E12C5F" w:rsidRDefault="001E4B0A" w:rsidP="000136F8">
      <w:pPr>
        <w:pStyle w:val="SingleTxtG"/>
      </w:pPr>
      <w:r w:rsidRPr="006679B7">
        <w:t>19.</w:t>
      </w:r>
      <w:r w:rsidRPr="006679B7">
        <w:tab/>
      </w:r>
      <w:r>
        <w:t>В порядке завершения цикла осуществления страна, в которой был проведен обзор, может направить отчет комитету по транспорту соответствующей региональной комиссии и руководящим органам ФБДД ООН, в котором отражается прогресс в деле выполнения рекомендаций ОБДД</w:t>
      </w:r>
      <w:r w:rsidRPr="006B6A49">
        <w:t>.</w:t>
      </w:r>
    </w:p>
    <w:p w14:paraId="24B3F045" w14:textId="77777777" w:rsidR="000136F8" w:rsidRPr="00BC02D3" w:rsidRDefault="000136F8" w:rsidP="000136F8">
      <w:pPr>
        <w:pStyle w:val="HChG"/>
      </w:pPr>
      <w:r>
        <w:lastRenderedPageBreak/>
        <w:t>Приложение</w:t>
      </w:r>
    </w:p>
    <w:p w14:paraId="26154F99" w14:textId="77777777" w:rsidR="000136F8" w:rsidRPr="00BC02D3" w:rsidRDefault="000136F8" w:rsidP="000136F8">
      <w:pPr>
        <w:pStyle w:val="HChG"/>
      </w:pPr>
      <w:r w:rsidRPr="00BC02D3">
        <w:tab/>
      </w:r>
      <w:r w:rsidRPr="00BC02D3">
        <w:tab/>
      </w:r>
      <w:r>
        <w:t>Оценка системы обеспечения безопасности дорожного движения</w:t>
      </w:r>
    </w:p>
    <w:p w14:paraId="1A9B73D4" w14:textId="77777777" w:rsidR="000136F8" w:rsidRPr="00762298" w:rsidRDefault="000136F8" w:rsidP="000136F8">
      <w:pPr>
        <w:pStyle w:val="HChG"/>
      </w:pPr>
      <w:r w:rsidRPr="00BC02D3">
        <w:tab/>
      </w:r>
      <w:r w:rsidRPr="00BC02D3">
        <w:tab/>
      </w:r>
      <w:r>
        <w:t>Схема</w:t>
      </w:r>
      <w:r w:rsidRPr="000136F8">
        <w:t xml:space="preserve"> </w:t>
      </w:r>
      <w:r>
        <w:t>доклада</w:t>
      </w:r>
      <w:r w:rsidRPr="000136F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58B75E49" w14:textId="77777777" w:rsidR="000136F8" w:rsidRPr="00762298" w:rsidRDefault="000136F8" w:rsidP="000136F8">
      <w:pPr>
        <w:pStyle w:val="HChG"/>
      </w:pPr>
      <w:r w:rsidRPr="000136F8">
        <w:tab/>
      </w:r>
      <w:r w:rsidRPr="000A2A26">
        <w:rPr>
          <w:lang w:val="en-US"/>
        </w:rPr>
        <w:t>I</w:t>
      </w:r>
      <w:r w:rsidRPr="000136F8">
        <w:t>.</w:t>
      </w:r>
      <w:r w:rsidRPr="000136F8">
        <w:tab/>
      </w:r>
      <w:r>
        <w:rPr>
          <w:bCs/>
        </w:rPr>
        <w:t>Резюме</w:t>
      </w:r>
    </w:p>
    <w:p w14:paraId="0DA9014C" w14:textId="77777777" w:rsidR="000136F8" w:rsidRPr="00C73A0A" w:rsidRDefault="003E7A2C" w:rsidP="000136F8">
      <w:pPr>
        <w:pStyle w:val="SingleTxtG"/>
        <w:rPr>
          <w:b/>
          <w:bCs/>
          <w:sz w:val="26"/>
          <w:szCs w:val="26"/>
          <w:u w:val="single"/>
        </w:rPr>
      </w:pPr>
      <w:r>
        <w:tab/>
      </w:r>
      <w:r>
        <w:tab/>
      </w:r>
      <w:r w:rsidR="000136F8">
        <w:t>Содержит основные выводы и рекомендации для директивных органов</w:t>
      </w:r>
      <w:r w:rsidR="000136F8" w:rsidRPr="00C73A0A">
        <w:t>.</w:t>
      </w:r>
    </w:p>
    <w:p w14:paraId="27A36DDE" w14:textId="77777777" w:rsidR="000136F8" w:rsidRPr="00C73A0A" w:rsidRDefault="000136F8" w:rsidP="000136F8">
      <w:pPr>
        <w:pStyle w:val="HChG"/>
      </w:pPr>
      <w:r w:rsidRPr="00C73A0A">
        <w:tab/>
      </w:r>
      <w:r w:rsidRPr="000A2A26">
        <w:rPr>
          <w:lang w:val="en-US"/>
        </w:rPr>
        <w:t>II</w:t>
      </w:r>
      <w:r w:rsidRPr="00C73A0A">
        <w:t>.</w:t>
      </w:r>
      <w:r w:rsidRPr="00C73A0A">
        <w:tab/>
      </w:r>
      <w:r>
        <w:t>Основной доклад</w:t>
      </w:r>
    </w:p>
    <w:p w14:paraId="43BAAC66" w14:textId="77777777" w:rsidR="000136F8" w:rsidRPr="00C73A0A" w:rsidRDefault="000136F8" w:rsidP="000136F8">
      <w:pPr>
        <w:pStyle w:val="H1G"/>
      </w:pPr>
      <w:r w:rsidRPr="00C73A0A">
        <w:tab/>
      </w:r>
      <w:r w:rsidRPr="000A2A26">
        <w:rPr>
          <w:lang w:val="en-US"/>
        </w:rPr>
        <w:t>A</w:t>
      </w:r>
      <w:r w:rsidRPr="00C73A0A">
        <w:t>.</w:t>
      </w:r>
      <w:r w:rsidRPr="00C73A0A">
        <w:tab/>
      </w:r>
      <w:r>
        <w:t>Вступительная глава: Тенденции в области безопасности дорожного движения в стране и ключевые особенности</w:t>
      </w:r>
    </w:p>
    <w:p w14:paraId="6B749B38" w14:textId="77777777" w:rsidR="000136F8" w:rsidRPr="00C73A0A" w:rsidRDefault="000136F8" w:rsidP="000136F8">
      <w:pPr>
        <w:pStyle w:val="H1G"/>
      </w:pPr>
      <w:r w:rsidRPr="00C73A0A">
        <w:tab/>
      </w:r>
      <w:r w:rsidRPr="000A2A26">
        <w:rPr>
          <w:lang w:val="en-US"/>
        </w:rPr>
        <w:t>B</w:t>
      </w:r>
      <w:r w:rsidRPr="00C73A0A">
        <w:t>.</w:t>
      </w:r>
      <w:r w:rsidRPr="00C73A0A">
        <w:tab/>
      </w:r>
      <w:r>
        <w:t>Глава</w:t>
      </w:r>
      <w:r w:rsidRPr="00C73A0A">
        <w:t xml:space="preserve"> 1: </w:t>
      </w:r>
      <w:r>
        <w:t>Оценка эффективности системы обеспечения безопасности дорожного движения</w:t>
      </w:r>
    </w:p>
    <w:p w14:paraId="7373AF33" w14:textId="2BCDDDA5" w:rsidR="000136F8" w:rsidRPr="00C73A0A" w:rsidRDefault="00A43BF3" w:rsidP="000136F8">
      <w:pPr>
        <w:pStyle w:val="SingleTxtG"/>
      </w:pPr>
      <w:r>
        <w:tab/>
      </w:r>
      <w:r w:rsidR="000136F8">
        <w:t>a)</w:t>
      </w:r>
      <w:r w:rsidR="000136F8">
        <w:tab/>
        <w:t>Действия со стороны руководства:</w:t>
      </w:r>
    </w:p>
    <w:p w14:paraId="38151B1C" w14:textId="77777777" w:rsidR="000136F8" w:rsidRPr="00762298" w:rsidRDefault="000136F8" w:rsidP="000136F8">
      <w:pPr>
        <w:pStyle w:val="Bullet1G"/>
        <w:numPr>
          <w:ilvl w:val="0"/>
          <w:numId w:val="22"/>
        </w:numPr>
      </w:pPr>
      <w:r>
        <w:t>сильные стороны;</w:t>
      </w:r>
    </w:p>
    <w:p w14:paraId="1CBDC416" w14:textId="77777777" w:rsidR="000136F8" w:rsidRPr="00762298" w:rsidRDefault="000136F8" w:rsidP="000136F8">
      <w:pPr>
        <w:pStyle w:val="Bullet1G"/>
        <w:numPr>
          <w:ilvl w:val="0"/>
          <w:numId w:val="22"/>
        </w:numPr>
      </w:pPr>
      <w:r>
        <w:t>слабые стороны;</w:t>
      </w:r>
    </w:p>
    <w:p w14:paraId="37183B56" w14:textId="77777777" w:rsidR="000136F8" w:rsidRPr="00762298" w:rsidRDefault="000136F8" w:rsidP="000136F8">
      <w:pPr>
        <w:pStyle w:val="Bullet1G"/>
        <w:numPr>
          <w:ilvl w:val="0"/>
          <w:numId w:val="22"/>
        </w:numPr>
      </w:pPr>
      <w:r>
        <w:t>недостающие элементы.</w:t>
      </w:r>
    </w:p>
    <w:p w14:paraId="37A926B0" w14:textId="77777777" w:rsidR="000136F8" w:rsidRPr="00762298" w:rsidRDefault="000136F8" w:rsidP="000136F8">
      <w:pPr>
        <w:pStyle w:val="SingleTxtG"/>
      </w:pPr>
      <w:r>
        <w:t>b)</w:t>
      </w:r>
      <w:r>
        <w:tab/>
        <w:t>Действия по мониторингу:</w:t>
      </w:r>
    </w:p>
    <w:p w14:paraId="6F3DFC9C" w14:textId="77777777" w:rsidR="000136F8" w:rsidRPr="00762298" w:rsidRDefault="000136F8" w:rsidP="000136F8">
      <w:pPr>
        <w:pStyle w:val="Bullet1G"/>
        <w:numPr>
          <w:ilvl w:val="0"/>
          <w:numId w:val="22"/>
        </w:numPr>
      </w:pPr>
      <w:r>
        <w:t>сильные стороны;</w:t>
      </w:r>
    </w:p>
    <w:p w14:paraId="3810E23C" w14:textId="77777777" w:rsidR="000136F8" w:rsidRPr="00762298" w:rsidRDefault="000136F8" w:rsidP="000136F8">
      <w:pPr>
        <w:pStyle w:val="Bullet1G"/>
        <w:numPr>
          <w:ilvl w:val="0"/>
          <w:numId w:val="22"/>
        </w:numPr>
      </w:pPr>
      <w:r>
        <w:t>слабые стороны;</w:t>
      </w:r>
    </w:p>
    <w:p w14:paraId="7AC3F17C" w14:textId="77777777" w:rsidR="000136F8" w:rsidRPr="00762298" w:rsidRDefault="000136F8" w:rsidP="000136F8">
      <w:pPr>
        <w:pStyle w:val="Bullet1G"/>
        <w:numPr>
          <w:ilvl w:val="0"/>
          <w:numId w:val="22"/>
        </w:numPr>
      </w:pPr>
      <w:r>
        <w:t>недостающие элементы.</w:t>
      </w:r>
    </w:p>
    <w:p w14:paraId="4A140C25" w14:textId="77777777" w:rsidR="000136F8" w:rsidRPr="00784DDC" w:rsidRDefault="000136F8" w:rsidP="000136F8">
      <w:pPr>
        <w:pStyle w:val="SingleTxtG"/>
      </w:pPr>
      <w:r w:rsidRPr="000A2A26">
        <w:rPr>
          <w:lang w:val="en-US"/>
        </w:rPr>
        <w:t>c</w:t>
      </w:r>
      <w:r w:rsidRPr="00784DDC">
        <w:t>)</w:t>
      </w:r>
      <w:r w:rsidRPr="00784DDC">
        <w:tab/>
      </w:r>
      <w:r>
        <w:t>Недочеты</w:t>
      </w:r>
      <w:r w:rsidRPr="00784DDC">
        <w:t xml:space="preserve"> </w:t>
      </w:r>
      <w:r>
        <w:t>в</w:t>
      </w:r>
      <w:r w:rsidRPr="00784DDC">
        <w:t xml:space="preserve"> </w:t>
      </w:r>
      <w:r>
        <w:t>оценке</w:t>
      </w:r>
      <w:r w:rsidRPr="00784DDC">
        <w:t xml:space="preserve"> </w:t>
      </w:r>
      <w:r>
        <w:t>по</w:t>
      </w:r>
      <w:r w:rsidRPr="00784DDC">
        <w:t xml:space="preserve"> </w:t>
      </w:r>
      <w:r>
        <w:t>сравнению</w:t>
      </w:r>
      <w:r w:rsidRPr="00784DDC">
        <w:t xml:space="preserve"> </w:t>
      </w:r>
      <w:r>
        <w:t>с</w:t>
      </w:r>
      <w:r w:rsidRPr="00784DDC">
        <w:t xml:space="preserve"> </w:t>
      </w:r>
      <w:r>
        <w:t>ГРПД, заключениями и рекомендациями.</w:t>
      </w:r>
    </w:p>
    <w:p w14:paraId="7E22C912" w14:textId="77777777" w:rsidR="000136F8" w:rsidRPr="004D522A" w:rsidRDefault="000136F8" w:rsidP="000136F8">
      <w:pPr>
        <w:pStyle w:val="H1G"/>
      </w:pPr>
      <w:r w:rsidRPr="00784DDC">
        <w:tab/>
      </w:r>
      <w:r w:rsidRPr="000A2A26">
        <w:rPr>
          <w:lang w:val="en-US"/>
        </w:rPr>
        <w:t>C</w:t>
      </w:r>
      <w:r w:rsidRPr="004D522A">
        <w:t>.</w:t>
      </w:r>
      <w:r w:rsidRPr="004D522A">
        <w:tab/>
      </w:r>
      <w:r>
        <w:t>Глава</w:t>
      </w:r>
      <w:r w:rsidRPr="004D522A">
        <w:t xml:space="preserve"> 2: </w:t>
      </w:r>
      <w:r>
        <w:t>Оценка эффективности системы повышения безопасности участников дорожного движения</w:t>
      </w:r>
    </w:p>
    <w:p w14:paraId="1788AB62" w14:textId="77777777" w:rsidR="000136F8" w:rsidRPr="0099483D" w:rsidRDefault="000136F8" w:rsidP="000136F8">
      <w:pPr>
        <w:pStyle w:val="SingleTxtG"/>
      </w:pPr>
      <w:r w:rsidRPr="000A2A26">
        <w:rPr>
          <w:lang w:val="en-US"/>
        </w:rPr>
        <w:t>a</w:t>
      </w:r>
      <w:r w:rsidRPr="0099483D">
        <w:t>)</w:t>
      </w:r>
      <w:r w:rsidRPr="0099483D">
        <w:tab/>
      </w:r>
      <w:r>
        <w:t>Нормативно</w:t>
      </w:r>
      <w:r w:rsidRPr="0099483D">
        <w:t>-</w:t>
      </w:r>
      <w:r>
        <w:t>правовая</w:t>
      </w:r>
      <w:r w:rsidRPr="0099483D">
        <w:t xml:space="preserve"> </w:t>
      </w:r>
      <w:r>
        <w:t>база</w:t>
      </w:r>
      <w:r w:rsidRPr="0099483D">
        <w:t xml:space="preserve"> </w:t>
      </w:r>
      <w:r>
        <w:t>по правилам дорожного движения для водителей транспортных средств</w:t>
      </w:r>
      <w:r w:rsidR="00E94DCA">
        <w:t>:</w:t>
      </w:r>
    </w:p>
    <w:p w14:paraId="71237B2E" w14:textId="77777777" w:rsidR="000136F8" w:rsidRPr="00762298" w:rsidRDefault="00E94DCA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793996D5" w14:textId="77777777" w:rsidR="000136F8" w:rsidRPr="00762298" w:rsidRDefault="00E94DCA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315C64C9" w14:textId="77777777" w:rsidR="000136F8" w:rsidRPr="00762298" w:rsidRDefault="00E94DCA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40935327" w14:textId="77777777" w:rsidR="000136F8" w:rsidRPr="0099483D" w:rsidRDefault="000136F8" w:rsidP="000136F8">
      <w:pPr>
        <w:pStyle w:val="SingleTxtG"/>
      </w:pPr>
      <w:r w:rsidRPr="000A2A26">
        <w:rPr>
          <w:lang w:val="en-US"/>
        </w:rPr>
        <w:t>b</w:t>
      </w:r>
      <w:r w:rsidRPr="0099483D">
        <w:t>)</w:t>
      </w:r>
      <w:r w:rsidRPr="0099483D">
        <w:tab/>
      </w:r>
      <w:r>
        <w:t>Соблюдение и правоприменительная практика со стороны полиции и инспекторов</w:t>
      </w:r>
      <w:r w:rsidR="00E94DCA">
        <w:t>:</w:t>
      </w:r>
    </w:p>
    <w:p w14:paraId="6EE9DABA" w14:textId="77777777" w:rsidR="000136F8" w:rsidRPr="00762298" w:rsidRDefault="00E94DCA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1C79106D" w14:textId="77777777" w:rsidR="000136F8" w:rsidRPr="00762298" w:rsidRDefault="00E94DCA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6B77ED01" w14:textId="77777777" w:rsidR="000136F8" w:rsidRPr="00762298" w:rsidRDefault="00E94DCA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72CC1D2C" w14:textId="77777777" w:rsidR="000136F8" w:rsidRPr="0099483D" w:rsidRDefault="000136F8" w:rsidP="000136F8">
      <w:pPr>
        <w:pStyle w:val="SingleTxtG"/>
      </w:pPr>
      <w:r w:rsidRPr="000A2A26">
        <w:rPr>
          <w:lang w:val="en-US"/>
        </w:rPr>
        <w:lastRenderedPageBreak/>
        <w:t>c</w:t>
      </w:r>
      <w:r w:rsidRPr="0099483D">
        <w:t>)</w:t>
      </w:r>
      <w:r w:rsidRPr="0099483D">
        <w:tab/>
      </w:r>
      <w:r>
        <w:t>Обучение водителей и просвещение участников дорожного движения</w:t>
      </w:r>
      <w:r w:rsidR="00E94DCA">
        <w:t>:</w:t>
      </w:r>
    </w:p>
    <w:p w14:paraId="1B880AB6" w14:textId="77777777" w:rsidR="000136F8" w:rsidRPr="00762298" w:rsidRDefault="00E94DCA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4D0FA6FB" w14:textId="77777777" w:rsidR="000136F8" w:rsidRPr="00762298" w:rsidRDefault="00E94DCA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6C85D43B" w14:textId="77777777" w:rsidR="000136F8" w:rsidRPr="00762298" w:rsidRDefault="00E94DCA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652BCE99" w14:textId="77777777" w:rsidR="000136F8" w:rsidRPr="00525397" w:rsidRDefault="000136F8" w:rsidP="000136F8">
      <w:pPr>
        <w:pStyle w:val="SingleTxtG"/>
      </w:pPr>
      <w:r w:rsidRPr="000A2A26">
        <w:rPr>
          <w:lang w:val="en-US"/>
        </w:rPr>
        <w:t>d</w:t>
      </w:r>
      <w:r w:rsidRPr="00525397">
        <w:t>)</w:t>
      </w:r>
      <w:r w:rsidRPr="00525397">
        <w:tab/>
      </w:r>
      <w:r>
        <w:t>Вспомогательные</w:t>
      </w:r>
      <w:r w:rsidRPr="00525397">
        <w:t xml:space="preserve"> </w:t>
      </w:r>
      <w:r>
        <w:t>технологии</w:t>
      </w:r>
      <w:r w:rsidRPr="00525397">
        <w:t xml:space="preserve">, </w:t>
      </w:r>
      <w:r>
        <w:t>позволяющие и вынуждающие повысить безопасность пользователей</w:t>
      </w:r>
      <w:r w:rsidR="00E94DCA">
        <w:t>:</w:t>
      </w:r>
    </w:p>
    <w:p w14:paraId="5CA1A476" w14:textId="77777777" w:rsidR="000136F8" w:rsidRPr="00762298" w:rsidRDefault="00E94DCA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402F3DC0" w14:textId="77777777" w:rsidR="000136F8" w:rsidRPr="00762298" w:rsidRDefault="00E94DCA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6F60C464" w14:textId="77777777" w:rsidR="000136F8" w:rsidRPr="00762298" w:rsidRDefault="00E94DCA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6E5B21C4" w14:textId="77777777" w:rsidR="000136F8" w:rsidRPr="00762298" w:rsidRDefault="000136F8" w:rsidP="000136F8">
      <w:pPr>
        <w:pStyle w:val="SingleTxtG"/>
      </w:pPr>
      <w:r>
        <w:t>e)</w:t>
      </w:r>
      <w:r>
        <w:tab/>
        <w:t>Международная нормативно-правовая поддержка</w:t>
      </w:r>
      <w:r w:rsidR="00E94DCA">
        <w:t>:</w:t>
      </w:r>
    </w:p>
    <w:p w14:paraId="392B5CB5" w14:textId="77777777" w:rsidR="000136F8" w:rsidRPr="00762298" w:rsidRDefault="00E94DCA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4F905303" w14:textId="77777777" w:rsidR="000136F8" w:rsidRPr="00762298" w:rsidRDefault="00E94DCA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6ECD69F6" w14:textId="77777777" w:rsidR="000136F8" w:rsidRPr="00762298" w:rsidRDefault="00E94DCA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5966F455" w14:textId="77777777" w:rsidR="000136F8" w:rsidRPr="00525397" w:rsidRDefault="000136F8" w:rsidP="000136F8">
      <w:pPr>
        <w:pStyle w:val="SingleTxtG"/>
      </w:pPr>
      <w:r w:rsidRPr="000A2A26">
        <w:rPr>
          <w:lang w:val="en-US"/>
        </w:rPr>
        <w:t>f</w:t>
      </w:r>
      <w:r w:rsidRPr="00525397">
        <w:t>)</w:t>
      </w:r>
      <w:r w:rsidRPr="00525397">
        <w:tab/>
      </w:r>
      <w:r>
        <w:t>Недочеты</w:t>
      </w:r>
      <w:r w:rsidRPr="00784DDC">
        <w:t xml:space="preserve"> </w:t>
      </w:r>
      <w:r>
        <w:t>в</w:t>
      </w:r>
      <w:r w:rsidRPr="00784DDC">
        <w:t xml:space="preserve"> </w:t>
      </w:r>
      <w:r>
        <w:t>оценке</w:t>
      </w:r>
      <w:r w:rsidRPr="00784DDC">
        <w:t xml:space="preserve"> </w:t>
      </w:r>
      <w:r>
        <w:t>по</w:t>
      </w:r>
      <w:r w:rsidRPr="00784DDC">
        <w:t xml:space="preserve"> </w:t>
      </w:r>
      <w:r>
        <w:t>сравнению</w:t>
      </w:r>
      <w:r w:rsidRPr="00784DDC">
        <w:t xml:space="preserve"> </w:t>
      </w:r>
      <w:r>
        <w:t>с</w:t>
      </w:r>
      <w:r w:rsidRPr="00784DDC">
        <w:t xml:space="preserve"> </w:t>
      </w:r>
      <w:r>
        <w:t>ГРПД, заключениями и рекомендациями</w:t>
      </w:r>
      <w:r w:rsidR="00E94DCA">
        <w:t>.</w:t>
      </w:r>
    </w:p>
    <w:p w14:paraId="5DB8455B" w14:textId="77777777" w:rsidR="000136F8" w:rsidRPr="00525397" w:rsidRDefault="000136F8" w:rsidP="000136F8">
      <w:pPr>
        <w:pStyle w:val="H1G"/>
      </w:pPr>
      <w:r w:rsidRPr="00525397">
        <w:tab/>
      </w:r>
      <w:r w:rsidRPr="000A2A26">
        <w:rPr>
          <w:lang w:val="en-US"/>
        </w:rPr>
        <w:t>D</w:t>
      </w:r>
      <w:r w:rsidRPr="00525397">
        <w:t>.</w:t>
      </w:r>
      <w:r w:rsidRPr="00525397">
        <w:tab/>
      </w:r>
      <w:r>
        <w:t>Глава</w:t>
      </w:r>
      <w:r w:rsidRPr="00525397">
        <w:t xml:space="preserve"> 3: </w:t>
      </w:r>
      <w:r>
        <w:t>Оценка эффективности системы повышения безопасности транспортных средств</w:t>
      </w:r>
    </w:p>
    <w:p w14:paraId="0149A428" w14:textId="77777777" w:rsidR="000136F8" w:rsidRPr="00DE636B" w:rsidRDefault="000136F8" w:rsidP="000136F8">
      <w:pPr>
        <w:pStyle w:val="SingleTxtG"/>
      </w:pPr>
      <w:r w:rsidRPr="000A2A26">
        <w:rPr>
          <w:lang w:val="en-US"/>
        </w:rPr>
        <w:t>a</w:t>
      </w:r>
      <w:r w:rsidRPr="00DE636B">
        <w:t>)</w:t>
      </w:r>
      <w:r w:rsidRPr="00DE636B">
        <w:tab/>
      </w:r>
      <w:r>
        <w:t>Нормативно</w:t>
      </w:r>
      <w:r w:rsidRPr="00DE636B">
        <w:t>-</w:t>
      </w:r>
      <w:r>
        <w:t>правовая</w:t>
      </w:r>
      <w:r w:rsidRPr="00DE636B">
        <w:t xml:space="preserve"> </w:t>
      </w:r>
      <w:r>
        <w:t>база</w:t>
      </w:r>
      <w:r w:rsidRPr="00DE636B">
        <w:t xml:space="preserve">: </w:t>
      </w:r>
      <w:r>
        <w:t>правила</w:t>
      </w:r>
      <w:r w:rsidRPr="00DE636B">
        <w:t xml:space="preserve"> </w:t>
      </w:r>
      <w:r>
        <w:t>и</w:t>
      </w:r>
      <w:r w:rsidRPr="00DE636B">
        <w:t xml:space="preserve"> </w:t>
      </w:r>
      <w:r>
        <w:t>стандарты</w:t>
      </w:r>
      <w:r w:rsidRPr="00DE636B">
        <w:t xml:space="preserve">, </w:t>
      </w:r>
      <w:r>
        <w:t>регламентирующие</w:t>
      </w:r>
      <w:r w:rsidRPr="00DE636B">
        <w:t xml:space="preserve"> </w:t>
      </w:r>
      <w:r>
        <w:t>допуск транспортных средств к эксплуатации</w:t>
      </w:r>
      <w:r w:rsidRPr="00DE636B">
        <w:t xml:space="preserve"> </w:t>
      </w:r>
      <w:r>
        <w:t>в условиях дорожного движения</w:t>
      </w:r>
      <w:r w:rsidR="00F26C36">
        <w:t>:</w:t>
      </w:r>
    </w:p>
    <w:p w14:paraId="012B3BD2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72A29DFC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6393C8D0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378BB33F" w14:textId="77777777" w:rsidR="000136F8" w:rsidRPr="00762298" w:rsidRDefault="000136F8" w:rsidP="000136F8">
      <w:pPr>
        <w:pStyle w:val="SingleTxtG"/>
      </w:pPr>
      <w:r w:rsidRPr="00762298">
        <w:t>b)</w:t>
      </w:r>
      <w:r w:rsidRPr="00762298">
        <w:tab/>
      </w:r>
      <w:r>
        <w:t>Правоприменение</w:t>
      </w:r>
      <w:r w:rsidRPr="00762298">
        <w:t xml:space="preserve">: </w:t>
      </w:r>
    </w:p>
    <w:p w14:paraId="05685002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0DD20138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4C85866D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3982EF92" w14:textId="77777777" w:rsidR="000136F8" w:rsidRPr="00DE636B" w:rsidRDefault="000136F8" w:rsidP="000136F8">
      <w:pPr>
        <w:pStyle w:val="SingleTxtG"/>
      </w:pPr>
      <w:r>
        <w:t>c)</w:t>
      </w:r>
      <w:r>
        <w:tab/>
        <w:t>Просвещение/учебная подготовка</w:t>
      </w:r>
      <w:r w:rsidR="00F26C36">
        <w:t>:</w:t>
      </w:r>
    </w:p>
    <w:p w14:paraId="6F2D840F" w14:textId="77777777" w:rsidR="000136F8" w:rsidRPr="00DE636B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4030335A" w14:textId="77777777" w:rsidR="000136F8" w:rsidRPr="00DE636B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142EDFEF" w14:textId="77777777" w:rsidR="000136F8" w:rsidRPr="00DE636B" w:rsidRDefault="00F26C36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65519E4D" w14:textId="77777777" w:rsidR="000136F8" w:rsidRPr="00DE636B" w:rsidRDefault="000136F8" w:rsidP="000136F8">
      <w:pPr>
        <w:pStyle w:val="SingleTxtG"/>
      </w:pPr>
      <w:r>
        <w:t>d)</w:t>
      </w:r>
      <w:r>
        <w:tab/>
        <w:t>Технология</w:t>
      </w:r>
      <w:r w:rsidR="00F26C36">
        <w:t>:</w:t>
      </w:r>
    </w:p>
    <w:p w14:paraId="0732DEF2" w14:textId="77777777" w:rsidR="000136F8" w:rsidRPr="00DE636B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459F9DC4" w14:textId="77777777" w:rsidR="000136F8" w:rsidRPr="00DE636B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1774365B" w14:textId="77777777" w:rsidR="000136F8" w:rsidRPr="00DE636B" w:rsidRDefault="00F26C36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605605D7" w14:textId="77777777" w:rsidR="000136F8" w:rsidRPr="00525397" w:rsidRDefault="000136F8" w:rsidP="000136F8">
      <w:pPr>
        <w:pStyle w:val="SingleTxtG"/>
      </w:pPr>
      <w:r>
        <w:t>e)</w:t>
      </w:r>
      <w:r>
        <w:tab/>
        <w:t>Международная нормативно-правовая поддержка</w:t>
      </w:r>
      <w:r w:rsidR="00F26C36">
        <w:t>:</w:t>
      </w:r>
    </w:p>
    <w:p w14:paraId="5F2AFF91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0F9B3E30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51AD691D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04A667CA" w14:textId="77777777" w:rsidR="000136F8" w:rsidRPr="00525397" w:rsidRDefault="000136F8" w:rsidP="000136F8">
      <w:pPr>
        <w:pStyle w:val="SingleTxtG"/>
      </w:pPr>
      <w:r w:rsidRPr="000A2A26">
        <w:rPr>
          <w:lang w:val="en-US"/>
        </w:rPr>
        <w:t>f</w:t>
      </w:r>
      <w:r w:rsidRPr="00525397">
        <w:t>)</w:t>
      </w:r>
      <w:r w:rsidRPr="00525397">
        <w:tab/>
      </w:r>
      <w:r>
        <w:t>Недочеты</w:t>
      </w:r>
      <w:r w:rsidRPr="00784DDC">
        <w:t xml:space="preserve"> </w:t>
      </w:r>
      <w:r>
        <w:t>в</w:t>
      </w:r>
      <w:r w:rsidRPr="00784DDC">
        <w:t xml:space="preserve"> </w:t>
      </w:r>
      <w:r>
        <w:t>оценке</w:t>
      </w:r>
      <w:r w:rsidRPr="00784DDC">
        <w:t xml:space="preserve"> </w:t>
      </w:r>
      <w:r>
        <w:t>по</w:t>
      </w:r>
      <w:r w:rsidRPr="00784DDC">
        <w:t xml:space="preserve"> </w:t>
      </w:r>
      <w:r>
        <w:t>сравнению</w:t>
      </w:r>
      <w:r w:rsidRPr="00784DDC">
        <w:t xml:space="preserve"> </w:t>
      </w:r>
      <w:r>
        <w:t>с</w:t>
      </w:r>
      <w:r w:rsidRPr="00784DDC">
        <w:t xml:space="preserve"> </w:t>
      </w:r>
      <w:r>
        <w:t>ГРПД, заключениями и рекомендациями</w:t>
      </w:r>
      <w:r w:rsidR="00F26C36">
        <w:t>.</w:t>
      </w:r>
    </w:p>
    <w:p w14:paraId="7EE85339" w14:textId="77777777" w:rsidR="000136F8" w:rsidRPr="00DE636B" w:rsidRDefault="000136F8" w:rsidP="000136F8">
      <w:pPr>
        <w:pStyle w:val="H1G"/>
      </w:pPr>
      <w:r w:rsidRPr="00525397">
        <w:lastRenderedPageBreak/>
        <w:tab/>
      </w:r>
      <w:r w:rsidRPr="000A2A26">
        <w:rPr>
          <w:lang w:val="en-US"/>
        </w:rPr>
        <w:t>E</w:t>
      </w:r>
      <w:r w:rsidRPr="00DE636B">
        <w:t>.</w:t>
      </w:r>
      <w:r w:rsidRPr="00DE636B">
        <w:tab/>
      </w:r>
      <w:r>
        <w:t>Глава</w:t>
      </w:r>
      <w:r w:rsidRPr="00DE636B">
        <w:t xml:space="preserve"> 4: </w:t>
      </w:r>
      <w:r>
        <w:t>Оценка эффективности системы повышения безопасности</w:t>
      </w:r>
      <w:r w:rsidRPr="00DE636B">
        <w:t xml:space="preserve"> </w:t>
      </w:r>
      <w:r>
        <w:t>дорог</w:t>
      </w:r>
    </w:p>
    <w:p w14:paraId="31CD9D4E" w14:textId="77777777" w:rsidR="000136F8" w:rsidRPr="00DE636B" w:rsidRDefault="000136F8" w:rsidP="000136F8">
      <w:pPr>
        <w:pStyle w:val="SingleTxtG"/>
      </w:pPr>
      <w:r w:rsidRPr="000A2A26">
        <w:rPr>
          <w:lang w:val="en-US"/>
        </w:rPr>
        <w:t>a</w:t>
      </w:r>
      <w:r w:rsidRPr="00DE636B">
        <w:t>)</w:t>
      </w:r>
      <w:r w:rsidRPr="00DE636B">
        <w:tab/>
      </w:r>
      <w:r>
        <w:t>Нормативно</w:t>
      </w:r>
      <w:r w:rsidRPr="00DE636B">
        <w:t>-</w:t>
      </w:r>
      <w:r>
        <w:t>правовая</w:t>
      </w:r>
      <w:r w:rsidRPr="00DE636B">
        <w:t xml:space="preserve"> </w:t>
      </w:r>
      <w:r>
        <w:t>база</w:t>
      </w:r>
      <w:r w:rsidRPr="00DE636B">
        <w:t xml:space="preserve">: </w:t>
      </w:r>
      <w:r>
        <w:t>Стандарты на проектирование, строительство, техническое обслуживание и сигнализацию дорог</w:t>
      </w:r>
      <w:r w:rsidR="00F26C36">
        <w:t>:</w:t>
      </w:r>
    </w:p>
    <w:p w14:paraId="38188CE2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20E181E3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06409565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76AFF272" w14:textId="77777777" w:rsidR="000136F8" w:rsidRPr="00762298" w:rsidRDefault="000136F8" w:rsidP="000136F8">
      <w:pPr>
        <w:pStyle w:val="SingleTxtG"/>
      </w:pPr>
      <w:r>
        <w:t>b)</w:t>
      </w:r>
      <w:r>
        <w:tab/>
        <w:t>Правоприменение</w:t>
      </w:r>
      <w:r w:rsidR="00F26C36">
        <w:t>:</w:t>
      </w:r>
    </w:p>
    <w:p w14:paraId="56F4E670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0C394D9A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0D62CA8A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2200CF73" w14:textId="77777777" w:rsidR="000136F8" w:rsidRPr="009414BA" w:rsidRDefault="000136F8" w:rsidP="000136F8">
      <w:pPr>
        <w:pStyle w:val="SingleTxtG"/>
      </w:pPr>
      <w:r>
        <w:t>c)</w:t>
      </w:r>
      <w:r>
        <w:tab/>
        <w:t>Просвещение и учебная подготовка</w:t>
      </w:r>
      <w:r w:rsidR="00F26C36">
        <w:t>:</w:t>
      </w:r>
    </w:p>
    <w:p w14:paraId="142334EA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25B1A916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2BB06DB0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2A6CB15C" w14:textId="77777777" w:rsidR="000136F8" w:rsidRPr="00762298" w:rsidRDefault="000136F8" w:rsidP="000136F8">
      <w:pPr>
        <w:pStyle w:val="SingleTxtG"/>
      </w:pPr>
      <w:r>
        <w:t>d)</w:t>
      </w:r>
      <w:r>
        <w:tab/>
        <w:t>Технология</w:t>
      </w:r>
      <w:r w:rsidR="00F26C36">
        <w:t>:</w:t>
      </w:r>
    </w:p>
    <w:p w14:paraId="26DCE7A5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03AF7AE3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7E0A170D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64233D97" w14:textId="77777777" w:rsidR="000136F8" w:rsidRPr="00525397" w:rsidRDefault="000136F8" w:rsidP="000136F8">
      <w:pPr>
        <w:pStyle w:val="SingleTxtG"/>
      </w:pPr>
      <w:r>
        <w:t>e)</w:t>
      </w:r>
      <w:r>
        <w:tab/>
        <w:t>Международная нормативно-правовая поддержка</w:t>
      </w:r>
      <w:r w:rsidR="00F26C36">
        <w:t>:</w:t>
      </w:r>
    </w:p>
    <w:p w14:paraId="36FEAB0A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62F468A9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556006EA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5FF631F2" w14:textId="77777777" w:rsidR="000136F8" w:rsidRPr="00525397" w:rsidRDefault="000136F8" w:rsidP="000136F8">
      <w:pPr>
        <w:pStyle w:val="SingleTxtG"/>
      </w:pPr>
      <w:r w:rsidRPr="000A2A26">
        <w:rPr>
          <w:lang w:val="en-US"/>
        </w:rPr>
        <w:t>f</w:t>
      </w:r>
      <w:r w:rsidRPr="00525397">
        <w:t>)</w:t>
      </w:r>
      <w:r w:rsidRPr="00525397">
        <w:tab/>
      </w:r>
      <w:r>
        <w:t>Недочеты</w:t>
      </w:r>
      <w:r w:rsidRPr="00784DDC">
        <w:t xml:space="preserve"> </w:t>
      </w:r>
      <w:r>
        <w:t>в</w:t>
      </w:r>
      <w:r w:rsidRPr="00784DDC">
        <w:t xml:space="preserve"> </w:t>
      </w:r>
      <w:r>
        <w:t>оценке</w:t>
      </w:r>
      <w:r w:rsidRPr="00784DDC">
        <w:t xml:space="preserve"> </w:t>
      </w:r>
      <w:r>
        <w:t>по</w:t>
      </w:r>
      <w:r w:rsidRPr="00784DDC">
        <w:t xml:space="preserve"> </w:t>
      </w:r>
      <w:r>
        <w:t>сравнению</w:t>
      </w:r>
      <w:r w:rsidRPr="00784DDC">
        <w:t xml:space="preserve"> </w:t>
      </w:r>
      <w:r>
        <w:t>с</w:t>
      </w:r>
      <w:r w:rsidRPr="00784DDC">
        <w:t xml:space="preserve"> </w:t>
      </w:r>
      <w:r>
        <w:t>ГРПД, заключениями и рекомендациями</w:t>
      </w:r>
      <w:r w:rsidR="00F26C36">
        <w:t>.</w:t>
      </w:r>
      <w:r>
        <w:t xml:space="preserve"> </w:t>
      </w:r>
    </w:p>
    <w:p w14:paraId="02E7032F" w14:textId="77777777" w:rsidR="000136F8" w:rsidRPr="00DE636B" w:rsidRDefault="000136F8" w:rsidP="000136F8">
      <w:pPr>
        <w:pStyle w:val="H1G"/>
      </w:pPr>
      <w:r w:rsidRPr="00525397">
        <w:tab/>
      </w:r>
      <w:r w:rsidRPr="000A2A26">
        <w:rPr>
          <w:lang w:val="en-US"/>
        </w:rPr>
        <w:t>F</w:t>
      </w:r>
      <w:r w:rsidRPr="00DE636B">
        <w:t>.</w:t>
      </w:r>
      <w:r w:rsidRPr="00DE636B">
        <w:tab/>
      </w:r>
      <w:r>
        <w:t>Глава</w:t>
      </w:r>
      <w:r w:rsidRPr="00DE636B">
        <w:t xml:space="preserve"> 5: </w:t>
      </w:r>
      <w:r>
        <w:t>Оценка эффективности системы оказания первой помощи при ДТП</w:t>
      </w:r>
    </w:p>
    <w:p w14:paraId="7371D59F" w14:textId="77777777" w:rsidR="000136F8" w:rsidRPr="00EF3428" w:rsidRDefault="000136F8" w:rsidP="000136F8">
      <w:pPr>
        <w:pStyle w:val="SingleTxtG"/>
      </w:pPr>
      <w:r w:rsidRPr="000A2A26">
        <w:rPr>
          <w:lang w:val="en-US"/>
        </w:rPr>
        <w:t>a</w:t>
      </w:r>
      <w:r w:rsidRPr="00EF3428">
        <w:t>)</w:t>
      </w:r>
      <w:r w:rsidRPr="00EF3428">
        <w:tab/>
      </w:r>
      <w:r>
        <w:t>Нормативно</w:t>
      </w:r>
      <w:r w:rsidRPr="00EF3428">
        <w:t>-</w:t>
      </w:r>
      <w:r>
        <w:t>правовая</w:t>
      </w:r>
      <w:r w:rsidRPr="00EF3428">
        <w:t xml:space="preserve"> </w:t>
      </w:r>
      <w:r>
        <w:t>база</w:t>
      </w:r>
      <w:r w:rsidRPr="00EF3428">
        <w:t xml:space="preserve"> </w:t>
      </w:r>
      <w:r w:rsidRPr="009414BA">
        <w:t>оказания первой помощи при ДТП</w:t>
      </w:r>
      <w:r w:rsidR="00F26C36">
        <w:t>:</w:t>
      </w:r>
    </w:p>
    <w:p w14:paraId="711D33C4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0857D27A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2C3257EE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2264157D" w14:textId="77777777" w:rsidR="000136F8" w:rsidRPr="00762298" w:rsidRDefault="000136F8" w:rsidP="000136F8">
      <w:pPr>
        <w:pStyle w:val="SingleTxtG"/>
      </w:pPr>
      <w:r>
        <w:t>b)</w:t>
      </w:r>
      <w:r>
        <w:tab/>
        <w:t>Система страхования</w:t>
      </w:r>
      <w:r w:rsidR="00F26C36">
        <w:t>:</w:t>
      </w:r>
    </w:p>
    <w:p w14:paraId="74990F95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2EF7C9A8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72FFF5B0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608161F6" w14:textId="77777777" w:rsidR="000136F8" w:rsidRPr="00EF3428" w:rsidRDefault="000136F8" w:rsidP="000136F8">
      <w:pPr>
        <w:pStyle w:val="SingleTxtG"/>
      </w:pPr>
      <w:r w:rsidRPr="000A2A26">
        <w:rPr>
          <w:lang w:val="en-US"/>
        </w:rPr>
        <w:t>c</w:t>
      </w:r>
      <w:r w:rsidRPr="00EF3428">
        <w:t>)</w:t>
      </w:r>
      <w:r w:rsidRPr="00EF3428">
        <w:tab/>
      </w:r>
      <w:r>
        <w:t>Правоприменение и надзор за работой спасательных служб</w:t>
      </w:r>
      <w:r w:rsidR="00F26C36">
        <w:t>:</w:t>
      </w:r>
    </w:p>
    <w:p w14:paraId="5E98127A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0B09B2AF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0E188752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5E0BFA8D" w14:textId="77777777" w:rsidR="000136F8" w:rsidRPr="009414BA" w:rsidRDefault="000136F8" w:rsidP="00F26C36">
      <w:pPr>
        <w:pStyle w:val="SingleTxtG"/>
        <w:pageBreakBefore/>
      </w:pPr>
      <w:r>
        <w:lastRenderedPageBreak/>
        <w:t>d)</w:t>
      </w:r>
      <w:r>
        <w:tab/>
        <w:t>Просвещение и учебная подготовка</w:t>
      </w:r>
      <w:r w:rsidR="00F26C36">
        <w:t>:</w:t>
      </w:r>
    </w:p>
    <w:p w14:paraId="0C97E20C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39C78C46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375D2FD3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0D0075B1" w14:textId="77777777" w:rsidR="000136F8" w:rsidRPr="00762298" w:rsidRDefault="000136F8" w:rsidP="000136F8">
      <w:pPr>
        <w:pStyle w:val="SingleTxtG"/>
      </w:pPr>
      <w:r>
        <w:t>e)</w:t>
      </w:r>
      <w:r>
        <w:tab/>
        <w:t>Технология</w:t>
      </w:r>
      <w:r w:rsidR="00F26C36">
        <w:t>:</w:t>
      </w:r>
    </w:p>
    <w:p w14:paraId="65AFB814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2135BA9F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25453A0F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6BD1122F" w14:textId="77777777" w:rsidR="000136F8" w:rsidRPr="00525397" w:rsidRDefault="000136F8" w:rsidP="000136F8">
      <w:pPr>
        <w:pStyle w:val="SingleTxtG"/>
      </w:pPr>
      <w:r>
        <w:t>f)</w:t>
      </w:r>
      <w:r>
        <w:tab/>
        <w:t>Международная нормативно-правовая поддержка</w:t>
      </w:r>
      <w:r w:rsidR="00F26C36">
        <w:t>:</w:t>
      </w:r>
    </w:p>
    <w:p w14:paraId="4EB392E1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ильные стороны</w:t>
      </w:r>
      <w:r>
        <w:t>;</w:t>
      </w:r>
    </w:p>
    <w:p w14:paraId="5A169AAD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с</w:t>
      </w:r>
      <w:r w:rsidR="000136F8">
        <w:t>лабые стороны</w:t>
      </w:r>
      <w:r>
        <w:t>;</w:t>
      </w:r>
    </w:p>
    <w:p w14:paraId="3038CFFE" w14:textId="77777777" w:rsidR="000136F8" w:rsidRPr="00762298" w:rsidRDefault="00F26C36" w:rsidP="000136F8">
      <w:pPr>
        <w:pStyle w:val="Bullet1G"/>
        <w:numPr>
          <w:ilvl w:val="0"/>
          <w:numId w:val="22"/>
        </w:numPr>
      </w:pPr>
      <w:r>
        <w:t>н</w:t>
      </w:r>
      <w:r w:rsidR="000136F8">
        <w:t>едостающие элементы</w:t>
      </w:r>
      <w:r>
        <w:t>.</w:t>
      </w:r>
    </w:p>
    <w:p w14:paraId="0E900164" w14:textId="77777777" w:rsidR="000136F8" w:rsidRPr="00525397" w:rsidRDefault="000136F8" w:rsidP="000136F8">
      <w:pPr>
        <w:pStyle w:val="SingleTxtG"/>
      </w:pPr>
      <w:r w:rsidRPr="000A2A26">
        <w:rPr>
          <w:lang w:val="en-US"/>
        </w:rPr>
        <w:t>g</w:t>
      </w:r>
      <w:r w:rsidRPr="00525397">
        <w:t>)</w:t>
      </w:r>
      <w:r w:rsidRPr="00525397">
        <w:tab/>
      </w:r>
      <w:r>
        <w:t>Недочеты</w:t>
      </w:r>
      <w:r w:rsidRPr="00784DDC">
        <w:t xml:space="preserve"> </w:t>
      </w:r>
      <w:r>
        <w:t>в</w:t>
      </w:r>
      <w:r w:rsidRPr="00784DDC">
        <w:t xml:space="preserve"> </w:t>
      </w:r>
      <w:r>
        <w:t>оценке</w:t>
      </w:r>
      <w:r w:rsidRPr="00784DDC">
        <w:t xml:space="preserve"> </w:t>
      </w:r>
      <w:r>
        <w:t>по</w:t>
      </w:r>
      <w:r w:rsidRPr="00784DDC">
        <w:t xml:space="preserve"> </w:t>
      </w:r>
      <w:r>
        <w:t>сравнению</w:t>
      </w:r>
      <w:r w:rsidRPr="00784DDC">
        <w:t xml:space="preserve"> </w:t>
      </w:r>
      <w:r>
        <w:t>с</w:t>
      </w:r>
      <w:r w:rsidRPr="00784DDC">
        <w:t xml:space="preserve"> </w:t>
      </w:r>
      <w:r>
        <w:t>ГРПД, заключениями и рекомендациями</w:t>
      </w:r>
      <w:r w:rsidR="00F26C36">
        <w:t>.</w:t>
      </w:r>
      <w:r>
        <w:t xml:space="preserve"> </w:t>
      </w:r>
    </w:p>
    <w:p w14:paraId="4592230F" w14:textId="77777777" w:rsidR="000136F8" w:rsidRPr="00EF3428" w:rsidRDefault="000136F8" w:rsidP="000136F8">
      <w:pPr>
        <w:pStyle w:val="H1G"/>
      </w:pPr>
      <w:r w:rsidRPr="00525397">
        <w:tab/>
      </w:r>
      <w:r w:rsidRPr="000A2A26">
        <w:rPr>
          <w:lang w:val="en-US"/>
        </w:rPr>
        <w:t>G</w:t>
      </w:r>
      <w:r w:rsidRPr="00EF3428">
        <w:t>.</w:t>
      </w:r>
      <w:r w:rsidRPr="00EF3428">
        <w:tab/>
      </w:r>
      <w:r>
        <w:t>Глава</w:t>
      </w:r>
      <w:r w:rsidRPr="00EF3428">
        <w:t xml:space="preserve"> 6: </w:t>
      </w:r>
      <w:r>
        <w:t>Заключения и план действий в области безопасности дорожного движения</w:t>
      </w:r>
    </w:p>
    <w:p w14:paraId="1257C61A" w14:textId="77777777" w:rsidR="000136F8" w:rsidRPr="00437742" w:rsidRDefault="000136F8" w:rsidP="000136F8">
      <w:pPr>
        <w:pStyle w:val="HChG"/>
      </w:pPr>
      <w:r w:rsidRPr="00EF3428">
        <w:tab/>
      </w:r>
      <w:r w:rsidRPr="000A2A26">
        <w:rPr>
          <w:lang w:val="en-US"/>
        </w:rPr>
        <w:t>III</w:t>
      </w:r>
      <w:r w:rsidRPr="00437742">
        <w:t>.</w:t>
      </w:r>
      <w:r w:rsidRPr="00437742">
        <w:tab/>
      </w:r>
      <w:r>
        <w:t>Приложения</w:t>
      </w:r>
    </w:p>
    <w:p w14:paraId="4C578A24" w14:textId="77777777" w:rsidR="000136F8" w:rsidRPr="00A417A1" w:rsidRDefault="000136F8" w:rsidP="000136F8">
      <w:pPr>
        <w:pStyle w:val="SingleTxtG"/>
      </w:pPr>
      <w:r>
        <w:rPr>
          <w:b/>
          <w:bCs/>
        </w:rPr>
        <w:t>Приложение</w:t>
      </w:r>
      <w:r w:rsidRPr="00A417A1">
        <w:rPr>
          <w:b/>
          <w:bCs/>
        </w:rPr>
        <w:t xml:space="preserve"> </w:t>
      </w:r>
      <w:r w:rsidRPr="00762298">
        <w:rPr>
          <w:b/>
          <w:bCs/>
        </w:rPr>
        <w:t>I</w:t>
      </w:r>
      <w:r w:rsidRPr="00A417A1">
        <w:rPr>
          <w:b/>
          <w:bCs/>
        </w:rPr>
        <w:t xml:space="preserve">: </w:t>
      </w:r>
      <w:r>
        <w:t>Краткий обзор и тенденции на уровне страны</w:t>
      </w:r>
      <w:r w:rsidR="00F26C36">
        <w:t>.</w:t>
      </w:r>
    </w:p>
    <w:p w14:paraId="555B77D8" w14:textId="77777777" w:rsidR="00F26C36" w:rsidRPr="00A417A1" w:rsidRDefault="000136F8" w:rsidP="000136F8">
      <w:pPr>
        <w:pStyle w:val="SingleTxtG"/>
      </w:pPr>
      <w:r>
        <w:rPr>
          <w:b/>
          <w:bCs/>
        </w:rPr>
        <w:t>Приложение</w:t>
      </w:r>
      <w:r w:rsidRPr="00A417A1">
        <w:rPr>
          <w:b/>
          <w:bCs/>
        </w:rPr>
        <w:t xml:space="preserve"> </w:t>
      </w:r>
      <w:r w:rsidRPr="00762298">
        <w:rPr>
          <w:b/>
          <w:bCs/>
        </w:rPr>
        <w:t>II</w:t>
      </w:r>
      <w:r w:rsidRPr="00A417A1">
        <w:t xml:space="preserve">: </w:t>
      </w:r>
      <w:r>
        <w:t>Ключевые</w:t>
      </w:r>
      <w:r w:rsidRPr="00A417A1">
        <w:t xml:space="preserve"> </w:t>
      </w:r>
      <w:r>
        <w:t>национальные</w:t>
      </w:r>
      <w:r w:rsidRPr="00A417A1">
        <w:t xml:space="preserve"> </w:t>
      </w:r>
      <w:r>
        <w:t>показатели эффективности обеспечения безопасности дорожного движения</w:t>
      </w:r>
      <w:r w:rsidR="00F26C36">
        <w:t>.</w:t>
      </w:r>
    </w:p>
    <w:p w14:paraId="31118178" w14:textId="77777777" w:rsidR="000136F8" w:rsidRPr="00A417A1" w:rsidRDefault="000136F8" w:rsidP="000136F8">
      <w:pPr>
        <w:pStyle w:val="SingleTxtG"/>
      </w:pPr>
      <w:r>
        <w:rPr>
          <w:b/>
          <w:bCs/>
        </w:rPr>
        <w:t>Приложение</w:t>
      </w:r>
      <w:r w:rsidRPr="00A417A1">
        <w:rPr>
          <w:b/>
          <w:bCs/>
        </w:rPr>
        <w:t xml:space="preserve"> </w:t>
      </w:r>
      <w:r w:rsidRPr="00762298">
        <w:rPr>
          <w:b/>
          <w:bCs/>
        </w:rPr>
        <w:t>III</w:t>
      </w:r>
      <w:r w:rsidRPr="00A417A1">
        <w:t xml:space="preserve">: </w:t>
      </w:r>
      <w:r>
        <w:t>Перечень соответствующих национальных документов, посвященных проблемам безопасности дорожного движения</w:t>
      </w:r>
      <w:r w:rsidR="00F26C36">
        <w:t>.</w:t>
      </w:r>
    </w:p>
    <w:p w14:paraId="07A0B6EF" w14:textId="77777777" w:rsidR="000136F8" w:rsidRPr="00A417A1" w:rsidRDefault="000136F8" w:rsidP="000136F8">
      <w:pPr>
        <w:pStyle w:val="SingleTxtG"/>
      </w:pPr>
      <w:r>
        <w:rPr>
          <w:b/>
          <w:bCs/>
        </w:rPr>
        <w:t>Приложение</w:t>
      </w:r>
      <w:r w:rsidRPr="00A417A1">
        <w:rPr>
          <w:b/>
          <w:bCs/>
        </w:rPr>
        <w:t xml:space="preserve"> </w:t>
      </w:r>
      <w:r w:rsidRPr="00762298">
        <w:rPr>
          <w:b/>
          <w:bCs/>
        </w:rPr>
        <w:t>IV</w:t>
      </w:r>
      <w:r w:rsidRPr="00A417A1">
        <w:t xml:space="preserve">: </w:t>
      </w:r>
      <w:r>
        <w:t>Оценка сценариев стратегии в области обеспечения безопасности дорожного движения с использованием приложения</w:t>
      </w:r>
      <w:r w:rsidRPr="00A417A1">
        <w:t xml:space="preserve"> </w:t>
      </w:r>
      <w:r w:rsidRPr="00A80C25">
        <w:t>SafeFITS</w:t>
      </w:r>
      <w:r w:rsidRPr="009A332E">
        <w:rPr>
          <w:rStyle w:val="FootnoteReference"/>
        </w:rPr>
        <w:footnoteReference w:id="2"/>
      </w:r>
      <w:r w:rsidR="00F26C36">
        <w:t>.</w:t>
      </w:r>
    </w:p>
    <w:p w14:paraId="3B96963D" w14:textId="77777777" w:rsidR="000136F8" w:rsidRPr="00A417A1" w:rsidRDefault="000136F8" w:rsidP="000136F8">
      <w:pPr>
        <w:spacing w:before="240"/>
        <w:jc w:val="center"/>
        <w:rPr>
          <w:u w:val="single"/>
        </w:rPr>
      </w:pPr>
      <w:r w:rsidRPr="00A417A1">
        <w:rPr>
          <w:u w:val="single"/>
        </w:rPr>
        <w:tab/>
      </w:r>
      <w:r w:rsidRPr="00A417A1">
        <w:rPr>
          <w:u w:val="single"/>
        </w:rPr>
        <w:tab/>
      </w:r>
      <w:r w:rsidRPr="00A417A1">
        <w:rPr>
          <w:u w:val="single"/>
        </w:rPr>
        <w:tab/>
      </w:r>
    </w:p>
    <w:p w14:paraId="1B0E6A78" w14:textId="77777777" w:rsidR="000136F8" w:rsidRPr="008D53B6" w:rsidRDefault="000136F8" w:rsidP="000136F8">
      <w:pPr>
        <w:pStyle w:val="SingleTxtG"/>
      </w:pPr>
    </w:p>
    <w:sectPr w:rsidR="000136F8" w:rsidRPr="008D53B6" w:rsidSect="001E4B0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8D5C5" w14:textId="77777777" w:rsidR="00784920" w:rsidRPr="00A312BC" w:rsidRDefault="00784920" w:rsidP="00A312BC"/>
  </w:endnote>
  <w:endnote w:type="continuationSeparator" w:id="0">
    <w:p w14:paraId="008432E5" w14:textId="77777777" w:rsidR="00784920" w:rsidRPr="00A312BC" w:rsidRDefault="0078492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CB13" w14:textId="77777777" w:rsidR="00B55A0B" w:rsidRDefault="001E4B0A" w:rsidP="000136F8">
    <w:pPr>
      <w:pStyle w:val="Footer"/>
    </w:pPr>
    <w:r w:rsidRPr="001E4B0A">
      <w:rPr>
        <w:b/>
        <w:sz w:val="18"/>
      </w:rPr>
      <w:fldChar w:fldCharType="begin"/>
    </w:r>
    <w:r w:rsidRPr="001E4B0A">
      <w:rPr>
        <w:b/>
        <w:sz w:val="18"/>
      </w:rPr>
      <w:instrText xml:space="preserve"> PAGE  \* MERGEFORMAT </w:instrText>
    </w:r>
    <w:r w:rsidRPr="001E4B0A">
      <w:rPr>
        <w:b/>
        <w:sz w:val="18"/>
      </w:rPr>
      <w:fldChar w:fldCharType="separate"/>
    </w:r>
    <w:r w:rsidRPr="001E4B0A">
      <w:rPr>
        <w:b/>
        <w:noProof/>
        <w:sz w:val="18"/>
      </w:rPr>
      <w:t>2</w:t>
    </w:r>
    <w:r w:rsidRPr="001E4B0A">
      <w:rPr>
        <w:b/>
        <w:sz w:val="18"/>
      </w:rPr>
      <w:fldChar w:fldCharType="end"/>
    </w:r>
    <w:r>
      <w:rPr>
        <w:b/>
        <w:sz w:val="18"/>
      </w:rPr>
      <w:tab/>
    </w:r>
    <w:r>
      <w:t>GE.19-21700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8F9E" w14:textId="77777777" w:rsidR="00B55A0B" w:rsidRPr="000136F8" w:rsidRDefault="001E4B0A" w:rsidP="000136F8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GE.19-21700</w:t>
    </w:r>
    <w:r>
      <w:tab/>
    </w:r>
    <w:r w:rsidRPr="001E4B0A">
      <w:rPr>
        <w:b/>
        <w:sz w:val="18"/>
      </w:rPr>
      <w:fldChar w:fldCharType="begin"/>
    </w:r>
    <w:r w:rsidRPr="001E4B0A">
      <w:rPr>
        <w:b/>
        <w:sz w:val="18"/>
      </w:rPr>
      <w:instrText xml:space="preserve"> PAGE  \* MERGEFORMAT </w:instrText>
    </w:r>
    <w:r w:rsidRPr="001E4B0A">
      <w:rPr>
        <w:b/>
        <w:sz w:val="18"/>
      </w:rPr>
      <w:fldChar w:fldCharType="separate"/>
    </w:r>
    <w:r w:rsidRPr="001E4B0A">
      <w:rPr>
        <w:b/>
        <w:noProof/>
        <w:sz w:val="18"/>
      </w:rPr>
      <w:t>3</w:t>
    </w:r>
    <w:r w:rsidRPr="001E4B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EECC" w14:textId="77777777" w:rsidR="00042B72" w:rsidRPr="001E4B0A" w:rsidRDefault="001E4B0A" w:rsidP="001E4B0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31647F" wp14:editId="61E9421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19-21700  (R)</w:t>
    </w:r>
    <w:r>
      <w:rPr>
        <w:lang w:val="en-US"/>
      </w:rPr>
      <w:t xml:space="preserve">  060120  060120</w:t>
    </w:r>
    <w:r>
      <w:br/>
    </w:r>
    <w:r w:rsidRPr="001E4B0A">
      <w:rPr>
        <w:rFonts w:ascii="C39T30Lfz" w:hAnsi="C39T30Lfz"/>
        <w:kern w:val="14"/>
        <w:sz w:val="56"/>
      </w:rPr>
      <w:t></w:t>
    </w:r>
    <w:r w:rsidRPr="001E4B0A">
      <w:rPr>
        <w:rFonts w:ascii="C39T30Lfz" w:hAnsi="C39T30Lfz"/>
        <w:kern w:val="14"/>
        <w:sz w:val="56"/>
      </w:rPr>
      <w:t></w:t>
    </w:r>
    <w:r w:rsidRPr="001E4B0A">
      <w:rPr>
        <w:rFonts w:ascii="C39T30Lfz" w:hAnsi="C39T30Lfz"/>
        <w:kern w:val="14"/>
        <w:sz w:val="56"/>
      </w:rPr>
      <w:t></w:t>
    </w:r>
    <w:r w:rsidRPr="001E4B0A">
      <w:rPr>
        <w:rFonts w:ascii="C39T30Lfz" w:hAnsi="C39T30Lfz"/>
        <w:kern w:val="14"/>
        <w:sz w:val="56"/>
      </w:rPr>
      <w:t></w:t>
    </w:r>
    <w:r w:rsidRPr="001E4B0A">
      <w:rPr>
        <w:rFonts w:ascii="C39T30Lfz" w:hAnsi="C39T30Lfz"/>
        <w:kern w:val="14"/>
        <w:sz w:val="56"/>
      </w:rPr>
      <w:t></w:t>
    </w:r>
    <w:r w:rsidRPr="001E4B0A">
      <w:rPr>
        <w:rFonts w:ascii="C39T30Lfz" w:hAnsi="C39T30Lfz"/>
        <w:kern w:val="14"/>
        <w:sz w:val="56"/>
      </w:rPr>
      <w:t></w:t>
    </w:r>
    <w:r w:rsidRPr="001E4B0A">
      <w:rPr>
        <w:rFonts w:ascii="C39T30Lfz" w:hAnsi="C39T30Lfz"/>
        <w:kern w:val="14"/>
        <w:sz w:val="56"/>
      </w:rPr>
      <w:t></w:t>
    </w:r>
    <w:r w:rsidRPr="001E4B0A">
      <w:rPr>
        <w:rFonts w:ascii="C39T30Lfz" w:hAnsi="C39T30Lfz"/>
        <w:kern w:val="14"/>
        <w:sz w:val="56"/>
      </w:rPr>
      <w:t></w:t>
    </w:r>
    <w:r w:rsidRPr="001E4B0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49A2CB9" wp14:editId="59B2993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2020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EC700" w14:textId="77777777" w:rsidR="00784920" w:rsidRPr="001075E9" w:rsidRDefault="0078492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371342" w14:textId="77777777" w:rsidR="00784920" w:rsidRDefault="0078492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AD7F85" w14:textId="77777777" w:rsidR="000136F8" w:rsidRPr="00E94DCA" w:rsidRDefault="000136F8" w:rsidP="000136F8">
      <w:pPr>
        <w:pStyle w:val="FootnoteText"/>
        <w:rPr>
          <w:szCs w:val="18"/>
        </w:rPr>
      </w:pPr>
      <w:r w:rsidRPr="00E94DCA">
        <w:rPr>
          <w:rStyle w:val="FootnoteReference"/>
          <w:vertAlign w:val="baseline"/>
        </w:rPr>
        <w:tab/>
      </w:r>
      <w:r w:rsidRPr="00E94DCA">
        <w:rPr>
          <w:rStyle w:val="FootnoteReference"/>
          <w:sz w:val="20"/>
          <w:vertAlign w:val="baseline"/>
        </w:rPr>
        <w:t>*</w:t>
      </w:r>
      <w:r w:rsidRPr="0099483D">
        <w:rPr>
          <w:rStyle w:val="FootnoteReference"/>
          <w:sz w:val="20"/>
        </w:rPr>
        <w:tab/>
      </w:r>
      <w:r w:rsidR="00E94DCA" w:rsidRPr="00E94DCA">
        <w:rPr>
          <w:szCs w:val="18"/>
        </w:rPr>
        <w:t>В</w:t>
      </w:r>
      <w:r w:rsidRPr="00E94DCA">
        <w:rPr>
          <w:szCs w:val="18"/>
        </w:rPr>
        <w:t xml:space="preserve"> соответствии/сравнении с Глобальным рамочным планом действий по обеспечению безопасности дорожного движения (ГРПД).</w:t>
      </w:r>
    </w:p>
  </w:footnote>
  <w:footnote w:id="2">
    <w:p w14:paraId="2201DA4C" w14:textId="77777777" w:rsidR="000136F8" w:rsidRPr="0086314A" w:rsidRDefault="000136F8" w:rsidP="000136F8">
      <w:pPr>
        <w:pStyle w:val="FootnoteText"/>
      </w:pPr>
      <w:r w:rsidRPr="0099483D">
        <w:tab/>
      </w:r>
      <w:r>
        <w:rPr>
          <w:rStyle w:val="FootnoteReference"/>
        </w:rPr>
        <w:footnoteRef/>
      </w:r>
      <w:r w:rsidRPr="00A417A1">
        <w:tab/>
        <w:t>Безопасные будущие системы внутреннего транспорта (SafeFITS)</w:t>
      </w:r>
      <w:r>
        <w:t>: анализ с помощью приложения SafeFITS в зависимости от наличия соответствующих показателей</w:t>
      </w:r>
      <w:r w:rsidRPr="0086314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0DDF" w14:textId="2B7AAF18" w:rsidR="001E4B0A" w:rsidRPr="001E4B0A" w:rsidRDefault="00574ECF">
    <w:pPr>
      <w:pStyle w:val="Header"/>
    </w:pPr>
    <w:fldSimple w:instr=" TITLE  \* MERGEFORMAT ">
      <w:r>
        <w:t>ECE/TRANS/2020/10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ECFA0" w14:textId="25F32EA0" w:rsidR="001E4B0A" w:rsidRPr="001E4B0A" w:rsidRDefault="00574ECF" w:rsidP="001E4B0A">
    <w:pPr>
      <w:pStyle w:val="Header"/>
      <w:jc w:val="right"/>
    </w:pPr>
    <w:fldSimple w:instr=" TITLE  \* MERGEFORMAT ">
      <w:r>
        <w:t>ECE/TRANS/2020/10</w:t>
      </w:r>
    </w:fldSimple>
  </w:p>
  <w:p w14:paraId="6B1FF461" w14:textId="77777777" w:rsidR="00B55A0B" w:rsidRDefault="00B55A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0731F"/>
    <w:multiLevelType w:val="hybridMultilevel"/>
    <w:tmpl w:val="C45476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E1D43BA4"/>
    <w:lvl w:ilvl="0" w:tplc="6E8A454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  <w:lvlOverride w:ilvl="0">
      <w:lvl w:ilvl="0" w:tplc="6E8A454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0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20"/>
    <w:rsid w:val="000136F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4B0A"/>
    <w:rsid w:val="0022295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7A2C"/>
    <w:rsid w:val="00407B78"/>
    <w:rsid w:val="00413F73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4ECF"/>
    <w:rsid w:val="005961C8"/>
    <w:rsid w:val="005966F1"/>
    <w:rsid w:val="00597D95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4920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3BF3"/>
    <w:rsid w:val="00A84021"/>
    <w:rsid w:val="00A84D35"/>
    <w:rsid w:val="00A917B3"/>
    <w:rsid w:val="00AB4B51"/>
    <w:rsid w:val="00B10CC7"/>
    <w:rsid w:val="00B36DF7"/>
    <w:rsid w:val="00B539E7"/>
    <w:rsid w:val="00B55A0B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3C78"/>
    <w:rsid w:val="00E73F76"/>
    <w:rsid w:val="00E94DCA"/>
    <w:rsid w:val="00EA2C9F"/>
    <w:rsid w:val="00EA420E"/>
    <w:rsid w:val="00ED0BDA"/>
    <w:rsid w:val="00EE142A"/>
    <w:rsid w:val="00EF1360"/>
    <w:rsid w:val="00EF3220"/>
    <w:rsid w:val="00F2523A"/>
    <w:rsid w:val="00F26C36"/>
    <w:rsid w:val="00F43903"/>
    <w:rsid w:val="00F71A74"/>
    <w:rsid w:val="00F90C8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7806AE"/>
  <w15:docId w15:val="{967C51BC-5235-44C3-B80D-0EB0716C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1E4B0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2123</Words>
  <Characters>12104</Characters>
  <Application>Microsoft Office Word</Application>
  <DocSecurity>4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ECE/TRANS/2020/10</vt:lpstr>
      <vt:lpstr>ECE/TRANS/2020/10</vt:lpstr>
      <vt:lpstr>A/</vt:lpstr>
    </vt:vector>
  </TitlesOfParts>
  <Company>DCM</Company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ECE/TRANS/2020/10</dc:title>
  <dc:subject/>
  <dc:creator>Uliana ANTIPOVA</dc:creator>
  <cp:keywords/>
  <cp:lastModifiedBy>Anastasia Barinova</cp:lastModifiedBy>
  <cp:revision>2</cp:revision>
  <cp:lastPrinted>2020-01-06T13:30:00Z</cp:lastPrinted>
  <dcterms:created xsi:type="dcterms:W3CDTF">2020-01-10T15:25:00Z</dcterms:created>
  <dcterms:modified xsi:type="dcterms:W3CDTF">2020-01-10T15:25:00Z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