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081749F" w14:textId="77777777" w:rsidTr="005316B0">
        <w:trPr>
          <w:trHeight w:hRule="exact" w:val="851"/>
        </w:trPr>
        <w:tc>
          <w:tcPr>
            <w:tcW w:w="1276" w:type="dxa"/>
            <w:tcBorders>
              <w:bottom w:val="single" w:sz="4" w:space="0" w:color="auto"/>
            </w:tcBorders>
          </w:tcPr>
          <w:p w14:paraId="27B8DA36" w14:textId="7F3EE73C" w:rsidR="001433FD" w:rsidRPr="00DB58B5" w:rsidRDefault="001433FD" w:rsidP="0001207F"/>
        </w:tc>
        <w:tc>
          <w:tcPr>
            <w:tcW w:w="2268" w:type="dxa"/>
            <w:tcBorders>
              <w:bottom w:val="single" w:sz="4" w:space="0" w:color="auto"/>
            </w:tcBorders>
            <w:vAlign w:val="bottom"/>
          </w:tcPr>
          <w:p w14:paraId="7998040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E0A75D" w14:textId="398915A3" w:rsidR="001433FD" w:rsidRPr="00DB58B5" w:rsidRDefault="00B3309A" w:rsidP="00B3309A">
            <w:pPr>
              <w:jc w:val="right"/>
            </w:pPr>
            <w:r w:rsidRPr="00B3309A">
              <w:rPr>
                <w:sz w:val="40"/>
              </w:rPr>
              <w:t>ECE</w:t>
            </w:r>
            <w:r>
              <w:t>/TRANS/WP.15/AC.2/2020/</w:t>
            </w:r>
            <w:r w:rsidR="00FC2327">
              <w:t>30</w:t>
            </w:r>
          </w:p>
        </w:tc>
      </w:tr>
      <w:tr w:rsidR="001433FD" w:rsidRPr="00DB58B5" w14:paraId="15D2886D" w14:textId="77777777" w:rsidTr="007D3236">
        <w:trPr>
          <w:trHeight w:hRule="exact" w:val="2835"/>
        </w:trPr>
        <w:tc>
          <w:tcPr>
            <w:tcW w:w="1276" w:type="dxa"/>
            <w:tcBorders>
              <w:top w:val="single" w:sz="4" w:space="0" w:color="auto"/>
              <w:bottom w:val="single" w:sz="12" w:space="0" w:color="auto"/>
            </w:tcBorders>
          </w:tcPr>
          <w:p w14:paraId="6163EFCC" w14:textId="77777777" w:rsidR="001433FD" w:rsidRPr="00DB58B5" w:rsidRDefault="001433FD" w:rsidP="007D3236">
            <w:pPr>
              <w:spacing w:before="120"/>
              <w:jc w:val="center"/>
            </w:pPr>
            <w:r>
              <w:rPr>
                <w:noProof/>
                <w:lang w:eastAsia="fr-CH"/>
              </w:rPr>
              <w:drawing>
                <wp:inline distT="0" distB="0" distL="0" distR="0" wp14:anchorId="75CE3AF0" wp14:editId="03B7FC8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F33E8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B182B9" w14:textId="77777777" w:rsidR="0001207F" w:rsidRDefault="00B3309A" w:rsidP="00B3309A">
            <w:pPr>
              <w:spacing w:before="240" w:line="240" w:lineRule="exact"/>
            </w:pPr>
            <w:proofErr w:type="spellStart"/>
            <w:r>
              <w:t>Distr</w:t>
            </w:r>
            <w:proofErr w:type="spellEnd"/>
            <w:r>
              <w:t xml:space="preserve">. </w:t>
            </w:r>
            <w:proofErr w:type="gramStart"/>
            <w:r>
              <w:t>générale</w:t>
            </w:r>
            <w:proofErr w:type="gramEnd"/>
          </w:p>
          <w:p w14:paraId="63F0E552" w14:textId="498BC434" w:rsidR="00B3309A" w:rsidRDefault="005C2F22" w:rsidP="00B3309A">
            <w:pPr>
              <w:spacing w:line="240" w:lineRule="exact"/>
            </w:pPr>
            <w:r>
              <w:t xml:space="preserve">29 </w:t>
            </w:r>
            <w:r w:rsidR="004A41D6">
              <w:t xml:space="preserve">mai </w:t>
            </w:r>
            <w:r w:rsidR="00B3309A">
              <w:t>20</w:t>
            </w:r>
            <w:r w:rsidR="00733A99">
              <w:t>20</w:t>
            </w:r>
          </w:p>
          <w:p w14:paraId="2B9A6D35" w14:textId="77777777" w:rsidR="00B3309A" w:rsidRDefault="00B3309A" w:rsidP="00B3309A">
            <w:pPr>
              <w:spacing w:line="240" w:lineRule="exact"/>
            </w:pPr>
          </w:p>
          <w:p w14:paraId="5E5C4BBD" w14:textId="77777777" w:rsidR="00B3309A" w:rsidRPr="00DB58B5" w:rsidRDefault="00B3309A" w:rsidP="00B3309A">
            <w:pPr>
              <w:spacing w:line="240" w:lineRule="exact"/>
            </w:pPr>
            <w:r>
              <w:t>Original : français</w:t>
            </w:r>
          </w:p>
        </w:tc>
      </w:tr>
    </w:tbl>
    <w:p w14:paraId="48C86D40" w14:textId="0B9093B6" w:rsidR="00996B54" w:rsidRDefault="00996B54" w:rsidP="00FD1581">
      <w:pPr>
        <w:spacing w:before="120"/>
        <w:rPr>
          <w:b/>
          <w:sz w:val="28"/>
          <w:szCs w:val="28"/>
        </w:rPr>
      </w:pPr>
      <w:r w:rsidRPr="00883605">
        <w:rPr>
          <w:b/>
          <w:sz w:val="28"/>
          <w:szCs w:val="28"/>
        </w:rPr>
        <w:t>Commission économique pour l</w:t>
      </w:r>
      <w:r w:rsidR="00B6085B">
        <w:rPr>
          <w:rFonts w:hint="eastAsia"/>
          <w:b/>
          <w:sz w:val="28"/>
          <w:szCs w:val="28"/>
        </w:rPr>
        <w:t>'</w:t>
      </w:r>
      <w:r w:rsidRPr="00883605">
        <w:rPr>
          <w:b/>
          <w:sz w:val="28"/>
          <w:szCs w:val="28"/>
        </w:rPr>
        <w:t>Europe</w:t>
      </w:r>
    </w:p>
    <w:p w14:paraId="4C141E2B" w14:textId="339AD400" w:rsidR="00996B54" w:rsidRDefault="00996B54" w:rsidP="0081170A">
      <w:pPr>
        <w:tabs>
          <w:tab w:val="left" w:pos="5691"/>
        </w:tabs>
        <w:spacing w:before="120"/>
        <w:rPr>
          <w:sz w:val="28"/>
          <w:szCs w:val="28"/>
        </w:rPr>
      </w:pPr>
      <w:r w:rsidRPr="00685843">
        <w:rPr>
          <w:sz w:val="28"/>
          <w:szCs w:val="28"/>
        </w:rPr>
        <w:t>Comité des transports intérieurs</w:t>
      </w:r>
    </w:p>
    <w:p w14:paraId="3AD6435E" w14:textId="77777777" w:rsidR="00996B54" w:rsidRPr="009E01B8" w:rsidRDefault="00996B54"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8E34EA1" w14:textId="77777777" w:rsidR="00996B54" w:rsidRPr="004812F5" w:rsidRDefault="00996B54" w:rsidP="00FD1581">
      <w:pPr>
        <w:spacing w:before="120"/>
        <w:rPr>
          <w:b/>
        </w:rPr>
      </w:pPr>
      <w:r w:rsidRPr="004812F5">
        <w:rPr>
          <w:b/>
          <w:lang w:val="fr-FR"/>
        </w:rPr>
        <w:t>Réunion commune d</w:t>
      </w:r>
      <w:r w:rsidR="001D5D0E">
        <w:rPr>
          <w:b/>
          <w:lang w:val="fr-FR"/>
        </w:rPr>
        <w:t>’</w:t>
      </w:r>
      <w:r w:rsidRPr="004812F5">
        <w:rPr>
          <w:b/>
          <w:lang w:val="fr-FR"/>
        </w:rPr>
        <w:t>experts sur le Règlement annexé</w:t>
      </w:r>
      <w:r>
        <w:rPr>
          <w:b/>
          <w:lang w:val="fr-FR"/>
        </w:rPr>
        <w:t xml:space="preserve"> </w:t>
      </w:r>
      <w:r>
        <w:rPr>
          <w:b/>
          <w:lang w:val="fr-FR"/>
        </w:rPr>
        <w:br/>
      </w:r>
      <w:r w:rsidRPr="004812F5">
        <w:rPr>
          <w:b/>
          <w:lang w:val="fr-FR"/>
        </w:rPr>
        <w:t>à l</w:t>
      </w:r>
      <w:r w:rsidR="00BE75AE">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BE75AE">
        <w:rPr>
          <w:b/>
          <w:bCs/>
          <w:lang w:val="fr-FR"/>
        </w:rPr>
        <w:t>’</w:t>
      </w:r>
      <w:r w:rsidRPr="004812F5">
        <w:rPr>
          <w:b/>
          <w:bCs/>
          <w:lang w:val="fr-FR"/>
        </w:rPr>
        <w:t>ADN)</w:t>
      </w:r>
    </w:p>
    <w:p w14:paraId="534C5C64" w14:textId="43DB2CC6" w:rsidR="00996B54" w:rsidRPr="00234E40" w:rsidRDefault="00996B54" w:rsidP="00FD1581">
      <w:pPr>
        <w:spacing w:before="120"/>
        <w:rPr>
          <w:b/>
        </w:rPr>
      </w:pPr>
      <w:r>
        <w:rPr>
          <w:b/>
        </w:rPr>
        <w:t>Trente-</w:t>
      </w:r>
      <w:r w:rsidR="00733A99">
        <w:rPr>
          <w:b/>
        </w:rPr>
        <w:t>septi</w:t>
      </w:r>
      <w:r>
        <w:rPr>
          <w:b/>
        </w:rPr>
        <w:t xml:space="preserve">ème </w:t>
      </w:r>
      <w:r w:rsidRPr="00234E40">
        <w:rPr>
          <w:b/>
        </w:rPr>
        <w:t>session</w:t>
      </w:r>
    </w:p>
    <w:p w14:paraId="3381435E" w14:textId="6F489325" w:rsidR="00996B54" w:rsidRDefault="00996B54" w:rsidP="00FD1581">
      <w:r>
        <w:t>Genève, 2</w:t>
      </w:r>
      <w:r w:rsidR="00733A99">
        <w:t>4</w:t>
      </w:r>
      <w:r>
        <w:t>-</w:t>
      </w:r>
      <w:r w:rsidR="00733A99">
        <w:t>28</w:t>
      </w:r>
      <w:r>
        <w:t xml:space="preserve"> </w:t>
      </w:r>
      <w:r w:rsidR="00733A99">
        <w:t>août</w:t>
      </w:r>
      <w:r w:rsidR="00BD650C">
        <w:t xml:space="preserve"> 2020</w:t>
      </w:r>
    </w:p>
    <w:p w14:paraId="01023B3A" w14:textId="4EFBE307" w:rsidR="00996B54" w:rsidRDefault="00996B54" w:rsidP="00FD1581">
      <w:r w:rsidRPr="00B93E72">
        <w:t xml:space="preserve">Point </w:t>
      </w:r>
      <w:r w:rsidR="00C9037A">
        <w:t>4</w:t>
      </w:r>
      <w:r w:rsidR="00BD650C" w:rsidRPr="00DE4076">
        <w:t xml:space="preserve"> b)</w:t>
      </w:r>
      <w:r>
        <w:t xml:space="preserve"> </w:t>
      </w:r>
      <w:r w:rsidRPr="00B93E72">
        <w:t>de l</w:t>
      </w:r>
      <w:r w:rsidR="00BE75AE">
        <w:t>’</w:t>
      </w:r>
      <w:r w:rsidRPr="00B93E72">
        <w:t>ordre du jour provisoire</w:t>
      </w:r>
    </w:p>
    <w:p w14:paraId="4DA6DDE3" w14:textId="6F9313B1" w:rsidR="00C1626B" w:rsidRDefault="00DE4076" w:rsidP="00DE4076">
      <w:pPr>
        <w:rPr>
          <w:b/>
          <w:bCs/>
        </w:rPr>
      </w:pPr>
      <w:r w:rsidRPr="00DE4076">
        <w:rPr>
          <w:b/>
          <w:bCs/>
        </w:rPr>
        <w:t>Propositions d’amendements au Règlement annexé à l’ADN :</w:t>
      </w:r>
      <w:r w:rsidRPr="00DE4076">
        <w:rPr>
          <w:b/>
          <w:bCs/>
        </w:rPr>
        <w:br/>
        <w:t>autres propositions</w:t>
      </w:r>
    </w:p>
    <w:p w14:paraId="159B21B0" w14:textId="0BABACE3" w:rsidR="00BD650C" w:rsidRPr="00F262D2" w:rsidRDefault="00BD650C" w:rsidP="00801E32">
      <w:pPr>
        <w:pStyle w:val="HChG"/>
        <w:rPr>
          <w:lang w:val="fr-FR"/>
        </w:rPr>
      </w:pPr>
      <w:r>
        <w:rPr>
          <w:lang w:val="fr-FR"/>
        </w:rPr>
        <w:tab/>
      </w:r>
      <w:r>
        <w:rPr>
          <w:lang w:val="fr-FR"/>
        </w:rPr>
        <w:tab/>
      </w:r>
      <w:r w:rsidR="00DE4076">
        <w:rPr>
          <w:bCs/>
          <w:lang w:val="fr-FR"/>
        </w:rPr>
        <w:t>Propositions d'amend</w:t>
      </w:r>
      <w:r w:rsidR="00705217">
        <w:rPr>
          <w:bCs/>
          <w:lang w:val="fr-FR"/>
        </w:rPr>
        <w:t>e</w:t>
      </w:r>
      <w:r w:rsidR="00DE4076">
        <w:rPr>
          <w:bCs/>
          <w:lang w:val="fr-FR"/>
        </w:rPr>
        <w:t>ments</w:t>
      </w:r>
    </w:p>
    <w:p w14:paraId="7B68222B" w14:textId="41DB0DC2" w:rsidR="00BD650C" w:rsidRPr="00F262D2" w:rsidRDefault="00BD650C" w:rsidP="0081170A">
      <w:pPr>
        <w:pStyle w:val="H1G"/>
        <w:rPr>
          <w:snapToGrid w:val="0"/>
          <w:vertAlign w:val="superscript"/>
          <w:lang w:val="fr-FR"/>
        </w:rPr>
      </w:pPr>
      <w:r>
        <w:rPr>
          <w:snapToGrid w:val="0"/>
          <w:lang w:val="fr-FR"/>
        </w:rPr>
        <w:tab/>
      </w:r>
      <w:r>
        <w:rPr>
          <w:snapToGrid w:val="0"/>
          <w:lang w:val="fr-FR"/>
        </w:rPr>
        <w:tab/>
      </w:r>
      <w:r w:rsidR="003F7675" w:rsidRPr="003F7675">
        <w:rPr>
          <w:snapToGrid w:val="0"/>
          <w:lang w:val="fr-FR"/>
        </w:rPr>
        <w:t xml:space="preserve">Communication </w:t>
      </w:r>
      <w:r w:rsidR="00705217">
        <w:rPr>
          <w:snapToGrid w:val="0"/>
          <w:lang w:val="fr-FR"/>
        </w:rPr>
        <w:t>de la Commission du Danube</w:t>
      </w:r>
      <w:r w:rsidR="003F7675" w:rsidRPr="003F7675">
        <w:rPr>
          <w:snapToGrid w:val="0"/>
        </w:rPr>
        <w:t xml:space="preserve"> </w:t>
      </w:r>
      <w:r w:rsidRPr="00946636">
        <w:rPr>
          <w:rStyle w:val="FootnoteReference"/>
          <w:snapToGrid w:val="0"/>
          <w:sz w:val="20"/>
        </w:rPr>
        <w:footnoteReference w:customMarkFollows="1" w:id="2"/>
        <w:t>*</w:t>
      </w:r>
      <w:r w:rsidRPr="00946636">
        <w:rPr>
          <w:snapToGrid w:val="0"/>
          <w:sz w:val="20"/>
          <w:vertAlign w:val="superscript"/>
        </w:rPr>
        <w:t>,</w:t>
      </w:r>
      <w:r w:rsidR="00C60354" w:rsidRPr="00946636">
        <w:rPr>
          <w:rStyle w:val="FootnoteReference"/>
          <w:snapToGrid w:val="0"/>
          <w:sz w:val="20"/>
        </w:rPr>
        <w:footnoteReference w:customMarkFollows="1" w:id="3"/>
        <w:t>**</w:t>
      </w:r>
    </w:p>
    <w:p w14:paraId="7E05B144" w14:textId="5FCF67BC" w:rsidR="00705217" w:rsidRPr="00705217" w:rsidRDefault="00705217" w:rsidP="00705217">
      <w:pPr>
        <w:pStyle w:val="SingleTxtG"/>
        <w:rPr>
          <w:lang w:val="fr-FR"/>
        </w:rPr>
      </w:pPr>
      <w:r>
        <w:t>1</w:t>
      </w:r>
      <w:r w:rsidRPr="00705217">
        <w:t>.</w:t>
      </w:r>
      <w:r w:rsidRPr="00705217">
        <w:tab/>
        <w:t xml:space="preserve">Formuler le point </w:t>
      </w:r>
      <w:r w:rsidRPr="00705217">
        <w:rPr>
          <w:lang w:val="fr-FR"/>
        </w:rPr>
        <w:t xml:space="preserve">1.2.1 d) </w:t>
      </w:r>
      <w:r w:rsidRPr="00705217">
        <w:rPr>
          <w:i/>
          <w:lang w:val="fr-FR"/>
        </w:rPr>
        <w:t xml:space="preserve">Types des citernes à cargaison </w:t>
      </w:r>
      <w:r w:rsidRPr="00705217">
        <w:rPr>
          <w:lang w:val="fr-FR"/>
        </w:rPr>
        <w:t>comme suit :</w:t>
      </w:r>
    </w:p>
    <w:p w14:paraId="18A4A1D2" w14:textId="77777777" w:rsidR="00705217" w:rsidRPr="00705217" w:rsidRDefault="00705217" w:rsidP="00705217">
      <w:pPr>
        <w:pStyle w:val="SingleTxtG"/>
        <w:rPr>
          <w:bCs/>
        </w:rPr>
      </w:pPr>
      <w:proofErr w:type="gramStart"/>
      <w:r w:rsidRPr="00705217">
        <w:rPr>
          <w:bCs/>
          <w:lang w:val="fr-FR"/>
        </w:rPr>
        <w:t>«  d</w:t>
      </w:r>
      <w:proofErr w:type="gramEnd"/>
      <w:r w:rsidRPr="00705217">
        <w:rPr>
          <w:bCs/>
          <w:lang w:val="fr-FR"/>
        </w:rPr>
        <w:t>)</w:t>
      </w:r>
      <w:r w:rsidRPr="00705217">
        <w:rPr>
          <w:bCs/>
          <w:lang w:val="fr-FR"/>
        </w:rPr>
        <w:tab/>
      </w:r>
      <w:r w:rsidRPr="00705217">
        <w:rPr>
          <w:bCs/>
          <w:i/>
          <w:iCs/>
          <w:lang w:val="fr-FR"/>
        </w:rPr>
        <w:t>Citerne à membrane </w:t>
      </w:r>
      <w:r w:rsidRPr="00705217">
        <w:rPr>
          <w:bCs/>
          <w:lang w:val="fr-FR"/>
        </w:rPr>
        <w:t>: Une citerne à cargaison constituée d’une mince couche (membrane) étanche aux liquides et aux gaz et d’une isolation supportée par la coque intérieure adjacente d’un bateau à double bord et par le double fond et la structure de fond intérieure d’un bateau à double coque. ».</w:t>
      </w:r>
    </w:p>
    <w:p w14:paraId="7EE0C010" w14:textId="46A56500" w:rsidR="00705217" w:rsidRPr="00705217" w:rsidRDefault="00705217" w:rsidP="00705217">
      <w:pPr>
        <w:pStyle w:val="SingleTxtG"/>
      </w:pPr>
      <w:r>
        <w:t>2</w:t>
      </w:r>
      <w:r w:rsidRPr="00705217">
        <w:t>.</w:t>
      </w:r>
      <w:r w:rsidRPr="00705217">
        <w:tab/>
        <w:t xml:space="preserve">Formuler le point </w:t>
      </w:r>
      <w:r w:rsidRPr="00705217">
        <w:rPr>
          <w:lang w:val="fr-FR"/>
        </w:rPr>
        <w:t>9.3.1.18.1 (dernier alinéa)</w:t>
      </w:r>
      <w:r w:rsidRPr="00705217">
        <w:rPr>
          <w:i/>
          <w:iCs/>
          <w:lang w:val="fr-FR"/>
        </w:rPr>
        <w:t xml:space="preserve"> </w:t>
      </w:r>
      <w:r w:rsidRPr="00705217">
        <w:rPr>
          <w:iCs/>
          <w:lang w:val="fr-FR"/>
        </w:rPr>
        <w:t>comme suit :</w:t>
      </w:r>
    </w:p>
    <w:p w14:paraId="069866D7" w14:textId="01306329" w:rsidR="00705217" w:rsidRPr="00705217" w:rsidRDefault="00705217" w:rsidP="00705217">
      <w:pPr>
        <w:pStyle w:val="SingleTxtG"/>
        <w:rPr>
          <w:bCs/>
        </w:rPr>
      </w:pPr>
      <w:r w:rsidRPr="004A41D6">
        <w:rPr>
          <w:bCs/>
        </w:rPr>
        <w:tab/>
      </w:r>
      <w:proofErr w:type="gramStart"/>
      <w:r w:rsidRPr="00705217">
        <w:rPr>
          <w:bCs/>
          <w:lang w:val="fr-FR"/>
        </w:rPr>
        <w:t>«  Lorsque</w:t>
      </w:r>
      <w:proofErr w:type="gramEnd"/>
      <w:r w:rsidRPr="00705217">
        <w:rPr>
          <w:bCs/>
          <w:lang w:val="fr-FR"/>
        </w:rPr>
        <w:t xml:space="preserve"> la pression ou la concentration de gaz inerte dans la phase gazeuse descend sous une valeur donnée, cette installation de contrôle doit déclencher une alarme optique et acoustique au poste de commande dans le compartiment des machines (ou au poste local de commande). Faute d’une confirmation de la part de l’équipage du poste de commande, l’alarme doit être perçue à la timonerie. »</w:t>
      </w:r>
    </w:p>
    <w:p w14:paraId="1FADF65D" w14:textId="465B61B1" w:rsidR="00705217" w:rsidRPr="00705217" w:rsidRDefault="00705217" w:rsidP="00705217">
      <w:pPr>
        <w:pStyle w:val="SingleTxtG"/>
      </w:pPr>
      <w:r>
        <w:t>3</w:t>
      </w:r>
      <w:r w:rsidRPr="00705217">
        <w:t>.</w:t>
      </w:r>
      <w:r w:rsidRPr="00705217">
        <w:tab/>
        <w:t xml:space="preserve">Formuler le point </w:t>
      </w:r>
      <w:r w:rsidRPr="00705217">
        <w:rPr>
          <w:lang w:val="fr-FR"/>
        </w:rPr>
        <w:t xml:space="preserve">9.3.1.18.2 </w:t>
      </w:r>
      <w:r w:rsidRPr="00705217">
        <w:rPr>
          <w:iCs/>
          <w:lang w:val="fr-FR"/>
        </w:rPr>
        <w:t>comme suit :</w:t>
      </w:r>
    </w:p>
    <w:p w14:paraId="4007BA90" w14:textId="77777777" w:rsidR="00705217" w:rsidRPr="00705217" w:rsidRDefault="00705217" w:rsidP="00705217">
      <w:pPr>
        <w:pStyle w:val="SingleTxtG"/>
        <w:rPr>
          <w:bCs/>
        </w:rPr>
      </w:pPr>
      <w:r w:rsidRPr="00705217">
        <w:rPr>
          <w:bCs/>
          <w:lang w:val="fr-FR"/>
        </w:rPr>
        <w:t>« Les bateaux équipés de citernes à membrane doivent être munis d’une installation de gaz inerte capable de mettre sous atmosphère inerte tous les espaces d’isolation.</w:t>
      </w:r>
    </w:p>
    <w:p w14:paraId="038D0AF2" w14:textId="77777777" w:rsidR="00705217" w:rsidRPr="00705217" w:rsidRDefault="00705217" w:rsidP="00705217">
      <w:pPr>
        <w:pStyle w:val="SingleTxtG"/>
        <w:rPr>
          <w:bCs/>
          <w:lang w:val="fr-FR"/>
        </w:rPr>
      </w:pPr>
      <w:r w:rsidRPr="00705217">
        <w:rPr>
          <w:bCs/>
          <w:lang w:val="fr-FR"/>
        </w:rPr>
        <w:t>L’installation doit pouvoir maintenir une pression permanente minimale (supérieure à la pression atmosphérique) dans les espaces d’isolation.</w:t>
      </w:r>
    </w:p>
    <w:p w14:paraId="0833B61C" w14:textId="54E99737" w:rsidR="0081170A" w:rsidRPr="00160F85" w:rsidRDefault="00705217" w:rsidP="00705217">
      <w:pPr>
        <w:pStyle w:val="SingleTxtG"/>
      </w:pPr>
      <w:r w:rsidRPr="00705217">
        <w:rPr>
          <w:bCs/>
          <w:lang w:val="fr-FR"/>
        </w:rPr>
        <w:lastRenderedPageBreak/>
        <w:t xml:space="preserve">Le gaz inerte doit être produit à bord ou transporté en quantité suffisante pour toute la durée d’attente déterminée conformément aux 7.2.4.16.16 et 7.2.4.16.17. La circulation de gaz inerte dans les espaces à mettre sous atmosphère inerte doit être suffisante pour permettre une détection efficace des gaz. Les espaces à mettre sous atmosphère inerte doivent être munis de raccords pour l’introduction du gaz inerte et d’installations de contrôle pour le maintien permanent de la </w:t>
      </w:r>
      <w:bookmarkStart w:id="0" w:name="_GoBack"/>
      <w:bookmarkEnd w:id="0"/>
      <w:r w:rsidRPr="00705217">
        <w:rPr>
          <w:bCs/>
          <w:lang w:val="fr-FR"/>
        </w:rPr>
        <w:t>bonne atmosphère. »</w:t>
      </w:r>
    </w:p>
    <w:p w14:paraId="6A6D1512" w14:textId="77777777" w:rsidR="00BD650C" w:rsidRPr="00C60354" w:rsidRDefault="00C60354" w:rsidP="00C60354">
      <w:pPr>
        <w:spacing w:before="240"/>
        <w:jc w:val="center"/>
        <w:rPr>
          <w:u w:val="single"/>
        </w:rPr>
      </w:pPr>
      <w:r>
        <w:rPr>
          <w:u w:val="single"/>
        </w:rPr>
        <w:tab/>
      </w:r>
      <w:r>
        <w:rPr>
          <w:u w:val="single"/>
        </w:rPr>
        <w:tab/>
      </w:r>
      <w:r>
        <w:rPr>
          <w:u w:val="single"/>
        </w:rPr>
        <w:tab/>
      </w:r>
    </w:p>
    <w:sectPr w:rsidR="00BD650C" w:rsidRPr="00C60354" w:rsidSect="00733A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3AD" w14:textId="77777777" w:rsidR="00B3309A" w:rsidRDefault="00B3309A" w:rsidP="00F95C08">
      <w:pPr>
        <w:spacing w:line="240" w:lineRule="auto"/>
      </w:pPr>
    </w:p>
  </w:endnote>
  <w:endnote w:type="continuationSeparator" w:id="0">
    <w:p w14:paraId="605DFEAC" w14:textId="77777777" w:rsidR="00B3309A" w:rsidRPr="00AC3823" w:rsidRDefault="00B3309A" w:rsidP="00AC3823">
      <w:pPr>
        <w:pStyle w:val="Footer"/>
      </w:pPr>
    </w:p>
  </w:endnote>
  <w:endnote w:type="continuationNotice" w:id="1">
    <w:p w14:paraId="48B772D7" w14:textId="77777777" w:rsidR="00B3309A" w:rsidRDefault="00B33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A9B9" w14:textId="77777777" w:rsidR="00B3309A" w:rsidRPr="00B3309A" w:rsidRDefault="00B3309A" w:rsidP="00B3309A">
    <w:pPr>
      <w:pStyle w:val="Footer"/>
      <w:tabs>
        <w:tab w:val="right" w:pos="9638"/>
      </w:tabs>
      <w:rPr>
        <w:sz w:val="18"/>
      </w:rPr>
    </w:pP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2</w:t>
    </w:r>
    <w:r w:rsidRPr="00B33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BE41" w14:textId="77777777" w:rsidR="00B3309A" w:rsidRPr="00B3309A" w:rsidRDefault="00B3309A" w:rsidP="00B3309A">
    <w:pPr>
      <w:pStyle w:val="Footer"/>
      <w:tabs>
        <w:tab w:val="right" w:pos="9638"/>
      </w:tabs>
      <w:rPr>
        <w:b/>
        <w:sz w:val="18"/>
      </w:rPr>
    </w:pPr>
    <w:r>
      <w:tab/>
    </w: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3</w:t>
    </w:r>
    <w:r w:rsidRPr="00B33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E4A6" w14:textId="77777777" w:rsidR="000D3EE9" w:rsidRPr="00B3309A"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7B10"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Separator" w:id="0">
    <w:p w14:paraId="0316D227"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Notice" w:id="1">
    <w:p w14:paraId="261CC53F" w14:textId="77777777" w:rsidR="00B3309A" w:rsidRPr="00AC3823" w:rsidRDefault="00B3309A">
      <w:pPr>
        <w:spacing w:line="240" w:lineRule="auto"/>
        <w:rPr>
          <w:sz w:val="2"/>
          <w:szCs w:val="2"/>
        </w:rPr>
      </w:pPr>
    </w:p>
  </w:footnote>
  <w:footnote w:id="2">
    <w:p w14:paraId="37347FD4" w14:textId="3F0ED518" w:rsidR="00BD650C" w:rsidRPr="00BD650C" w:rsidRDefault="00BD650C">
      <w:pPr>
        <w:pStyle w:val="FootnoteText"/>
      </w:pPr>
      <w:r>
        <w:rPr>
          <w:rStyle w:val="FootnoteReference"/>
        </w:rPr>
        <w:tab/>
      </w:r>
      <w:r w:rsidRPr="00C60354">
        <w:rPr>
          <w:rStyle w:val="FootnoteReference"/>
          <w:sz w:val="20"/>
        </w:rPr>
        <w:t>*</w:t>
      </w:r>
      <w:r>
        <w:rPr>
          <w:rStyle w:val="FootnoteReference"/>
          <w:sz w:val="20"/>
          <w:vertAlign w:val="baseline"/>
        </w:rPr>
        <w:tab/>
      </w:r>
      <w:r w:rsidRPr="00904815">
        <w:rPr>
          <w:lang w:val="fr-FR"/>
        </w:rPr>
        <w:t>Diffusé en langue allemande par la Commission centrale pour la navigation du Rhin sous la cote CCNR/ZKR/ADN/WP.15/AC.2/2020/</w:t>
      </w:r>
      <w:r w:rsidR="00705217">
        <w:rPr>
          <w:lang w:val="fr-FR"/>
        </w:rPr>
        <w:t>30</w:t>
      </w:r>
      <w:r w:rsidRPr="00904815">
        <w:rPr>
          <w:lang w:val="fr-FR"/>
        </w:rPr>
        <w:t>.</w:t>
      </w:r>
    </w:p>
  </w:footnote>
  <w:footnote w:id="3">
    <w:p w14:paraId="7418C260" w14:textId="37DC5368" w:rsidR="00C60354" w:rsidRPr="00C60354" w:rsidRDefault="00C60354" w:rsidP="0027401B">
      <w:pPr>
        <w:pStyle w:val="FootnoteText"/>
      </w:pPr>
      <w:r w:rsidRPr="00C60354">
        <w:rPr>
          <w:rStyle w:val="FootnoteReference"/>
        </w:rPr>
        <w:tab/>
      </w:r>
      <w:r w:rsidRPr="00C60354">
        <w:rPr>
          <w:rStyle w:val="FootnoteReference"/>
          <w:sz w:val="20"/>
        </w:rPr>
        <w:t>**</w:t>
      </w:r>
      <w:r>
        <w:rPr>
          <w:rStyle w:val="FootnoteReference"/>
          <w:sz w:val="20"/>
          <w:vertAlign w:val="baseline"/>
        </w:rPr>
        <w:tab/>
      </w:r>
      <w:r w:rsidR="0027401B" w:rsidRPr="005C2F22">
        <w:t xml:space="preserve"> Conformément au programme de travail du Comité des transports intérieurs pour 2020 tel qu’il figure dans le projet de budget-programme pour 2020 (A/74/6 (titre V, chap. 20), par. 20.37)</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812B" w14:textId="23F4EE7C" w:rsidR="00B3309A" w:rsidRPr="00B3309A" w:rsidRDefault="00E70056">
    <w:pPr>
      <w:pStyle w:val="Header"/>
    </w:pPr>
    <w:r>
      <w:t>ECE/TRANS/WP.15/AC.2/2020/</w:t>
    </w:r>
    <w:r w:rsidR="00705217">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7A84" w14:textId="33D1CF35" w:rsidR="00B3309A" w:rsidRPr="00B3309A" w:rsidRDefault="004A41D6" w:rsidP="00B3309A">
    <w:pPr>
      <w:pStyle w:val="Header"/>
      <w:jc w:val="right"/>
    </w:pPr>
    <w:fldSimple w:instr=" TITLE  \* MERGEFORMAT ">
      <w:r w:rsidR="00E70056">
        <w:t>ECE/TRANS/WP.15/AC.2/2020/</w:t>
      </w:r>
    </w:fldSimple>
    <w:r w:rsidR="00932AD2">
      <w:t>2</w:t>
    </w:r>
    <w:r w:rsidR="006D654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C40B37"/>
    <w:multiLevelType w:val="hybridMultilevel"/>
    <w:tmpl w:val="82382EB4"/>
    <w:lvl w:ilvl="0" w:tplc="013EE3D8">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B3309A"/>
    <w:rsid w:val="0001207F"/>
    <w:rsid w:val="00017F94"/>
    <w:rsid w:val="00023842"/>
    <w:rsid w:val="000334F9"/>
    <w:rsid w:val="0004639C"/>
    <w:rsid w:val="0005789A"/>
    <w:rsid w:val="0007796D"/>
    <w:rsid w:val="000942EE"/>
    <w:rsid w:val="000A52BF"/>
    <w:rsid w:val="000B7790"/>
    <w:rsid w:val="000D3EE9"/>
    <w:rsid w:val="000D62F3"/>
    <w:rsid w:val="00111F2F"/>
    <w:rsid w:val="001433FD"/>
    <w:rsid w:val="0014365E"/>
    <w:rsid w:val="001541D3"/>
    <w:rsid w:val="00156B77"/>
    <w:rsid w:val="00160F85"/>
    <w:rsid w:val="00176178"/>
    <w:rsid w:val="00177140"/>
    <w:rsid w:val="001D400F"/>
    <w:rsid w:val="001D5D0E"/>
    <w:rsid w:val="001E2CC1"/>
    <w:rsid w:val="001F525A"/>
    <w:rsid w:val="00204D74"/>
    <w:rsid w:val="00223272"/>
    <w:rsid w:val="00240333"/>
    <w:rsid w:val="0024779E"/>
    <w:rsid w:val="0027401B"/>
    <w:rsid w:val="00277E3D"/>
    <w:rsid w:val="002832AC"/>
    <w:rsid w:val="002D7C93"/>
    <w:rsid w:val="0037241C"/>
    <w:rsid w:val="003819FF"/>
    <w:rsid w:val="003F7675"/>
    <w:rsid w:val="00441C3B"/>
    <w:rsid w:val="00446B0A"/>
    <w:rsid w:val="00446FE5"/>
    <w:rsid w:val="00452396"/>
    <w:rsid w:val="00471288"/>
    <w:rsid w:val="0049687C"/>
    <w:rsid w:val="004A41D6"/>
    <w:rsid w:val="004E468C"/>
    <w:rsid w:val="005316B0"/>
    <w:rsid w:val="005505B7"/>
    <w:rsid w:val="00573BE5"/>
    <w:rsid w:val="00586ED3"/>
    <w:rsid w:val="00596AA9"/>
    <w:rsid w:val="005B4D0F"/>
    <w:rsid w:val="005C2F22"/>
    <w:rsid w:val="00627B2C"/>
    <w:rsid w:val="006566B1"/>
    <w:rsid w:val="0067451D"/>
    <w:rsid w:val="006949F5"/>
    <w:rsid w:val="006D654F"/>
    <w:rsid w:val="00703D0F"/>
    <w:rsid w:val="00705217"/>
    <w:rsid w:val="00706363"/>
    <w:rsid w:val="007158BB"/>
    <w:rsid w:val="0071601D"/>
    <w:rsid w:val="00725913"/>
    <w:rsid w:val="00733A99"/>
    <w:rsid w:val="0075410D"/>
    <w:rsid w:val="007A62E6"/>
    <w:rsid w:val="00801E32"/>
    <w:rsid w:val="0080684C"/>
    <w:rsid w:val="00807F83"/>
    <w:rsid w:val="0081170A"/>
    <w:rsid w:val="008204DA"/>
    <w:rsid w:val="008535AD"/>
    <w:rsid w:val="00871C75"/>
    <w:rsid w:val="008767E8"/>
    <w:rsid w:val="008776DC"/>
    <w:rsid w:val="00883605"/>
    <w:rsid w:val="008E6043"/>
    <w:rsid w:val="00932AD2"/>
    <w:rsid w:val="00946636"/>
    <w:rsid w:val="00961E7B"/>
    <w:rsid w:val="009705C8"/>
    <w:rsid w:val="00996B54"/>
    <w:rsid w:val="009C1CF4"/>
    <w:rsid w:val="009F02C9"/>
    <w:rsid w:val="00A228C9"/>
    <w:rsid w:val="00A30353"/>
    <w:rsid w:val="00A62D91"/>
    <w:rsid w:val="00A90D54"/>
    <w:rsid w:val="00AA113A"/>
    <w:rsid w:val="00AC3823"/>
    <w:rsid w:val="00AE323C"/>
    <w:rsid w:val="00AF774C"/>
    <w:rsid w:val="00B00181"/>
    <w:rsid w:val="00B00B0D"/>
    <w:rsid w:val="00B3309A"/>
    <w:rsid w:val="00B40927"/>
    <w:rsid w:val="00B50E25"/>
    <w:rsid w:val="00B6085B"/>
    <w:rsid w:val="00B64918"/>
    <w:rsid w:val="00B765F7"/>
    <w:rsid w:val="00BA0CA9"/>
    <w:rsid w:val="00BD650C"/>
    <w:rsid w:val="00BE75AE"/>
    <w:rsid w:val="00C02897"/>
    <w:rsid w:val="00C1626B"/>
    <w:rsid w:val="00C60354"/>
    <w:rsid w:val="00C66A47"/>
    <w:rsid w:val="00C67BF4"/>
    <w:rsid w:val="00C7616F"/>
    <w:rsid w:val="00C9037A"/>
    <w:rsid w:val="00C96D6E"/>
    <w:rsid w:val="00CB16B5"/>
    <w:rsid w:val="00CE0608"/>
    <w:rsid w:val="00CF7D52"/>
    <w:rsid w:val="00D3439C"/>
    <w:rsid w:val="00D44CF3"/>
    <w:rsid w:val="00D46C8C"/>
    <w:rsid w:val="00DB1831"/>
    <w:rsid w:val="00DD3BFD"/>
    <w:rsid w:val="00DE239D"/>
    <w:rsid w:val="00DE4076"/>
    <w:rsid w:val="00DF431C"/>
    <w:rsid w:val="00DF6678"/>
    <w:rsid w:val="00E428C8"/>
    <w:rsid w:val="00E478F2"/>
    <w:rsid w:val="00E70056"/>
    <w:rsid w:val="00E732C7"/>
    <w:rsid w:val="00EF2E22"/>
    <w:rsid w:val="00F0592C"/>
    <w:rsid w:val="00F06ED4"/>
    <w:rsid w:val="00F43289"/>
    <w:rsid w:val="00F660DF"/>
    <w:rsid w:val="00F95C08"/>
    <w:rsid w:val="00FA62BA"/>
    <w:rsid w:val="00FC143C"/>
    <w:rsid w:val="00FC2327"/>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62E3F"/>
  <w15:docId w15:val="{0B2C2902-CEAD-4B13-8667-A7C86A1B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styleId="ListParagraph">
    <w:name w:val="List Paragraph"/>
    <w:basedOn w:val="Normal"/>
    <w:uiPriority w:val="34"/>
    <w:qFormat/>
    <w:rsid w:val="00705217"/>
    <w:pPr>
      <w:suppressAutoHyphens w:val="0"/>
      <w:kinsoku/>
      <w:overflowPunct/>
      <w:autoSpaceDE/>
      <w:autoSpaceDN/>
      <w:adjustRightInd/>
      <w:snapToGrid/>
      <w:spacing w:line="240" w:lineRule="auto"/>
      <w:ind w:left="720"/>
      <w:contextualSpacing/>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20</TotalTime>
  <Pages>2</Pages>
  <Words>367</Words>
  <Characters>2034</Characters>
  <Application>Microsoft Office Word</Application>
  <DocSecurity>0</DocSecurity>
  <Lines>54</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ECE/TRANS/WP.15/AC.2/2020/14</vt:lpstr>
      <vt:lpstr>ECE/EX/22</vt:lpstr>
    </vt:vector>
  </TitlesOfParts>
  <Company>DCM</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ECE/TRANS/WP.15/AC.2/2020/14</dc:title>
  <dc:subject>FINAL</dc:subject>
  <dc:creator>Marie-Claude Collet</dc:creator>
  <cp:keywords/>
  <dc:description/>
  <cp:lastModifiedBy>Secretariat</cp:lastModifiedBy>
  <cp:revision>7</cp:revision>
  <cp:lastPrinted>2019-11-12T07:32:00Z</cp:lastPrinted>
  <dcterms:created xsi:type="dcterms:W3CDTF">2020-05-27T13:44:00Z</dcterms:created>
  <dcterms:modified xsi:type="dcterms:W3CDTF">2020-05-29T13:18:00Z</dcterms:modified>
</cp:coreProperties>
</file>