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6081749F" w14:textId="77777777" w:rsidTr="005316B0">
        <w:trPr>
          <w:trHeight w:hRule="exact" w:val="851"/>
        </w:trPr>
        <w:tc>
          <w:tcPr>
            <w:tcW w:w="1276" w:type="dxa"/>
            <w:tcBorders>
              <w:bottom w:val="single" w:sz="4" w:space="0" w:color="auto"/>
            </w:tcBorders>
          </w:tcPr>
          <w:p w14:paraId="27B8DA36" w14:textId="7F3EE73C" w:rsidR="001433FD" w:rsidRPr="00DB58B5" w:rsidRDefault="001433FD" w:rsidP="0001207F"/>
        </w:tc>
        <w:tc>
          <w:tcPr>
            <w:tcW w:w="2268" w:type="dxa"/>
            <w:tcBorders>
              <w:bottom w:val="single" w:sz="4" w:space="0" w:color="auto"/>
            </w:tcBorders>
            <w:vAlign w:val="bottom"/>
          </w:tcPr>
          <w:p w14:paraId="7998040F"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E0A75D" w14:textId="74F1CD92" w:rsidR="001433FD" w:rsidRPr="00DB58B5" w:rsidRDefault="00B3309A" w:rsidP="00B3309A">
            <w:pPr>
              <w:jc w:val="right"/>
            </w:pPr>
            <w:r w:rsidRPr="00B3309A">
              <w:rPr>
                <w:sz w:val="40"/>
              </w:rPr>
              <w:t>ECE</w:t>
            </w:r>
            <w:r>
              <w:t>/TRANS/WP.15/AC.2/2020/</w:t>
            </w:r>
            <w:r w:rsidR="00733A99">
              <w:t>2</w:t>
            </w:r>
            <w:r w:rsidR="006D654F">
              <w:t>9</w:t>
            </w:r>
          </w:p>
        </w:tc>
      </w:tr>
      <w:tr w:rsidR="001433FD" w:rsidRPr="00DB58B5" w14:paraId="15D2886D" w14:textId="77777777" w:rsidTr="007D3236">
        <w:trPr>
          <w:trHeight w:hRule="exact" w:val="2835"/>
        </w:trPr>
        <w:tc>
          <w:tcPr>
            <w:tcW w:w="1276" w:type="dxa"/>
            <w:tcBorders>
              <w:top w:val="single" w:sz="4" w:space="0" w:color="auto"/>
              <w:bottom w:val="single" w:sz="12" w:space="0" w:color="auto"/>
            </w:tcBorders>
          </w:tcPr>
          <w:p w14:paraId="6163EFCC" w14:textId="77777777" w:rsidR="001433FD" w:rsidRPr="00DB58B5" w:rsidRDefault="001433FD" w:rsidP="007D3236">
            <w:pPr>
              <w:spacing w:before="120"/>
              <w:jc w:val="center"/>
            </w:pPr>
            <w:r>
              <w:rPr>
                <w:noProof/>
                <w:lang w:eastAsia="fr-CH"/>
              </w:rPr>
              <w:drawing>
                <wp:inline distT="0" distB="0" distL="0" distR="0" wp14:anchorId="75CE3AF0" wp14:editId="03B7FC8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F33E80"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B182B9" w14:textId="77777777" w:rsidR="0001207F" w:rsidRDefault="00B3309A" w:rsidP="00B3309A">
            <w:pPr>
              <w:spacing w:before="240" w:line="240" w:lineRule="exact"/>
            </w:pPr>
            <w:proofErr w:type="spellStart"/>
            <w:r>
              <w:t>Distr</w:t>
            </w:r>
            <w:proofErr w:type="spellEnd"/>
            <w:r>
              <w:t xml:space="preserve">. </w:t>
            </w:r>
            <w:proofErr w:type="gramStart"/>
            <w:r>
              <w:t>générale</w:t>
            </w:r>
            <w:proofErr w:type="gramEnd"/>
          </w:p>
          <w:p w14:paraId="63F0E552" w14:textId="0533A998" w:rsidR="00B3309A" w:rsidRDefault="00D1741D" w:rsidP="00B3309A">
            <w:pPr>
              <w:spacing w:line="240" w:lineRule="exact"/>
            </w:pPr>
            <w:r>
              <w:t xml:space="preserve">29 </w:t>
            </w:r>
            <w:r w:rsidR="00CF2B4E">
              <w:t xml:space="preserve">mai </w:t>
            </w:r>
            <w:r w:rsidR="00B3309A">
              <w:t>20</w:t>
            </w:r>
            <w:r w:rsidR="00733A99">
              <w:t>20</w:t>
            </w:r>
          </w:p>
          <w:p w14:paraId="2B9A6D35" w14:textId="77777777" w:rsidR="00B3309A" w:rsidRDefault="00B3309A" w:rsidP="00B3309A">
            <w:pPr>
              <w:spacing w:line="240" w:lineRule="exact"/>
            </w:pPr>
          </w:p>
          <w:p w14:paraId="5E5C4BBD" w14:textId="77777777" w:rsidR="00B3309A" w:rsidRPr="00DB58B5" w:rsidRDefault="00B3309A" w:rsidP="00B3309A">
            <w:pPr>
              <w:spacing w:line="240" w:lineRule="exact"/>
            </w:pPr>
            <w:r>
              <w:t>Original : français</w:t>
            </w:r>
          </w:p>
        </w:tc>
      </w:tr>
    </w:tbl>
    <w:p w14:paraId="48C86D40" w14:textId="0B9093B6" w:rsidR="00996B54" w:rsidRDefault="00996B54" w:rsidP="00FD1581">
      <w:pPr>
        <w:spacing w:before="120"/>
        <w:rPr>
          <w:b/>
          <w:sz w:val="28"/>
          <w:szCs w:val="28"/>
        </w:rPr>
      </w:pPr>
      <w:r w:rsidRPr="00883605">
        <w:rPr>
          <w:b/>
          <w:sz w:val="28"/>
          <w:szCs w:val="28"/>
        </w:rPr>
        <w:t>Commission économique pour l</w:t>
      </w:r>
      <w:r w:rsidR="00B6085B">
        <w:rPr>
          <w:rFonts w:hint="eastAsia"/>
          <w:b/>
          <w:sz w:val="28"/>
          <w:szCs w:val="28"/>
        </w:rPr>
        <w:t>'</w:t>
      </w:r>
      <w:r w:rsidRPr="00883605">
        <w:rPr>
          <w:b/>
          <w:sz w:val="28"/>
          <w:szCs w:val="28"/>
        </w:rPr>
        <w:t>Europe</w:t>
      </w:r>
    </w:p>
    <w:p w14:paraId="4C141E2B" w14:textId="339AD400" w:rsidR="00996B54" w:rsidRDefault="00996B54" w:rsidP="0081170A">
      <w:pPr>
        <w:tabs>
          <w:tab w:val="left" w:pos="5691"/>
        </w:tabs>
        <w:spacing w:before="120"/>
        <w:rPr>
          <w:sz w:val="28"/>
          <w:szCs w:val="28"/>
        </w:rPr>
      </w:pPr>
      <w:r w:rsidRPr="00685843">
        <w:rPr>
          <w:sz w:val="28"/>
          <w:szCs w:val="28"/>
        </w:rPr>
        <w:t>Comité des transports intérieurs</w:t>
      </w:r>
    </w:p>
    <w:p w14:paraId="3AD6435E" w14:textId="77777777" w:rsidR="00996B54" w:rsidRPr="009E01B8" w:rsidRDefault="00996B54"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8E34EA1" w14:textId="77777777" w:rsidR="00996B54" w:rsidRPr="004812F5" w:rsidRDefault="00996B54" w:rsidP="00FD1581">
      <w:pPr>
        <w:spacing w:before="120"/>
        <w:rPr>
          <w:b/>
        </w:rPr>
      </w:pPr>
      <w:r w:rsidRPr="004812F5">
        <w:rPr>
          <w:b/>
          <w:lang w:val="fr-FR"/>
        </w:rPr>
        <w:t>Réunion commune d</w:t>
      </w:r>
      <w:r w:rsidR="001D5D0E">
        <w:rPr>
          <w:b/>
          <w:lang w:val="fr-FR"/>
        </w:rPr>
        <w:t>’</w:t>
      </w:r>
      <w:r w:rsidRPr="004812F5">
        <w:rPr>
          <w:b/>
          <w:lang w:val="fr-FR"/>
        </w:rPr>
        <w:t>experts sur le Règlement annexé</w:t>
      </w:r>
      <w:r>
        <w:rPr>
          <w:b/>
          <w:lang w:val="fr-FR"/>
        </w:rPr>
        <w:t xml:space="preserve"> </w:t>
      </w:r>
      <w:r>
        <w:rPr>
          <w:b/>
          <w:lang w:val="fr-FR"/>
        </w:rPr>
        <w:br/>
      </w:r>
      <w:r w:rsidRPr="004812F5">
        <w:rPr>
          <w:b/>
          <w:lang w:val="fr-FR"/>
        </w:rPr>
        <w:t>à l</w:t>
      </w:r>
      <w:r w:rsidR="00BE75AE">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w:t>
      </w:r>
      <w:r w:rsidR="00BE75AE">
        <w:rPr>
          <w:b/>
          <w:bCs/>
          <w:lang w:val="fr-FR"/>
        </w:rPr>
        <w:t>’</w:t>
      </w:r>
      <w:r w:rsidRPr="004812F5">
        <w:rPr>
          <w:b/>
          <w:bCs/>
          <w:lang w:val="fr-FR"/>
        </w:rPr>
        <w:t>ADN)</w:t>
      </w:r>
    </w:p>
    <w:p w14:paraId="534C5C64" w14:textId="43DB2CC6" w:rsidR="00996B54" w:rsidRPr="00234E40" w:rsidRDefault="00996B54" w:rsidP="00FD1581">
      <w:pPr>
        <w:spacing w:before="120"/>
        <w:rPr>
          <w:b/>
        </w:rPr>
      </w:pPr>
      <w:r>
        <w:rPr>
          <w:b/>
        </w:rPr>
        <w:t>Trente-</w:t>
      </w:r>
      <w:r w:rsidR="00733A99">
        <w:rPr>
          <w:b/>
        </w:rPr>
        <w:t>septi</w:t>
      </w:r>
      <w:r>
        <w:rPr>
          <w:b/>
        </w:rPr>
        <w:t xml:space="preserve">ème </w:t>
      </w:r>
      <w:r w:rsidRPr="00234E40">
        <w:rPr>
          <w:b/>
        </w:rPr>
        <w:t>session</w:t>
      </w:r>
    </w:p>
    <w:p w14:paraId="3381435E" w14:textId="6F489325" w:rsidR="00996B54" w:rsidRDefault="00996B54" w:rsidP="00FD1581">
      <w:r>
        <w:t>Genève, 2</w:t>
      </w:r>
      <w:r w:rsidR="00733A99">
        <w:t>4</w:t>
      </w:r>
      <w:r>
        <w:t>-</w:t>
      </w:r>
      <w:r w:rsidR="00733A99">
        <w:t>28</w:t>
      </w:r>
      <w:r>
        <w:t xml:space="preserve"> </w:t>
      </w:r>
      <w:r w:rsidR="00733A99">
        <w:t>août</w:t>
      </w:r>
      <w:r w:rsidR="00BD650C">
        <w:t xml:space="preserve"> 2020</w:t>
      </w:r>
    </w:p>
    <w:p w14:paraId="01023B3A" w14:textId="04B23460" w:rsidR="00996B54" w:rsidRDefault="00996B54" w:rsidP="00FD1581">
      <w:r w:rsidRPr="00B93E72">
        <w:t xml:space="preserve">Point </w:t>
      </w:r>
      <w:r w:rsidR="00026AA3" w:rsidRPr="00026AA3">
        <w:t>3</w:t>
      </w:r>
      <w:r w:rsidR="00BD650C" w:rsidRPr="00026AA3">
        <w:t xml:space="preserve"> </w:t>
      </w:r>
      <w:r w:rsidR="00026AA3" w:rsidRPr="00026AA3">
        <w:t>c</w:t>
      </w:r>
      <w:r w:rsidR="00BD650C" w:rsidRPr="00026AA3">
        <w:t>)</w:t>
      </w:r>
      <w:r>
        <w:t xml:space="preserve"> </w:t>
      </w:r>
      <w:r w:rsidRPr="00B93E72">
        <w:t>de l</w:t>
      </w:r>
      <w:r w:rsidR="00BE75AE">
        <w:t>’</w:t>
      </w:r>
      <w:r w:rsidRPr="00B93E72">
        <w:t>ordre du jour provisoire</w:t>
      </w:r>
    </w:p>
    <w:p w14:paraId="47E5815E" w14:textId="617E5289" w:rsidR="00801E32" w:rsidRPr="00801E32" w:rsidRDefault="00801E32" w:rsidP="00801E32">
      <w:pPr>
        <w:rPr>
          <w:b/>
          <w:bCs/>
          <w:lang w:val="fr-FR"/>
        </w:rPr>
      </w:pPr>
      <w:r w:rsidRPr="00801E32">
        <w:rPr>
          <w:b/>
          <w:bCs/>
          <w:lang w:val="fr-FR"/>
        </w:rPr>
        <w:t xml:space="preserve">Mise en œuvre de l’Accord européen relatif au transport </w:t>
      </w:r>
      <w:r>
        <w:rPr>
          <w:b/>
          <w:bCs/>
          <w:lang w:val="fr-FR"/>
        </w:rPr>
        <w:br/>
      </w:r>
      <w:r w:rsidRPr="00801E32">
        <w:rPr>
          <w:b/>
          <w:bCs/>
          <w:lang w:val="fr-FR"/>
        </w:rPr>
        <w:t xml:space="preserve">international des marchandises dangereuses par voies </w:t>
      </w:r>
      <w:r>
        <w:rPr>
          <w:b/>
          <w:bCs/>
          <w:lang w:val="fr-FR"/>
        </w:rPr>
        <w:br/>
      </w:r>
      <w:r w:rsidRPr="00801E32">
        <w:rPr>
          <w:b/>
          <w:bCs/>
          <w:lang w:val="fr-FR"/>
        </w:rPr>
        <w:t>de navigation intérieures (ADN</w:t>
      </w:r>
      <w:proofErr w:type="gramStart"/>
      <w:r w:rsidRPr="00801E32">
        <w:rPr>
          <w:b/>
          <w:bCs/>
          <w:lang w:val="fr-FR"/>
        </w:rPr>
        <w:t>)</w:t>
      </w:r>
      <w:r w:rsidR="00274FFA">
        <w:rPr>
          <w:b/>
          <w:bCs/>
          <w:lang w:val="fr-FR"/>
        </w:rPr>
        <w:t>:</w:t>
      </w:r>
      <w:proofErr w:type="gramEnd"/>
    </w:p>
    <w:p w14:paraId="4DA6DDE3" w14:textId="29FDE23E" w:rsidR="00C1626B" w:rsidRDefault="00274FFA" w:rsidP="00801E32">
      <w:pPr>
        <w:rPr>
          <w:b/>
          <w:bCs/>
        </w:rPr>
      </w:pPr>
      <w:proofErr w:type="gramStart"/>
      <w:r>
        <w:rPr>
          <w:b/>
          <w:bCs/>
          <w:lang w:val="fr-FR"/>
        </w:rPr>
        <w:t>i</w:t>
      </w:r>
      <w:r w:rsidR="00801E32" w:rsidRPr="00801E32">
        <w:rPr>
          <w:b/>
          <w:bCs/>
          <w:lang w:val="fr-FR"/>
        </w:rPr>
        <w:t>nterprétation</w:t>
      </w:r>
      <w:proofErr w:type="gramEnd"/>
      <w:r w:rsidR="00801E32" w:rsidRPr="00801E32">
        <w:rPr>
          <w:b/>
          <w:bCs/>
          <w:lang w:val="fr-FR"/>
        </w:rPr>
        <w:t xml:space="preserve"> du Règlement annexé à l’ADN</w:t>
      </w:r>
    </w:p>
    <w:p w14:paraId="159B21B0" w14:textId="48843F25" w:rsidR="00BD650C" w:rsidRPr="00F262D2" w:rsidRDefault="00BD650C" w:rsidP="00801E32">
      <w:pPr>
        <w:pStyle w:val="HChG"/>
        <w:rPr>
          <w:lang w:val="fr-FR"/>
        </w:rPr>
      </w:pPr>
      <w:r>
        <w:rPr>
          <w:lang w:val="fr-FR"/>
        </w:rPr>
        <w:tab/>
      </w:r>
      <w:r>
        <w:rPr>
          <w:lang w:val="fr-FR"/>
        </w:rPr>
        <w:tab/>
      </w:r>
      <w:r w:rsidR="00801E32" w:rsidRPr="00801E32">
        <w:rPr>
          <w:bCs/>
          <w:lang w:val="fr-FR"/>
        </w:rPr>
        <w:t>1.2.1 de l’ADN</w:t>
      </w:r>
      <w:r w:rsidR="00274FFA">
        <w:rPr>
          <w:bCs/>
          <w:lang w:val="fr-FR"/>
        </w:rPr>
        <w:t xml:space="preserve"> - </w:t>
      </w:r>
      <w:r w:rsidR="00801E32" w:rsidRPr="00801E32">
        <w:rPr>
          <w:bCs/>
          <w:lang w:val="fr-FR"/>
        </w:rPr>
        <w:t>Classement en zones</w:t>
      </w:r>
    </w:p>
    <w:p w14:paraId="7B68222B" w14:textId="3B6BF79E" w:rsidR="00BD650C" w:rsidRPr="00F262D2" w:rsidRDefault="00BD650C" w:rsidP="0081170A">
      <w:pPr>
        <w:pStyle w:val="H1G"/>
        <w:rPr>
          <w:snapToGrid w:val="0"/>
          <w:vertAlign w:val="superscript"/>
          <w:lang w:val="fr-FR"/>
        </w:rPr>
      </w:pPr>
      <w:r>
        <w:rPr>
          <w:snapToGrid w:val="0"/>
          <w:lang w:val="fr-FR"/>
        </w:rPr>
        <w:tab/>
      </w:r>
      <w:r>
        <w:rPr>
          <w:snapToGrid w:val="0"/>
          <w:lang w:val="fr-FR"/>
        </w:rPr>
        <w:tab/>
      </w:r>
      <w:r w:rsidR="003F7675" w:rsidRPr="003F7675">
        <w:rPr>
          <w:snapToGrid w:val="0"/>
          <w:lang w:val="fr-FR"/>
        </w:rPr>
        <w:t>Communication du Gouvernement de l’</w:t>
      </w:r>
      <w:r w:rsidR="0081170A" w:rsidRPr="0081170A">
        <w:rPr>
          <w:snapToGrid w:val="0"/>
          <w:lang w:val="fr-FR"/>
        </w:rPr>
        <w:t>Allemagne</w:t>
      </w:r>
      <w:r w:rsidR="003F7675" w:rsidRPr="003F7675">
        <w:rPr>
          <w:snapToGrid w:val="0"/>
        </w:rPr>
        <w:t xml:space="preserve"> </w:t>
      </w:r>
      <w:r w:rsidRPr="00946636">
        <w:rPr>
          <w:rStyle w:val="FootnoteReference"/>
          <w:snapToGrid w:val="0"/>
          <w:sz w:val="20"/>
        </w:rPr>
        <w:footnoteReference w:customMarkFollows="1" w:id="2"/>
        <w:t>*</w:t>
      </w:r>
      <w:r w:rsidRPr="00946636">
        <w:rPr>
          <w:snapToGrid w:val="0"/>
          <w:sz w:val="20"/>
          <w:vertAlign w:val="superscript"/>
        </w:rPr>
        <w:t>,</w:t>
      </w:r>
      <w:r w:rsidR="00C60354" w:rsidRPr="00946636">
        <w:rPr>
          <w:rStyle w:val="FootnoteReference"/>
          <w:snapToGrid w:val="0"/>
          <w:sz w:val="20"/>
        </w:rPr>
        <w:footnoteReference w:customMarkFollows="1" w:id="3"/>
        <w:t>**</w:t>
      </w:r>
    </w:p>
    <w:p w14:paraId="642B123D" w14:textId="20C65DB1" w:rsidR="00932AD2" w:rsidRPr="00932AD2" w:rsidRDefault="00277E3D" w:rsidP="006D654F">
      <w:pPr>
        <w:pStyle w:val="HChG"/>
        <w:rPr>
          <w:lang w:val="fr-FR"/>
        </w:rPr>
      </w:pPr>
      <w:r>
        <w:rPr>
          <w:lang w:val="fr-FR"/>
        </w:rPr>
        <w:tab/>
      </w:r>
      <w:r>
        <w:rPr>
          <w:lang w:val="fr-FR"/>
        </w:rPr>
        <w:tab/>
      </w:r>
      <w:r w:rsidR="006D654F" w:rsidRPr="006D654F">
        <w:rPr>
          <w:lang w:val="fr-FR"/>
        </w:rPr>
        <w:t>Question d'interprétation</w:t>
      </w:r>
    </w:p>
    <w:p w14:paraId="77C91B7C" w14:textId="77777777" w:rsidR="006D654F" w:rsidRPr="006D654F" w:rsidRDefault="006D654F" w:rsidP="006D654F">
      <w:pPr>
        <w:pStyle w:val="SingleTxtG"/>
        <w:rPr>
          <w:bCs/>
          <w:lang w:val="fr-FR"/>
        </w:rPr>
      </w:pPr>
      <w:r w:rsidRPr="006D654F">
        <w:rPr>
          <w:bCs/>
          <w:lang w:val="fr-FR"/>
        </w:rPr>
        <w:t>1.</w:t>
      </w:r>
      <w:r w:rsidRPr="006D654F">
        <w:rPr>
          <w:bCs/>
          <w:lang w:val="fr-FR"/>
        </w:rPr>
        <w:tab/>
        <w:t>En février 2020, le ministère fédéral allemand des transports et des infrastructures numériques a été informé du problème suivant. Il ne s'agit pas d'un cas isolé mais d'une question d'interprétation des règles de construction des bateaux-citernes qui revêt une importance générale.</w:t>
      </w:r>
    </w:p>
    <w:p w14:paraId="4D7A9FEA" w14:textId="6D5D13B7" w:rsidR="006D654F" w:rsidRPr="006D654F" w:rsidRDefault="006D654F" w:rsidP="006D654F">
      <w:pPr>
        <w:pStyle w:val="SingleTxtG"/>
        <w:rPr>
          <w:bCs/>
          <w:lang w:val="fr-FR"/>
        </w:rPr>
      </w:pPr>
      <w:r w:rsidRPr="006D654F">
        <w:rPr>
          <w:bCs/>
          <w:lang w:val="fr-FR"/>
        </w:rPr>
        <w:t>2.</w:t>
      </w:r>
      <w:r w:rsidRPr="006D654F">
        <w:rPr>
          <w:bCs/>
          <w:lang w:val="fr-FR"/>
        </w:rPr>
        <w:tab/>
        <w:t>À bord des bateaux-citernes de type G destinés au transport de GPL (propane, butane, propylène, butadiène, VCM, oxyde de propylène) en citernes pression, toutes les citernes à cargaison sont équipées de pompes immergées (en anglais « </w:t>
      </w:r>
      <w:proofErr w:type="spellStart"/>
      <w:r w:rsidRPr="006D654F">
        <w:rPr>
          <w:bCs/>
          <w:lang w:val="fr-FR"/>
        </w:rPr>
        <w:t>deepwell</w:t>
      </w:r>
      <w:proofErr w:type="spellEnd"/>
      <w:r w:rsidRPr="006D654F">
        <w:rPr>
          <w:bCs/>
          <w:lang w:val="fr-FR"/>
        </w:rPr>
        <w:t xml:space="preserve"> </w:t>
      </w:r>
      <w:proofErr w:type="spellStart"/>
      <w:r w:rsidRPr="006D654F">
        <w:rPr>
          <w:bCs/>
          <w:lang w:val="fr-FR"/>
        </w:rPr>
        <w:t>pumps</w:t>
      </w:r>
      <w:proofErr w:type="spellEnd"/>
      <w:r w:rsidRPr="006D654F">
        <w:rPr>
          <w:bCs/>
          <w:lang w:val="fr-FR"/>
        </w:rPr>
        <w:t> ») fabriquées et approuvées conformément à la directive ATEX pour la zone 1 avec le groupe d'appareils II, la catégorie d'appareils 2G, le niveau de protection des appareils Gb.</w:t>
      </w:r>
    </w:p>
    <w:p w14:paraId="16FDE3DE" w14:textId="77777777" w:rsidR="006D654F" w:rsidRPr="006D654F" w:rsidRDefault="006D654F" w:rsidP="006D654F">
      <w:pPr>
        <w:pStyle w:val="SingleTxtG"/>
        <w:rPr>
          <w:lang w:val="fr-FR"/>
        </w:rPr>
      </w:pPr>
      <w:r w:rsidRPr="006D654F">
        <w:rPr>
          <w:lang w:val="fr-FR"/>
        </w:rPr>
        <w:t>3.</w:t>
      </w:r>
      <w:r w:rsidRPr="006D654F">
        <w:rPr>
          <w:lang w:val="fr-FR"/>
        </w:rPr>
        <w:tab/>
        <w:t>Selon la définition « Classement en zones » du 1.2.1 de l'ADN 2019, l'intérieur des citernes à cargaison appartient désormais à la zone 0.</w:t>
      </w:r>
    </w:p>
    <w:p w14:paraId="2A5A5B17" w14:textId="77777777" w:rsidR="006D654F" w:rsidRPr="006D654F" w:rsidRDefault="006D654F" w:rsidP="006D654F">
      <w:pPr>
        <w:pStyle w:val="SingleTxtG"/>
        <w:rPr>
          <w:lang w:val="fr-FR"/>
        </w:rPr>
      </w:pPr>
      <w:r w:rsidRPr="006D654F">
        <w:rPr>
          <w:lang w:val="fr-FR"/>
        </w:rPr>
        <w:t>4.</w:t>
      </w:r>
      <w:r w:rsidRPr="006D654F">
        <w:rPr>
          <w:lang w:val="fr-FR"/>
        </w:rPr>
        <w:tab/>
        <w:t>Par rapport à l'ADN 2017, il s'agit d'un renforcement des exigences.</w:t>
      </w:r>
    </w:p>
    <w:p w14:paraId="67654311" w14:textId="0DBE8181" w:rsidR="006D654F" w:rsidRPr="006D654F" w:rsidRDefault="00274FFA" w:rsidP="006D654F">
      <w:pPr>
        <w:pStyle w:val="SingleTxtG"/>
        <w:rPr>
          <w:lang w:val="fr-FR"/>
        </w:rPr>
      </w:pPr>
      <w:r>
        <w:rPr>
          <w:lang w:val="fr-FR"/>
        </w:rPr>
        <w:lastRenderedPageBreak/>
        <w:t>5.</w:t>
      </w:r>
      <w:r>
        <w:rPr>
          <w:lang w:val="fr-FR"/>
        </w:rPr>
        <w:tab/>
      </w:r>
      <w:r w:rsidR="006D654F" w:rsidRPr="006D654F">
        <w:rPr>
          <w:lang w:val="fr-FR"/>
        </w:rPr>
        <w:t>Avant l'ADN 2019, selon le 1.2.1 Définitions, le « </w:t>
      </w:r>
      <w:r w:rsidR="006D654F" w:rsidRPr="006D654F">
        <w:rPr>
          <w:b/>
          <w:lang w:val="fr-FR"/>
        </w:rPr>
        <w:t>classement en zones</w:t>
      </w:r>
      <w:r w:rsidR="006D654F" w:rsidRPr="006D654F">
        <w:rPr>
          <w:lang w:val="fr-FR"/>
        </w:rPr>
        <w:t> » prévoyait clairement que l'intérieur des citernes à cargaison destinées au transport de GPL relevait de la zone 1 pour la protection contre les explosions (voir la directive 1999/92/CE).</w:t>
      </w:r>
      <w:r w:rsidR="006D654F" w:rsidRPr="006D654F">
        <w:rPr>
          <w:vertAlign w:val="superscript"/>
          <w:lang w:val="fr-FR"/>
        </w:rPr>
        <w:footnoteReference w:id="4"/>
      </w:r>
    </w:p>
    <w:p w14:paraId="2879E057" w14:textId="581F0B93" w:rsidR="006D654F" w:rsidRPr="006D654F" w:rsidRDefault="00274FFA" w:rsidP="006D654F">
      <w:pPr>
        <w:pStyle w:val="SingleTxtG"/>
        <w:rPr>
          <w:lang w:val="fr-FR"/>
        </w:rPr>
      </w:pPr>
      <w:r>
        <w:rPr>
          <w:lang w:val="fr-FR"/>
        </w:rPr>
        <w:t>6</w:t>
      </w:r>
      <w:r w:rsidR="006D654F" w:rsidRPr="006D654F">
        <w:rPr>
          <w:lang w:val="fr-FR"/>
        </w:rPr>
        <w:t>.</w:t>
      </w:r>
      <w:r w:rsidR="006D654F" w:rsidRPr="006D654F">
        <w:rPr>
          <w:lang w:val="fr-FR"/>
        </w:rPr>
        <w:tab/>
        <w:t>La définition « </w:t>
      </w:r>
      <w:bookmarkStart w:id="0" w:name="_GoBack"/>
      <w:bookmarkEnd w:id="0"/>
      <w:r w:rsidR="006D654F" w:rsidRPr="006D654F">
        <w:rPr>
          <w:lang w:val="fr-FR"/>
        </w:rPr>
        <w:t>technique » des zones conformément à la définition du « </w:t>
      </w:r>
      <w:r w:rsidR="006D654F" w:rsidRPr="006D654F">
        <w:rPr>
          <w:b/>
          <w:lang w:val="fr-FR"/>
        </w:rPr>
        <w:t>classement en zones</w:t>
      </w:r>
      <w:r w:rsidR="006D654F" w:rsidRPr="006D654F">
        <w:rPr>
          <w:lang w:val="fr-FR"/>
        </w:rPr>
        <w:t> » appliquée jusqu'en 2018 devrait continuer à prévaloir en ce qui concerne la classification exigée pour les classes d'appareils et leurs emplacements et modalités d'utilisation locaux, plutôt que de procéder à une affectation générale comme le prévoit la définition du « classement en zones » en vigueur depuis 2019. À cet égard, les sociétés de classification nécessiteraient d'urgence un soutien.</w:t>
      </w:r>
    </w:p>
    <w:p w14:paraId="2AB5FBB4" w14:textId="3A0BF06D" w:rsidR="006D654F" w:rsidRPr="006D654F" w:rsidRDefault="00274FFA" w:rsidP="006D654F">
      <w:pPr>
        <w:pStyle w:val="SingleTxtG"/>
        <w:rPr>
          <w:lang w:val="fr-FR"/>
        </w:rPr>
      </w:pPr>
      <w:r>
        <w:rPr>
          <w:lang w:val="fr-FR"/>
        </w:rPr>
        <w:t>7</w:t>
      </w:r>
      <w:r w:rsidR="006D654F" w:rsidRPr="006D654F">
        <w:rPr>
          <w:lang w:val="fr-FR"/>
        </w:rPr>
        <w:t>.</w:t>
      </w:r>
      <w:r w:rsidR="006D654F" w:rsidRPr="006D654F">
        <w:rPr>
          <w:lang w:val="fr-FR"/>
        </w:rPr>
        <w:tab/>
        <w:t>Il n'existe pas de pompes immergées possédant un agrément ATEX pour la zone 0.</w:t>
      </w:r>
    </w:p>
    <w:p w14:paraId="07B1DE66" w14:textId="77136042" w:rsidR="006D654F" w:rsidRPr="006D654F" w:rsidRDefault="00274FFA" w:rsidP="006D654F">
      <w:pPr>
        <w:pStyle w:val="SingleTxtG"/>
        <w:rPr>
          <w:lang w:val="fr-FR"/>
        </w:rPr>
      </w:pPr>
      <w:r>
        <w:rPr>
          <w:lang w:val="fr-FR"/>
        </w:rPr>
        <w:t>8</w:t>
      </w:r>
      <w:r w:rsidR="006D654F" w:rsidRPr="006D654F">
        <w:rPr>
          <w:lang w:val="fr-FR"/>
        </w:rPr>
        <w:t>.</w:t>
      </w:r>
      <w:r w:rsidR="006D654F" w:rsidRPr="006D654F">
        <w:rPr>
          <w:lang w:val="fr-FR"/>
        </w:rPr>
        <w:tab/>
        <w:t xml:space="preserve">Le 7 mai 2020, la société danoise Global </w:t>
      </w:r>
      <w:proofErr w:type="spellStart"/>
      <w:r w:rsidR="006D654F" w:rsidRPr="006D654F">
        <w:rPr>
          <w:lang w:val="fr-FR"/>
        </w:rPr>
        <w:t>Functional</w:t>
      </w:r>
      <w:proofErr w:type="spellEnd"/>
      <w:r w:rsidR="006D654F" w:rsidRPr="006D654F">
        <w:rPr>
          <w:lang w:val="fr-FR"/>
        </w:rPr>
        <w:t xml:space="preserve"> </w:t>
      </w:r>
      <w:proofErr w:type="spellStart"/>
      <w:r w:rsidR="006D654F" w:rsidRPr="006D654F">
        <w:rPr>
          <w:lang w:val="fr-FR"/>
        </w:rPr>
        <w:t>Safety</w:t>
      </w:r>
      <w:proofErr w:type="spellEnd"/>
      <w:r w:rsidR="006D654F" w:rsidRPr="006D654F">
        <w:rPr>
          <w:lang w:val="fr-FR"/>
        </w:rPr>
        <w:t xml:space="preserve"> </w:t>
      </w:r>
      <w:proofErr w:type="spellStart"/>
      <w:r w:rsidR="006D654F" w:rsidRPr="006D654F">
        <w:rPr>
          <w:lang w:val="fr-FR"/>
        </w:rPr>
        <w:t>ApS</w:t>
      </w:r>
      <w:proofErr w:type="spellEnd"/>
      <w:r w:rsidR="006D654F" w:rsidRPr="006D654F">
        <w:rPr>
          <w:lang w:val="fr-FR"/>
        </w:rPr>
        <w:t xml:space="preserve"> a adressé une demande similaire par courrier électronique aux chefs de délégation de plusieurs parties contractantes représentées au sein du Comité de sécurité de l'ADN. Ce courriel était rédigé en langue anglaise.</w:t>
      </w:r>
    </w:p>
    <w:p w14:paraId="4DAD9545" w14:textId="3D60BBF0" w:rsidR="006D654F" w:rsidRPr="006D654F" w:rsidRDefault="00274FFA" w:rsidP="006D654F">
      <w:pPr>
        <w:pStyle w:val="SingleTxtG"/>
        <w:rPr>
          <w:lang w:val="fr-FR"/>
        </w:rPr>
      </w:pPr>
      <w:r>
        <w:rPr>
          <w:lang w:val="fr-FR"/>
        </w:rPr>
        <w:t>9</w:t>
      </w:r>
      <w:r w:rsidR="006D654F" w:rsidRPr="006D654F">
        <w:rPr>
          <w:lang w:val="fr-FR"/>
        </w:rPr>
        <w:t xml:space="preserve">. </w:t>
      </w:r>
      <w:r w:rsidR="006D654F" w:rsidRPr="006D654F">
        <w:rPr>
          <w:lang w:val="fr-FR"/>
        </w:rPr>
        <w:tab/>
        <w:t>Elle a ajouté que les citernes à cargaison étaient inertées avec de l'azote avant le transport de GPL et de GNL et qu'elles étaient sous pression dans les conditions de transport habituelles. Étant donné que, par conséquent, les citernes à cargaison ne contiennent pas d'oxygène ni d'atmosphère explosible, conformément à la directive ATEX et aux normes EN connexes ainsi que par analogie au régime applicable aux citernes terrestres, elles n'étaient pas classées comme étant des zones de protection contre les explosions avant l'ADN 2019.</w:t>
      </w:r>
    </w:p>
    <w:p w14:paraId="30F05B02" w14:textId="4316B8AF" w:rsidR="006D654F" w:rsidRPr="006D654F" w:rsidRDefault="00274FFA" w:rsidP="006D654F">
      <w:pPr>
        <w:pStyle w:val="SingleTxtG"/>
        <w:rPr>
          <w:lang w:val="fr-FR"/>
        </w:rPr>
      </w:pPr>
      <w:r>
        <w:rPr>
          <w:lang w:val="fr-FR"/>
        </w:rPr>
        <w:t>10</w:t>
      </w:r>
      <w:r w:rsidR="006D654F" w:rsidRPr="006D654F">
        <w:rPr>
          <w:lang w:val="fr-FR"/>
        </w:rPr>
        <w:t>.</w:t>
      </w:r>
      <w:r w:rsidR="006D654F" w:rsidRPr="006D654F">
        <w:rPr>
          <w:lang w:val="fr-FR"/>
        </w:rPr>
        <w:tab/>
        <w:t>De ce fait, le classement du « Hold » en tant que zone 0, indépendamment du produit transporté, sème la confusion. Dans l'ADN 2013, le « Hold » est classé en tant que zone 1 lorsque sont transportées des marchandises inflammables.</w:t>
      </w:r>
    </w:p>
    <w:p w14:paraId="2745CF6B" w14:textId="59B7EAE3" w:rsidR="006D654F" w:rsidRPr="006D654F" w:rsidRDefault="00274FFA" w:rsidP="006D654F">
      <w:pPr>
        <w:pStyle w:val="SingleTxtG"/>
        <w:rPr>
          <w:lang w:val="fr-FR"/>
        </w:rPr>
      </w:pPr>
      <w:r>
        <w:rPr>
          <w:lang w:val="fr-FR"/>
        </w:rPr>
        <w:t>11</w:t>
      </w:r>
      <w:r w:rsidR="006D654F" w:rsidRPr="006D654F">
        <w:rPr>
          <w:lang w:val="fr-FR"/>
        </w:rPr>
        <w:t>.</w:t>
      </w:r>
      <w:r w:rsidR="006D654F" w:rsidRPr="006D654F">
        <w:rPr>
          <w:lang w:val="fr-FR"/>
        </w:rPr>
        <w:tab/>
        <w:t>Il est impossible de fabriquer des pompes immergées pour le GPL et le GNL qui conviennent pour la zone 0.</w:t>
      </w:r>
    </w:p>
    <w:p w14:paraId="0D258C31" w14:textId="7FBAF415" w:rsidR="006D654F" w:rsidRPr="006D654F" w:rsidRDefault="00274FFA" w:rsidP="006D654F">
      <w:pPr>
        <w:pStyle w:val="SingleTxtG"/>
        <w:rPr>
          <w:lang w:val="fr-FR"/>
        </w:rPr>
      </w:pPr>
      <w:r>
        <w:rPr>
          <w:lang w:val="fr-FR"/>
        </w:rPr>
        <w:t>12</w:t>
      </w:r>
      <w:r w:rsidR="006D654F" w:rsidRPr="006D654F">
        <w:rPr>
          <w:lang w:val="fr-FR"/>
        </w:rPr>
        <w:t>.</w:t>
      </w:r>
      <w:r w:rsidR="006D654F" w:rsidRPr="006D654F">
        <w:rPr>
          <w:lang w:val="fr-FR"/>
        </w:rPr>
        <w:tab/>
        <w:t>L'entreprise souhaite par conséquent soumettre au Comité de sécurité de l'ADN la question de savoir si les citernes à cargaison des bateaux-citernes doivent être classées selon la définition « </w:t>
      </w:r>
      <w:r w:rsidR="006D654F" w:rsidRPr="006D654F">
        <w:rPr>
          <w:b/>
          <w:lang w:val="fr-FR"/>
        </w:rPr>
        <w:t>Classement des zones de risque d'explosion (voir Directive 1999/92/CE3)</w:t>
      </w:r>
      <w:r w:rsidR="006D654F" w:rsidRPr="006D654F">
        <w:rPr>
          <w:lang w:val="fr-FR"/>
        </w:rPr>
        <w:t xml:space="preserve"> ou « sans arguments » selon la définition « </w:t>
      </w:r>
      <w:r w:rsidR="006D654F" w:rsidRPr="006D654F">
        <w:rPr>
          <w:b/>
          <w:lang w:val="fr-FR"/>
        </w:rPr>
        <w:t>Classement en zones</w:t>
      </w:r>
      <w:r w:rsidR="006D654F" w:rsidRPr="006D654F">
        <w:rPr>
          <w:lang w:val="fr-FR"/>
        </w:rPr>
        <w:t> ».</w:t>
      </w:r>
    </w:p>
    <w:p w14:paraId="13471116" w14:textId="0900B189" w:rsidR="006D654F" w:rsidRPr="006D654F" w:rsidRDefault="00204D74" w:rsidP="00204D74">
      <w:pPr>
        <w:pStyle w:val="HChG"/>
        <w:rPr>
          <w:lang w:val="fr-FR"/>
        </w:rPr>
      </w:pPr>
      <w:r>
        <w:rPr>
          <w:lang w:val="fr-FR"/>
        </w:rPr>
        <w:tab/>
      </w:r>
      <w:r>
        <w:rPr>
          <w:lang w:val="fr-FR"/>
        </w:rPr>
        <w:tab/>
      </w:r>
      <w:r w:rsidR="006D654F" w:rsidRPr="006D654F">
        <w:rPr>
          <w:lang w:val="fr-FR"/>
        </w:rPr>
        <w:t>Proposition</w:t>
      </w:r>
    </w:p>
    <w:p w14:paraId="1C6643A2" w14:textId="4232BFDE" w:rsidR="006D654F" w:rsidRPr="006D654F" w:rsidRDefault="00274FFA" w:rsidP="006D654F">
      <w:pPr>
        <w:pStyle w:val="SingleTxtG"/>
        <w:rPr>
          <w:lang w:val="fr-FR"/>
        </w:rPr>
      </w:pPr>
      <w:r w:rsidRPr="006D654F">
        <w:rPr>
          <w:lang w:val="fr-FR"/>
        </w:rPr>
        <w:t>1</w:t>
      </w:r>
      <w:r>
        <w:rPr>
          <w:lang w:val="fr-FR"/>
        </w:rPr>
        <w:t>3</w:t>
      </w:r>
      <w:r w:rsidR="006D654F" w:rsidRPr="006D654F">
        <w:rPr>
          <w:lang w:val="fr-FR"/>
        </w:rPr>
        <w:t>.</w:t>
      </w:r>
      <w:r w:rsidR="006D654F" w:rsidRPr="006D654F">
        <w:rPr>
          <w:lang w:val="fr-FR"/>
        </w:rPr>
        <w:tab/>
        <w:t xml:space="preserve">L'Allemagne propose de donner suite à la suggestion de la société Global </w:t>
      </w:r>
      <w:proofErr w:type="spellStart"/>
      <w:r w:rsidR="006D654F" w:rsidRPr="006D654F">
        <w:rPr>
          <w:lang w:val="fr-FR"/>
        </w:rPr>
        <w:t>Functional</w:t>
      </w:r>
      <w:proofErr w:type="spellEnd"/>
      <w:r w:rsidR="006D654F" w:rsidRPr="006D654F">
        <w:rPr>
          <w:lang w:val="fr-FR"/>
        </w:rPr>
        <w:t xml:space="preserve"> </w:t>
      </w:r>
      <w:proofErr w:type="spellStart"/>
      <w:r w:rsidR="006D654F" w:rsidRPr="006D654F">
        <w:rPr>
          <w:lang w:val="fr-FR"/>
        </w:rPr>
        <w:t>Safety</w:t>
      </w:r>
      <w:proofErr w:type="spellEnd"/>
      <w:r w:rsidR="006D654F" w:rsidRPr="006D654F">
        <w:rPr>
          <w:lang w:val="fr-FR"/>
        </w:rPr>
        <w:t xml:space="preserve"> </w:t>
      </w:r>
      <w:proofErr w:type="spellStart"/>
      <w:r w:rsidR="006D654F" w:rsidRPr="006D654F">
        <w:rPr>
          <w:lang w:val="fr-FR"/>
        </w:rPr>
        <w:t>ApS</w:t>
      </w:r>
      <w:proofErr w:type="spellEnd"/>
      <w:r w:rsidR="006D654F" w:rsidRPr="006D654F">
        <w:rPr>
          <w:lang w:val="fr-FR"/>
        </w:rPr>
        <w:t xml:space="preserve"> en vérifiant si l'affectation générale de l'intérieur des citernes à cargaison à la zone 0 pour la protection contre les explosions est correcte et appropriée.</w:t>
      </w:r>
    </w:p>
    <w:p w14:paraId="3348B50C" w14:textId="0AC34C4D" w:rsidR="006D654F" w:rsidRPr="006D654F" w:rsidRDefault="00204D74" w:rsidP="00204D74">
      <w:pPr>
        <w:pStyle w:val="HChG"/>
        <w:rPr>
          <w:lang w:val="fr-FR"/>
        </w:rPr>
      </w:pPr>
      <w:r>
        <w:rPr>
          <w:lang w:val="fr-FR"/>
        </w:rPr>
        <w:tab/>
      </w:r>
      <w:r>
        <w:rPr>
          <w:lang w:val="fr-FR"/>
        </w:rPr>
        <w:tab/>
      </w:r>
      <w:r w:rsidR="006D654F" w:rsidRPr="006D654F">
        <w:rPr>
          <w:lang w:val="fr-FR"/>
        </w:rPr>
        <w:t>Précisions</w:t>
      </w:r>
    </w:p>
    <w:p w14:paraId="14F64CEA" w14:textId="2FF77367" w:rsidR="006D654F" w:rsidRPr="006D654F" w:rsidRDefault="00274FFA" w:rsidP="006D654F">
      <w:pPr>
        <w:pStyle w:val="SingleTxtG"/>
        <w:rPr>
          <w:lang w:val="fr-FR"/>
        </w:rPr>
      </w:pPr>
      <w:r w:rsidRPr="006D654F">
        <w:rPr>
          <w:lang w:val="fr-FR"/>
        </w:rPr>
        <w:t>1</w:t>
      </w:r>
      <w:r>
        <w:rPr>
          <w:lang w:val="fr-FR"/>
        </w:rPr>
        <w:t>4</w:t>
      </w:r>
      <w:r w:rsidR="006D654F" w:rsidRPr="006D654F">
        <w:rPr>
          <w:lang w:val="fr-FR"/>
        </w:rPr>
        <w:t>.</w:t>
      </w:r>
      <w:r w:rsidR="006D654F" w:rsidRPr="006D654F">
        <w:rPr>
          <w:lang w:val="fr-FR"/>
        </w:rPr>
        <w:tab/>
        <w:t>La définition de « </w:t>
      </w:r>
      <w:proofErr w:type="spellStart"/>
      <w:r w:rsidR="006D654F" w:rsidRPr="006D654F">
        <w:rPr>
          <w:lang w:val="fr-FR"/>
        </w:rPr>
        <w:t>hold</w:t>
      </w:r>
      <w:proofErr w:type="spellEnd"/>
      <w:r w:rsidR="006D654F" w:rsidRPr="006D654F">
        <w:rPr>
          <w:lang w:val="fr-FR"/>
        </w:rPr>
        <w:t xml:space="preserve"> » mentionnée par la société Global </w:t>
      </w:r>
      <w:proofErr w:type="spellStart"/>
      <w:r w:rsidR="006D654F" w:rsidRPr="006D654F">
        <w:rPr>
          <w:lang w:val="fr-FR"/>
        </w:rPr>
        <w:t>Functional</w:t>
      </w:r>
      <w:proofErr w:type="spellEnd"/>
      <w:r w:rsidR="006D654F" w:rsidRPr="006D654F">
        <w:rPr>
          <w:lang w:val="fr-FR"/>
        </w:rPr>
        <w:t xml:space="preserve"> </w:t>
      </w:r>
      <w:proofErr w:type="spellStart"/>
      <w:r w:rsidR="006D654F" w:rsidRPr="006D654F">
        <w:rPr>
          <w:lang w:val="fr-FR"/>
        </w:rPr>
        <w:t>Safety</w:t>
      </w:r>
      <w:proofErr w:type="spellEnd"/>
      <w:r w:rsidR="006D654F" w:rsidRPr="006D654F">
        <w:rPr>
          <w:lang w:val="fr-FR"/>
        </w:rPr>
        <w:t xml:space="preserve"> </w:t>
      </w:r>
      <w:proofErr w:type="spellStart"/>
      <w:r w:rsidR="006D654F" w:rsidRPr="006D654F">
        <w:rPr>
          <w:lang w:val="fr-FR"/>
        </w:rPr>
        <w:t>ApS</w:t>
      </w:r>
      <w:proofErr w:type="spellEnd"/>
      <w:r w:rsidR="006D654F" w:rsidRPr="006D654F">
        <w:rPr>
          <w:lang w:val="fr-FR"/>
        </w:rPr>
        <w:t xml:space="preserve"> est probablement la suivante :</w:t>
      </w:r>
    </w:p>
    <w:p w14:paraId="13C43310" w14:textId="77777777" w:rsidR="006D654F" w:rsidRPr="006D654F" w:rsidRDefault="006D654F" w:rsidP="00CF2B4E">
      <w:pPr>
        <w:pStyle w:val="SingleTxtG"/>
        <w:ind w:left="1418"/>
        <w:rPr>
          <w:iCs/>
          <w:lang w:val="en-US"/>
        </w:rPr>
      </w:pPr>
      <w:r w:rsidRPr="006D654F">
        <w:rPr>
          <w:i/>
          <w:iCs/>
          <w:lang w:val="en-US"/>
        </w:rPr>
        <w:t>Hold</w:t>
      </w:r>
      <w:r w:rsidRPr="006D654F">
        <w:rPr>
          <w:iCs/>
          <w:lang w:val="en-US"/>
        </w:rPr>
        <w:t xml:space="preserve"> (when anti-explosion protection is required, comparable to zone 1 - see </w:t>
      </w:r>
      <w:r w:rsidRPr="006D654F">
        <w:rPr>
          <w:i/>
          <w:iCs/>
          <w:lang w:val="en-US"/>
        </w:rPr>
        <w:t>Classification of zones</w:t>
      </w:r>
      <w:r w:rsidRPr="006D654F">
        <w:rPr>
          <w:iCs/>
          <w:lang w:val="en-US"/>
        </w:rPr>
        <w:t>) 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p w14:paraId="1CC89CD8" w14:textId="77777777" w:rsidR="006D654F" w:rsidRPr="006D654F" w:rsidRDefault="006D654F" w:rsidP="00CF2B4E">
      <w:pPr>
        <w:pStyle w:val="SingleTxtG"/>
        <w:ind w:left="1418"/>
        <w:rPr>
          <w:lang w:val="fr-FR"/>
        </w:rPr>
      </w:pPr>
      <w:r w:rsidRPr="00CF2B4E">
        <w:rPr>
          <w:bCs/>
          <w:i/>
          <w:lang w:val="fr-FR"/>
        </w:rPr>
        <w:t>Cale</w:t>
      </w:r>
      <w:r w:rsidRPr="006D654F">
        <w:rPr>
          <w:b/>
          <w:lang w:val="fr-FR"/>
        </w:rPr>
        <w:t xml:space="preserve"> </w:t>
      </w:r>
      <w:r w:rsidRPr="006D654F">
        <w:rPr>
          <w:lang w:val="fr-FR"/>
        </w:rPr>
        <w:t xml:space="preserve">(lorsque la protection contre les explosions est exigée, comparable à la zone 1) : partie du bateau, couverte ou non par des panneaux d'écoutille, limitée à l'avant et à l'arrière par des cloisons et destinée à recevoir des marchandises en colis ou en vrac. La cale est limitée vers le haut par le bord supérieur de </w:t>
      </w:r>
      <w:proofErr w:type="spellStart"/>
      <w:r w:rsidRPr="006D654F">
        <w:rPr>
          <w:lang w:val="fr-FR"/>
        </w:rPr>
        <w:t>l'hiloire</w:t>
      </w:r>
      <w:proofErr w:type="spellEnd"/>
      <w:r w:rsidRPr="006D654F">
        <w:rPr>
          <w:lang w:val="fr-FR"/>
        </w:rPr>
        <w:t xml:space="preserve"> du panneau d'écoutille. La </w:t>
      </w:r>
      <w:r w:rsidRPr="006D654F">
        <w:rPr>
          <w:lang w:val="fr-FR"/>
        </w:rPr>
        <w:lastRenderedPageBreak/>
        <w:t xml:space="preserve">cargaison se trouvant au- delà de </w:t>
      </w:r>
      <w:proofErr w:type="spellStart"/>
      <w:r w:rsidRPr="006D654F">
        <w:rPr>
          <w:lang w:val="fr-FR"/>
        </w:rPr>
        <w:t>l'hiloire</w:t>
      </w:r>
      <w:proofErr w:type="spellEnd"/>
      <w:r w:rsidRPr="006D654F">
        <w:rPr>
          <w:lang w:val="fr-FR"/>
        </w:rPr>
        <w:t xml:space="preserve"> du panneau d'écoutille est considérée comme chargée sur le pont ;</w:t>
      </w:r>
    </w:p>
    <w:p w14:paraId="47AD1195" w14:textId="43130265" w:rsidR="006D654F" w:rsidRPr="006D654F" w:rsidRDefault="00274FFA" w:rsidP="006D654F">
      <w:pPr>
        <w:pStyle w:val="SingleTxtG"/>
        <w:rPr>
          <w:lang w:val="fr-FR"/>
        </w:rPr>
      </w:pPr>
      <w:r>
        <w:rPr>
          <w:lang w:val="fr-FR"/>
        </w:rPr>
        <w:t>15</w:t>
      </w:r>
      <w:r w:rsidR="006D654F" w:rsidRPr="006D654F">
        <w:rPr>
          <w:lang w:val="fr-FR"/>
        </w:rPr>
        <w:t>.</w:t>
      </w:r>
      <w:r w:rsidR="006D654F" w:rsidRPr="006D654F">
        <w:rPr>
          <w:lang w:val="fr-FR"/>
        </w:rPr>
        <w:tab/>
        <w:t>En vue de l'examen de ce problème, l'Allemagne souhaite rappeler les prescriptions ci-après de l'ADN dans la version applicable jusqu'au 31 décembre 2018.</w:t>
      </w:r>
    </w:p>
    <w:p w14:paraId="68D207E3" w14:textId="77777777" w:rsidR="006D654F" w:rsidRPr="00CF2B4E" w:rsidRDefault="006D654F" w:rsidP="006D654F">
      <w:pPr>
        <w:pStyle w:val="SingleTxtG"/>
        <w:rPr>
          <w:lang w:val="fr-FR"/>
        </w:rPr>
      </w:pPr>
      <w:r w:rsidRPr="00CF2B4E">
        <w:rPr>
          <w:lang w:val="fr-FR"/>
        </w:rPr>
        <w:t>1.2.1, Définitions</w:t>
      </w:r>
    </w:p>
    <w:p w14:paraId="0919797D" w14:textId="77777777" w:rsidR="006D654F" w:rsidRPr="006D654F" w:rsidRDefault="006D654F" w:rsidP="00274FFA">
      <w:pPr>
        <w:pStyle w:val="SingleTxtG"/>
        <w:ind w:left="1418"/>
        <w:rPr>
          <w:lang w:val="fr-FR"/>
        </w:rPr>
      </w:pPr>
      <w:r w:rsidRPr="006D654F">
        <w:rPr>
          <w:i/>
          <w:lang w:val="fr-FR"/>
        </w:rPr>
        <w:t xml:space="preserve">Citerne à cargaison </w:t>
      </w:r>
      <w:r w:rsidRPr="006D654F">
        <w:rPr>
          <w:lang w:val="fr-FR"/>
        </w:rPr>
        <w:t>(lorsque la protection contre les explosions est exigée, comparable à la zone 0</w:t>
      </w:r>
      <w:proofErr w:type="gramStart"/>
      <w:r w:rsidRPr="006D654F">
        <w:rPr>
          <w:lang w:val="fr-FR"/>
        </w:rPr>
        <w:t>):</w:t>
      </w:r>
      <w:proofErr w:type="gramEnd"/>
    </w:p>
    <w:p w14:paraId="31566AA1" w14:textId="77777777" w:rsidR="006D654F" w:rsidRPr="006D654F" w:rsidRDefault="006D654F" w:rsidP="00CF2B4E">
      <w:pPr>
        <w:pStyle w:val="SingleTxtG"/>
        <w:ind w:left="1418"/>
        <w:rPr>
          <w:lang w:val="fr-FR"/>
        </w:rPr>
      </w:pPr>
      <w:proofErr w:type="gramStart"/>
      <w:r w:rsidRPr="006D654F">
        <w:rPr>
          <w:lang w:val="fr-FR"/>
        </w:rPr>
        <w:t>une</w:t>
      </w:r>
      <w:proofErr w:type="gramEnd"/>
      <w:r w:rsidRPr="006D654F">
        <w:rPr>
          <w:lang w:val="fr-FR"/>
        </w:rPr>
        <w:t xml:space="preserve"> citerne fixée de façon permanente au bateau destinée à transporter des marchandises dangereuses;</w:t>
      </w:r>
    </w:p>
    <w:p w14:paraId="6BD3B948" w14:textId="77777777" w:rsidR="006D654F" w:rsidRPr="00CF2B4E" w:rsidRDefault="006D654F" w:rsidP="006D654F">
      <w:pPr>
        <w:pStyle w:val="SingleTxtG"/>
        <w:rPr>
          <w:lang w:val="fr-FR"/>
        </w:rPr>
      </w:pPr>
      <w:r w:rsidRPr="00CF2B4E">
        <w:rPr>
          <w:lang w:val="fr-FR"/>
        </w:rPr>
        <w:t>9.3.x.52 Type et emplacement des équipements électriques</w:t>
      </w:r>
    </w:p>
    <w:p w14:paraId="76EEA7CF" w14:textId="4B4FBD93" w:rsidR="006D654F" w:rsidRPr="006D654F" w:rsidRDefault="006D654F" w:rsidP="00274FFA">
      <w:pPr>
        <w:pStyle w:val="SingleTxtG"/>
        <w:ind w:left="1418"/>
        <w:rPr>
          <w:lang w:val="fr-FR"/>
        </w:rPr>
      </w:pPr>
      <w:r w:rsidRPr="00CF2B4E">
        <w:rPr>
          <w:bCs/>
          <w:lang w:val="fr-FR"/>
        </w:rPr>
        <w:t>9.3.x.52.1</w:t>
      </w:r>
      <w:r w:rsidR="00274FFA">
        <w:rPr>
          <w:lang w:val="fr-FR"/>
        </w:rPr>
        <w:t xml:space="preserve"> </w:t>
      </w:r>
      <w:r w:rsidRPr="006D654F">
        <w:rPr>
          <w:lang w:val="fr-FR"/>
        </w:rPr>
        <w:t>a)</w:t>
      </w:r>
      <w:r w:rsidRPr="006D654F">
        <w:rPr>
          <w:lang w:val="fr-FR"/>
        </w:rPr>
        <w:tab/>
        <w:t>Seuls les équipements ci-après sont admis dans les citernes à cargaison et les tuyauteries de chargement et de déchargement (comparables à la zone 0</w:t>
      </w:r>
      <w:proofErr w:type="gramStart"/>
      <w:r w:rsidRPr="006D654F">
        <w:rPr>
          <w:lang w:val="fr-FR"/>
        </w:rPr>
        <w:t>):</w:t>
      </w:r>
      <w:proofErr w:type="gramEnd"/>
    </w:p>
    <w:p w14:paraId="3CA8A730" w14:textId="77777777" w:rsidR="006D654F" w:rsidRPr="006D654F" w:rsidRDefault="006D654F" w:rsidP="00CF2B4E">
      <w:pPr>
        <w:pStyle w:val="SingleTxtG"/>
        <w:ind w:left="1418"/>
        <w:rPr>
          <w:bCs/>
          <w:lang w:val="fr-FR"/>
        </w:rPr>
      </w:pPr>
      <w:r w:rsidRPr="006D654F">
        <w:rPr>
          <w:bCs/>
          <w:lang w:val="fr-FR"/>
        </w:rPr>
        <w:t>–</w:t>
      </w:r>
      <w:r w:rsidRPr="006D654F">
        <w:rPr>
          <w:bCs/>
          <w:lang w:val="fr-FR"/>
        </w:rPr>
        <w:tab/>
        <w:t>appareils de mesure, de réglage et d'alarme du type de protection EE x (</w:t>
      </w:r>
      <w:proofErr w:type="spellStart"/>
      <w:r w:rsidRPr="006D654F">
        <w:rPr>
          <w:bCs/>
          <w:lang w:val="fr-FR"/>
        </w:rPr>
        <w:t>ia</w:t>
      </w:r>
      <w:proofErr w:type="spellEnd"/>
      <w:r w:rsidRPr="006D654F">
        <w:rPr>
          <w:bCs/>
          <w:lang w:val="fr-FR"/>
        </w:rPr>
        <w:t>).</w:t>
      </w:r>
    </w:p>
    <w:p w14:paraId="24873832" w14:textId="4D2884EC" w:rsidR="006D654F" w:rsidRPr="006D654F" w:rsidRDefault="00274FFA" w:rsidP="006D654F">
      <w:pPr>
        <w:pStyle w:val="SingleTxtG"/>
        <w:rPr>
          <w:lang w:val="fr-FR"/>
        </w:rPr>
      </w:pPr>
      <w:r>
        <w:rPr>
          <w:lang w:val="fr-FR"/>
        </w:rPr>
        <w:t>16</w:t>
      </w:r>
      <w:r w:rsidR="006D654F" w:rsidRPr="006D654F">
        <w:rPr>
          <w:lang w:val="fr-FR"/>
        </w:rPr>
        <w:t>.</w:t>
      </w:r>
      <w:r w:rsidR="006D654F" w:rsidRPr="006D654F">
        <w:rPr>
          <w:lang w:val="fr-FR"/>
        </w:rPr>
        <w:tab/>
        <w:t>Il conviendrait en outre de prendre en compte la prescription transitoire en vigueur depuis le 1er janvier 2019 figurant au 1.6.7.2.2 de l'ADN concernant les 9.3.1.53.1, 9.3.2.53.1 et 9.3.3.53.1 / Type et emplacement des installations et équipements électriques destinés à être utilisés dans des zones de risque d'explosion, zone 0, zone 1.</w:t>
      </w:r>
    </w:p>
    <w:p w14:paraId="3E1E4967" w14:textId="77777777" w:rsidR="006D654F" w:rsidRPr="006D654F" w:rsidRDefault="006D654F" w:rsidP="00CF2B4E">
      <w:pPr>
        <w:pStyle w:val="SingleTxtG"/>
        <w:ind w:left="1418"/>
        <w:rPr>
          <w:lang w:val="fr-FR"/>
        </w:rPr>
      </w:pPr>
      <w:r w:rsidRPr="006D654F">
        <w:rPr>
          <w:lang w:val="fr-FR"/>
        </w:rPr>
        <w:t>« N.R.T. à partir du 1er janvier 2019 / Renouvellement du certificat d'agrément après le 31 décembre 2034</w:t>
      </w:r>
    </w:p>
    <w:p w14:paraId="2AF2C2DF" w14:textId="77777777" w:rsidR="006D654F" w:rsidRPr="006D654F" w:rsidRDefault="006D654F" w:rsidP="00CF2B4E">
      <w:pPr>
        <w:pStyle w:val="SingleTxtG"/>
        <w:ind w:left="1418"/>
        <w:rPr>
          <w:lang w:val="fr-FR"/>
        </w:rPr>
      </w:pPr>
      <w:r w:rsidRPr="006D654F">
        <w:rPr>
          <w:lang w:val="fr-FR"/>
        </w:rPr>
        <w:t>Jusqu'à cette échéance les prescriptions suivantes sont applicables :</w:t>
      </w:r>
    </w:p>
    <w:p w14:paraId="0833B61C" w14:textId="042E5951" w:rsidR="0081170A" w:rsidRPr="00160F85" w:rsidRDefault="006D654F" w:rsidP="00CF2B4E">
      <w:pPr>
        <w:pStyle w:val="SingleTxtG"/>
        <w:ind w:left="1418"/>
      </w:pPr>
      <w:r w:rsidRPr="006D654F">
        <w:rPr>
          <w:lang w:val="fr-FR"/>
        </w:rPr>
        <w:t xml:space="preserve">Dans les citernes à cargaison ainsi que dans les tuyauteries de chargement et de déchargement ne sont admis que les appareils de mesure, de réglage et d'alarme du type de protection </w:t>
      </w:r>
      <w:proofErr w:type="spellStart"/>
      <w:r w:rsidRPr="006D654F">
        <w:rPr>
          <w:lang w:val="fr-FR"/>
        </w:rPr>
        <w:t>EEx</w:t>
      </w:r>
      <w:proofErr w:type="spellEnd"/>
      <w:r w:rsidRPr="006D654F">
        <w:rPr>
          <w:lang w:val="fr-FR"/>
        </w:rPr>
        <w:t xml:space="preserve"> (</w:t>
      </w:r>
      <w:proofErr w:type="spellStart"/>
      <w:r w:rsidRPr="006D654F">
        <w:rPr>
          <w:lang w:val="fr-FR"/>
        </w:rPr>
        <w:t>ia</w:t>
      </w:r>
      <w:proofErr w:type="spellEnd"/>
      <w:r w:rsidRPr="006D654F">
        <w:rPr>
          <w:lang w:val="fr-FR"/>
        </w:rPr>
        <w:t>). »</w:t>
      </w:r>
    </w:p>
    <w:p w14:paraId="6A6D1512" w14:textId="77777777" w:rsidR="00BD650C" w:rsidRPr="00C60354" w:rsidRDefault="00C60354" w:rsidP="00C60354">
      <w:pPr>
        <w:spacing w:before="240"/>
        <w:jc w:val="center"/>
        <w:rPr>
          <w:u w:val="single"/>
        </w:rPr>
      </w:pPr>
      <w:r>
        <w:rPr>
          <w:u w:val="single"/>
        </w:rPr>
        <w:tab/>
      </w:r>
      <w:r>
        <w:rPr>
          <w:u w:val="single"/>
        </w:rPr>
        <w:tab/>
      </w:r>
      <w:r>
        <w:rPr>
          <w:u w:val="single"/>
        </w:rPr>
        <w:tab/>
      </w:r>
    </w:p>
    <w:sectPr w:rsidR="00BD650C" w:rsidRPr="00C60354" w:rsidSect="00733A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3AD" w14:textId="77777777" w:rsidR="00B3309A" w:rsidRDefault="00B3309A" w:rsidP="00F95C08">
      <w:pPr>
        <w:spacing w:line="240" w:lineRule="auto"/>
      </w:pPr>
    </w:p>
  </w:endnote>
  <w:endnote w:type="continuationSeparator" w:id="0">
    <w:p w14:paraId="605DFEAC" w14:textId="77777777" w:rsidR="00B3309A" w:rsidRPr="00AC3823" w:rsidRDefault="00B3309A" w:rsidP="00AC3823">
      <w:pPr>
        <w:pStyle w:val="Footer"/>
      </w:pPr>
    </w:p>
  </w:endnote>
  <w:endnote w:type="continuationNotice" w:id="1">
    <w:p w14:paraId="48B772D7" w14:textId="77777777" w:rsidR="00B3309A" w:rsidRDefault="00B330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A9B9" w14:textId="77777777" w:rsidR="00B3309A" w:rsidRPr="00B3309A" w:rsidRDefault="00B3309A" w:rsidP="00B3309A">
    <w:pPr>
      <w:pStyle w:val="Footer"/>
      <w:tabs>
        <w:tab w:val="right" w:pos="9638"/>
      </w:tabs>
      <w:rPr>
        <w:sz w:val="18"/>
      </w:rPr>
    </w:pP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2</w:t>
    </w:r>
    <w:r w:rsidRPr="00B33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BE41" w14:textId="77777777" w:rsidR="00B3309A" w:rsidRPr="00B3309A" w:rsidRDefault="00B3309A" w:rsidP="00B3309A">
    <w:pPr>
      <w:pStyle w:val="Footer"/>
      <w:tabs>
        <w:tab w:val="right" w:pos="9638"/>
      </w:tabs>
      <w:rPr>
        <w:b/>
        <w:sz w:val="18"/>
      </w:rPr>
    </w:pPr>
    <w:r>
      <w:tab/>
    </w:r>
    <w:r w:rsidRPr="00B3309A">
      <w:rPr>
        <w:b/>
        <w:sz w:val="18"/>
      </w:rPr>
      <w:fldChar w:fldCharType="begin"/>
    </w:r>
    <w:r w:rsidRPr="00B3309A">
      <w:rPr>
        <w:b/>
        <w:sz w:val="18"/>
      </w:rPr>
      <w:instrText xml:space="preserve"> PAGE  \* MERGEFORMAT </w:instrText>
    </w:r>
    <w:r w:rsidRPr="00B3309A">
      <w:rPr>
        <w:b/>
        <w:sz w:val="18"/>
      </w:rPr>
      <w:fldChar w:fldCharType="separate"/>
    </w:r>
    <w:r w:rsidRPr="00B3309A">
      <w:rPr>
        <w:b/>
        <w:noProof/>
        <w:sz w:val="18"/>
      </w:rPr>
      <w:t>3</w:t>
    </w:r>
    <w:r w:rsidRPr="00B33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4A6" w14:textId="77777777" w:rsidR="000D3EE9" w:rsidRPr="00B3309A"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7B10"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Separator" w:id="0">
    <w:p w14:paraId="0316D227" w14:textId="77777777" w:rsidR="00B3309A" w:rsidRPr="00AC3823" w:rsidRDefault="00B3309A" w:rsidP="00AC3823">
      <w:pPr>
        <w:pStyle w:val="Footer"/>
        <w:tabs>
          <w:tab w:val="right" w:pos="2155"/>
        </w:tabs>
        <w:spacing w:after="80" w:line="240" w:lineRule="atLeast"/>
        <w:ind w:left="680"/>
        <w:rPr>
          <w:u w:val="single"/>
        </w:rPr>
      </w:pPr>
      <w:r>
        <w:rPr>
          <w:u w:val="single"/>
        </w:rPr>
        <w:tab/>
      </w:r>
    </w:p>
  </w:footnote>
  <w:footnote w:type="continuationNotice" w:id="1">
    <w:p w14:paraId="261CC53F" w14:textId="77777777" w:rsidR="00B3309A" w:rsidRPr="00AC3823" w:rsidRDefault="00B3309A">
      <w:pPr>
        <w:spacing w:line="240" w:lineRule="auto"/>
        <w:rPr>
          <w:sz w:val="2"/>
          <w:szCs w:val="2"/>
        </w:rPr>
      </w:pPr>
    </w:p>
  </w:footnote>
  <w:footnote w:id="2">
    <w:p w14:paraId="37347FD4" w14:textId="0EBADF70" w:rsidR="00BD650C" w:rsidRPr="00BD650C" w:rsidRDefault="00BD650C">
      <w:pPr>
        <w:pStyle w:val="FootnoteText"/>
      </w:pPr>
      <w:r>
        <w:rPr>
          <w:rStyle w:val="FootnoteReference"/>
        </w:rPr>
        <w:tab/>
      </w:r>
      <w:r w:rsidRPr="00C60354">
        <w:rPr>
          <w:rStyle w:val="FootnoteReference"/>
          <w:sz w:val="20"/>
        </w:rPr>
        <w:t>*</w:t>
      </w:r>
      <w:r>
        <w:rPr>
          <w:rStyle w:val="FootnoteReference"/>
          <w:sz w:val="20"/>
          <w:vertAlign w:val="baseline"/>
        </w:rPr>
        <w:tab/>
      </w:r>
      <w:r w:rsidRPr="00904815">
        <w:rPr>
          <w:lang w:val="fr-FR"/>
        </w:rPr>
        <w:t>Diffusé en langue allemande par la Commission centrale pour la navigation du Rhin sous la cote CCNR/ZKR/ADN/WP.15/AC.2/2020/</w:t>
      </w:r>
      <w:r w:rsidR="003F7675">
        <w:rPr>
          <w:lang w:val="fr-FR"/>
        </w:rPr>
        <w:t>2</w:t>
      </w:r>
      <w:r w:rsidR="006D654F">
        <w:rPr>
          <w:lang w:val="fr-FR"/>
        </w:rPr>
        <w:t>9</w:t>
      </w:r>
      <w:r w:rsidRPr="00904815">
        <w:rPr>
          <w:lang w:val="fr-FR"/>
        </w:rPr>
        <w:t>.</w:t>
      </w:r>
    </w:p>
  </w:footnote>
  <w:footnote w:id="3">
    <w:p w14:paraId="7418C260" w14:textId="37DC5368" w:rsidR="00C60354" w:rsidRPr="00C60354" w:rsidRDefault="00C60354" w:rsidP="0027401B">
      <w:pPr>
        <w:pStyle w:val="FootnoteText"/>
      </w:pPr>
      <w:r w:rsidRPr="00C60354">
        <w:rPr>
          <w:rStyle w:val="FootnoteReference"/>
        </w:rPr>
        <w:tab/>
      </w:r>
      <w:r w:rsidRPr="00C60354">
        <w:rPr>
          <w:rStyle w:val="FootnoteReference"/>
          <w:sz w:val="20"/>
        </w:rPr>
        <w:t>**</w:t>
      </w:r>
      <w:r>
        <w:rPr>
          <w:rStyle w:val="FootnoteReference"/>
          <w:sz w:val="20"/>
          <w:vertAlign w:val="baseline"/>
        </w:rPr>
        <w:tab/>
      </w:r>
      <w:r w:rsidR="0027401B" w:rsidRPr="00274FFA">
        <w:t xml:space="preserve"> Conformément au programme de travail du Comité des transports intérieurs pour 2020 tel qu’il figure dans le projet de budget-programme pour 2020 (A/74/6 (titre V, chap. 20), par. 20.37)</w:t>
      </w:r>
      <w:r w:rsidRPr="00904815">
        <w:rPr>
          <w:lang w:val="fr-FR"/>
        </w:rPr>
        <w:t>.</w:t>
      </w:r>
    </w:p>
  </w:footnote>
  <w:footnote w:id="4">
    <w:p w14:paraId="01253413" w14:textId="4950BF7A" w:rsidR="006D654F" w:rsidRPr="002B0CD4" w:rsidRDefault="00204D74" w:rsidP="00204D74">
      <w:pPr>
        <w:pStyle w:val="FootnoteText"/>
        <w:rPr>
          <w:lang w:val="fr-FR"/>
        </w:rPr>
      </w:pPr>
      <w:r>
        <w:rPr>
          <w:vertAlign w:val="superscript"/>
          <w:lang w:val="fr-FR"/>
        </w:rPr>
        <w:tab/>
      </w:r>
      <w:r w:rsidR="006D654F" w:rsidRPr="002B0CD4">
        <w:rPr>
          <w:rStyle w:val="FootnoteReference"/>
          <w:lang w:val="fr-FR"/>
        </w:rPr>
        <w:footnoteRef/>
      </w:r>
      <w:r>
        <w:rPr>
          <w:vertAlign w:val="superscript"/>
          <w:lang w:val="fr-FR"/>
        </w:rPr>
        <w:tab/>
      </w:r>
      <w:r w:rsidR="006D654F" w:rsidRPr="002B0CD4">
        <w:rPr>
          <w:vertAlign w:val="superscript"/>
          <w:lang w:val="fr-FR"/>
        </w:rPr>
        <w:tab/>
      </w:r>
      <w:r w:rsidR="006D654F" w:rsidRPr="00204D74">
        <w:t>Journal</w:t>
      </w:r>
      <w:r w:rsidR="006D654F" w:rsidRPr="002B0CD4">
        <w:rPr>
          <w:lang w:val="fr-FR"/>
        </w:rPr>
        <w:t xml:space="preserve"> officiel des Communautés européennes No L 23 du 28 janvier 2000,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812B" w14:textId="22FEBEE4" w:rsidR="00B3309A" w:rsidRPr="00B3309A" w:rsidRDefault="00A65B16">
    <w:pPr>
      <w:pStyle w:val="Header"/>
    </w:pPr>
    <w:r>
      <w:t>ECE/TRANS/WP.15/AC.2/2020/</w:t>
    </w:r>
    <w:r w:rsidR="0092376A">
      <w:t>2</w:t>
    </w:r>
    <w:r w:rsidR="006D654F">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7A84" w14:textId="0D2B8B55" w:rsidR="00B3309A" w:rsidRPr="00B3309A" w:rsidRDefault="00A65B16" w:rsidP="00B3309A">
    <w:pPr>
      <w:pStyle w:val="Header"/>
      <w:jc w:val="right"/>
    </w:pPr>
    <w:r>
      <w:t>ECE/TRANS/WP.15/AC.2/2020/</w:t>
    </w:r>
    <w:r w:rsidR="00932AD2">
      <w:t>2</w:t>
    </w:r>
    <w:r w:rsidR="006D654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C40B37"/>
    <w:multiLevelType w:val="hybridMultilevel"/>
    <w:tmpl w:val="82382EB4"/>
    <w:lvl w:ilvl="0" w:tplc="013EE3D8">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3309A"/>
    <w:rsid w:val="0001207F"/>
    <w:rsid w:val="00017F94"/>
    <w:rsid w:val="00023842"/>
    <w:rsid w:val="00026AA3"/>
    <w:rsid w:val="000334F9"/>
    <w:rsid w:val="0004639C"/>
    <w:rsid w:val="0005789A"/>
    <w:rsid w:val="0007796D"/>
    <w:rsid w:val="000942EE"/>
    <w:rsid w:val="000A52BF"/>
    <w:rsid w:val="000B7790"/>
    <w:rsid w:val="000D3EE9"/>
    <w:rsid w:val="000D62F3"/>
    <w:rsid w:val="00111F2F"/>
    <w:rsid w:val="001433FD"/>
    <w:rsid w:val="0014365E"/>
    <w:rsid w:val="001541D3"/>
    <w:rsid w:val="00156B77"/>
    <w:rsid w:val="00160F85"/>
    <w:rsid w:val="00176178"/>
    <w:rsid w:val="00177140"/>
    <w:rsid w:val="001D400F"/>
    <w:rsid w:val="001D5D0E"/>
    <w:rsid w:val="001E2CC1"/>
    <w:rsid w:val="001F525A"/>
    <w:rsid w:val="00204D74"/>
    <w:rsid w:val="00223272"/>
    <w:rsid w:val="00240333"/>
    <w:rsid w:val="0024779E"/>
    <w:rsid w:val="0027401B"/>
    <w:rsid w:val="00274FFA"/>
    <w:rsid w:val="00277E3D"/>
    <w:rsid w:val="002832AC"/>
    <w:rsid w:val="002D7C93"/>
    <w:rsid w:val="0037241C"/>
    <w:rsid w:val="003819FF"/>
    <w:rsid w:val="003F7675"/>
    <w:rsid w:val="00441C3B"/>
    <w:rsid w:val="00446B0A"/>
    <w:rsid w:val="00446FE5"/>
    <w:rsid w:val="00452396"/>
    <w:rsid w:val="00471288"/>
    <w:rsid w:val="0049687C"/>
    <w:rsid w:val="004E468C"/>
    <w:rsid w:val="005316B0"/>
    <w:rsid w:val="005505B7"/>
    <w:rsid w:val="00573BE5"/>
    <w:rsid w:val="00586ED3"/>
    <w:rsid w:val="00596AA9"/>
    <w:rsid w:val="005B4D0F"/>
    <w:rsid w:val="00627B2C"/>
    <w:rsid w:val="0067451D"/>
    <w:rsid w:val="006949F5"/>
    <w:rsid w:val="006D654F"/>
    <w:rsid w:val="00703D0F"/>
    <w:rsid w:val="00706363"/>
    <w:rsid w:val="007158BB"/>
    <w:rsid w:val="0071601D"/>
    <w:rsid w:val="00725913"/>
    <w:rsid w:val="00733A99"/>
    <w:rsid w:val="0075410D"/>
    <w:rsid w:val="007A62E6"/>
    <w:rsid w:val="00801E32"/>
    <w:rsid w:val="0080684C"/>
    <w:rsid w:val="00807F83"/>
    <w:rsid w:val="0081170A"/>
    <w:rsid w:val="008204DA"/>
    <w:rsid w:val="008535AD"/>
    <w:rsid w:val="00871C75"/>
    <w:rsid w:val="008767E8"/>
    <w:rsid w:val="008776DC"/>
    <w:rsid w:val="00883605"/>
    <w:rsid w:val="008E6043"/>
    <w:rsid w:val="0092376A"/>
    <w:rsid w:val="00932AD2"/>
    <w:rsid w:val="00946636"/>
    <w:rsid w:val="00961E7B"/>
    <w:rsid w:val="009705C8"/>
    <w:rsid w:val="00996B54"/>
    <w:rsid w:val="009C1CF4"/>
    <w:rsid w:val="009F02C9"/>
    <w:rsid w:val="00A228C9"/>
    <w:rsid w:val="00A30353"/>
    <w:rsid w:val="00A62D91"/>
    <w:rsid w:val="00A65B16"/>
    <w:rsid w:val="00A90D54"/>
    <w:rsid w:val="00AA113A"/>
    <w:rsid w:val="00AC3823"/>
    <w:rsid w:val="00AE323C"/>
    <w:rsid w:val="00AF774C"/>
    <w:rsid w:val="00B00181"/>
    <w:rsid w:val="00B00B0D"/>
    <w:rsid w:val="00B3309A"/>
    <w:rsid w:val="00B40927"/>
    <w:rsid w:val="00B50E25"/>
    <w:rsid w:val="00B6085B"/>
    <w:rsid w:val="00B64918"/>
    <w:rsid w:val="00B765F7"/>
    <w:rsid w:val="00BA0CA9"/>
    <w:rsid w:val="00BD650C"/>
    <w:rsid w:val="00BE75AE"/>
    <w:rsid w:val="00C02897"/>
    <w:rsid w:val="00C1626B"/>
    <w:rsid w:val="00C60354"/>
    <w:rsid w:val="00C66A47"/>
    <w:rsid w:val="00C67BF4"/>
    <w:rsid w:val="00C7616F"/>
    <w:rsid w:val="00C96D6E"/>
    <w:rsid w:val="00CB16B5"/>
    <w:rsid w:val="00CE0608"/>
    <w:rsid w:val="00CF2B4E"/>
    <w:rsid w:val="00CF7D52"/>
    <w:rsid w:val="00D1741D"/>
    <w:rsid w:val="00D3439C"/>
    <w:rsid w:val="00D44CF3"/>
    <w:rsid w:val="00D46C8C"/>
    <w:rsid w:val="00DB1831"/>
    <w:rsid w:val="00DD3BFD"/>
    <w:rsid w:val="00DE239D"/>
    <w:rsid w:val="00DF431C"/>
    <w:rsid w:val="00DF6678"/>
    <w:rsid w:val="00E428C8"/>
    <w:rsid w:val="00E478F2"/>
    <w:rsid w:val="00E70056"/>
    <w:rsid w:val="00E732C7"/>
    <w:rsid w:val="00EF2E22"/>
    <w:rsid w:val="00F0592C"/>
    <w:rsid w:val="00F06ED4"/>
    <w:rsid w:val="00F43289"/>
    <w:rsid w:val="00F660DF"/>
    <w:rsid w:val="00F95C08"/>
    <w:rsid w:val="00FA62BA"/>
    <w:rsid w:val="00FC143C"/>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62E3F"/>
  <w15:docId w15:val="{0B2C2902-CEAD-4B13-8667-A7C86A1B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191</TotalTime>
  <Pages>3</Pages>
  <Words>1047</Words>
  <Characters>5794</Characters>
  <Application>Microsoft Office Word</Application>
  <DocSecurity>0</DocSecurity>
  <Lines>156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ECE/TRANS/WP.15/AC.2/2020/14</vt:lpstr>
      <vt:lpstr>ECE/EX/22</vt:lpstr>
    </vt:vector>
  </TitlesOfParts>
  <Company>DCM</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ECE/TRANS/WP.15/AC.2/2020/14</dc:title>
  <dc:subject>FINAL</dc:subject>
  <dc:creator>Marie-Claude Collet</dc:creator>
  <cp:keywords/>
  <dc:description/>
  <cp:lastModifiedBy>Secretariat</cp:lastModifiedBy>
  <cp:revision>11</cp:revision>
  <cp:lastPrinted>2020-05-29T13:12:00Z</cp:lastPrinted>
  <dcterms:created xsi:type="dcterms:W3CDTF">2020-05-27T10:05:00Z</dcterms:created>
  <dcterms:modified xsi:type="dcterms:W3CDTF">2020-05-29T13:18:00Z</dcterms:modified>
</cp:coreProperties>
</file>