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433FD" w:rsidRPr="00DB58B5" w14:paraId="440F0A53" w14:textId="77777777" w:rsidTr="005316B0">
        <w:trPr>
          <w:trHeight w:hRule="exact" w:val="851"/>
        </w:trPr>
        <w:tc>
          <w:tcPr>
            <w:tcW w:w="1276" w:type="dxa"/>
            <w:tcBorders>
              <w:bottom w:val="single" w:sz="4" w:space="0" w:color="auto"/>
            </w:tcBorders>
          </w:tcPr>
          <w:p w14:paraId="29B3E000" w14:textId="77777777" w:rsidR="001433FD" w:rsidRPr="00DB58B5" w:rsidRDefault="001433FD" w:rsidP="0001207F"/>
        </w:tc>
        <w:tc>
          <w:tcPr>
            <w:tcW w:w="2268" w:type="dxa"/>
            <w:tcBorders>
              <w:bottom w:val="single" w:sz="4" w:space="0" w:color="auto"/>
            </w:tcBorders>
            <w:vAlign w:val="bottom"/>
          </w:tcPr>
          <w:p w14:paraId="74A5290D" w14:textId="77777777" w:rsidR="001433FD" w:rsidRPr="00DB58B5" w:rsidRDefault="001433FD" w:rsidP="007D3236">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7F24DBBE" w14:textId="77777777" w:rsidR="001433FD" w:rsidRPr="00DB58B5" w:rsidRDefault="00A91351" w:rsidP="00A91351">
            <w:pPr>
              <w:jc w:val="right"/>
            </w:pPr>
            <w:r w:rsidRPr="00A91351">
              <w:rPr>
                <w:sz w:val="40"/>
              </w:rPr>
              <w:t>ECE</w:t>
            </w:r>
            <w:r>
              <w:t>/TRANS/WP.15/AC.2/2020/9</w:t>
            </w:r>
          </w:p>
        </w:tc>
      </w:tr>
      <w:tr w:rsidR="001433FD" w:rsidRPr="00DB58B5" w14:paraId="2A816A2B" w14:textId="77777777" w:rsidTr="007D3236">
        <w:trPr>
          <w:trHeight w:hRule="exact" w:val="2835"/>
        </w:trPr>
        <w:tc>
          <w:tcPr>
            <w:tcW w:w="1276" w:type="dxa"/>
            <w:tcBorders>
              <w:top w:val="single" w:sz="4" w:space="0" w:color="auto"/>
              <w:bottom w:val="single" w:sz="12" w:space="0" w:color="auto"/>
            </w:tcBorders>
          </w:tcPr>
          <w:p w14:paraId="100BE733" w14:textId="77777777" w:rsidR="001433FD" w:rsidRPr="00DB58B5" w:rsidRDefault="001433FD" w:rsidP="007D3236">
            <w:pPr>
              <w:spacing w:before="120"/>
              <w:jc w:val="center"/>
            </w:pPr>
            <w:r>
              <w:rPr>
                <w:noProof/>
                <w:lang w:eastAsia="fr-CH"/>
              </w:rPr>
              <w:drawing>
                <wp:inline distT="0" distB="0" distL="0" distR="0" wp14:anchorId="41DC5D2A" wp14:editId="3DEEEFD2">
                  <wp:extent cx="714375" cy="590550"/>
                  <wp:effectExtent l="0" t="0" r="9525" b="0"/>
                  <wp:docPr id="3"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3B14939" w14:textId="77777777" w:rsidR="001433FD" w:rsidRPr="00740562" w:rsidRDefault="001433FD" w:rsidP="007D3236">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3352E44D" w14:textId="77777777" w:rsidR="0001207F" w:rsidRDefault="00A91351" w:rsidP="00A91351">
            <w:pPr>
              <w:spacing w:before="240" w:line="240" w:lineRule="exact"/>
            </w:pPr>
            <w:proofErr w:type="spellStart"/>
            <w:r>
              <w:t>Distr</w:t>
            </w:r>
            <w:proofErr w:type="spellEnd"/>
            <w:r>
              <w:t xml:space="preserve">. </w:t>
            </w:r>
            <w:proofErr w:type="gramStart"/>
            <w:r>
              <w:t>générale</w:t>
            </w:r>
            <w:proofErr w:type="gramEnd"/>
          </w:p>
          <w:p w14:paraId="0E0D3A96" w14:textId="77777777" w:rsidR="00A91351" w:rsidRDefault="00444890" w:rsidP="00A91351">
            <w:pPr>
              <w:spacing w:line="240" w:lineRule="exact"/>
            </w:pPr>
            <w:r>
              <w:t xml:space="preserve">11 </w:t>
            </w:r>
            <w:bookmarkStart w:id="0" w:name="_GoBack"/>
            <w:bookmarkEnd w:id="0"/>
            <w:r w:rsidR="00A91351">
              <w:t>novembre 2019</w:t>
            </w:r>
          </w:p>
          <w:p w14:paraId="2C8D5373" w14:textId="77777777" w:rsidR="00A91351" w:rsidRDefault="00A91351" w:rsidP="00A91351">
            <w:pPr>
              <w:spacing w:line="240" w:lineRule="exact"/>
            </w:pPr>
          </w:p>
          <w:p w14:paraId="44C73D24" w14:textId="77777777" w:rsidR="00A91351" w:rsidRPr="00DB58B5" w:rsidRDefault="00A91351" w:rsidP="00A91351">
            <w:pPr>
              <w:spacing w:line="240" w:lineRule="exact"/>
            </w:pPr>
            <w:r>
              <w:t>Original : français</w:t>
            </w:r>
          </w:p>
        </w:tc>
      </w:tr>
    </w:tbl>
    <w:p w14:paraId="41D2B02A" w14:textId="77777777" w:rsidR="003F0F88" w:rsidRDefault="003F0F88" w:rsidP="00FD1581">
      <w:pPr>
        <w:spacing w:before="120"/>
        <w:rPr>
          <w:b/>
          <w:sz w:val="28"/>
          <w:szCs w:val="28"/>
        </w:rPr>
      </w:pPr>
      <w:r w:rsidRPr="00883605">
        <w:rPr>
          <w:b/>
          <w:sz w:val="28"/>
          <w:szCs w:val="28"/>
        </w:rPr>
        <w:t>Commission économique pour l’Europe</w:t>
      </w:r>
    </w:p>
    <w:p w14:paraId="4ABD0C1B" w14:textId="77777777" w:rsidR="003F0F88" w:rsidRDefault="003F0F88" w:rsidP="00FD1581">
      <w:pPr>
        <w:spacing w:before="120"/>
        <w:rPr>
          <w:sz w:val="28"/>
          <w:szCs w:val="28"/>
        </w:rPr>
      </w:pPr>
      <w:r w:rsidRPr="00685843">
        <w:rPr>
          <w:sz w:val="28"/>
          <w:szCs w:val="28"/>
        </w:rPr>
        <w:t>Comité des transports intérieurs</w:t>
      </w:r>
    </w:p>
    <w:p w14:paraId="51864146" w14:textId="77777777" w:rsidR="003F0F88" w:rsidRPr="009E01B8" w:rsidRDefault="003F0F88" w:rsidP="00FD1581">
      <w:pPr>
        <w:spacing w:before="120"/>
        <w:rPr>
          <w:b/>
          <w:sz w:val="24"/>
          <w:szCs w:val="24"/>
        </w:rPr>
      </w:pPr>
      <w:r w:rsidRPr="009E01B8">
        <w:rPr>
          <w:b/>
          <w:sz w:val="24"/>
          <w:szCs w:val="24"/>
        </w:rPr>
        <w:t>Groupe de travail des transports</w:t>
      </w:r>
      <w:r>
        <w:rPr>
          <w:b/>
          <w:sz w:val="24"/>
          <w:szCs w:val="24"/>
        </w:rPr>
        <w:t xml:space="preserve"> </w:t>
      </w:r>
      <w:r w:rsidRPr="009E01B8">
        <w:rPr>
          <w:b/>
          <w:sz w:val="24"/>
          <w:szCs w:val="24"/>
        </w:rPr>
        <w:t>de marchandises dangereuses</w:t>
      </w:r>
    </w:p>
    <w:p w14:paraId="2682EFA0" w14:textId="77777777" w:rsidR="003F0F88" w:rsidRPr="004812F5" w:rsidRDefault="003F0F88" w:rsidP="00FD1581">
      <w:pPr>
        <w:spacing w:before="120"/>
        <w:rPr>
          <w:b/>
        </w:rPr>
      </w:pPr>
      <w:r w:rsidRPr="004812F5">
        <w:rPr>
          <w:b/>
          <w:lang w:val="fr-FR"/>
        </w:rPr>
        <w:t>Réunion commune d’experts sur le Règlement annexé</w:t>
      </w:r>
      <w:r>
        <w:rPr>
          <w:b/>
          <w:lang w:val="fr-FR"/>
        </w:rPr>
        <w:t xml:space="preserve"> </w:t>
      </w:r>
      <w:r>
        <w:rPr>
          <w:b/>
          <w:lang w:val="fr-FR"/>
        </w:rPr>
        <w:br/>
      </w:r>
      <w:r w:rsidRPr="004812F5">
        <w:rPr>
          <w:b/>
          <w:lang w:val="fr-FR"/>
        </w:rPr>
        <w:t>à l’Accord européen</w:t>
      </w:r>
      <w:r>
        <w:rPr>
          <w:b/>
          <w:lang w:val="fr-FR"/>
        </w:rPr>
        <w:t xml:space="preserve"> </w:t>
      </w:r>
      <w:r w:rsidRPr="004812F5">
        <w:rPr>
          <w:b/>
          <w:lang w:val="fr-FR"/>
        </w:rPr>
        <w:t>relatif au transport international</w:t>
      </w:r>
      <w:r>
        <w:rPr>
          <w:b/>
          <w:lang w:val="fr-FR"/>
        </w:rPr>
        <w:t xml:space="preserve"> </w:t>
      </w:r>
      <w:r>
        <w:rPr>
          <w:b/>
          <w:lang w:val="fr-FR"/>
        </w:rPr>
        <w:br/>
      </w:r>
      <w:r w:rsidRPr="004812F5">
        <w:rPr>
          <w:b/>
          <w:lang w:val="fr-FR"/>
        </w:rPr>
        <w:t xml:space="preserve">des marchandises </w:t>
      </w:r>
      <w:r w:rsidRPr="004812F5">
        <w:rPr>
          <w:b/>
          <w:bCs/>
          <w:iCs/>
          <w:lang w:val="fr-FR"/>
        </w:rPr>
        <w:t>dangereuses par voies</w:t>
      </w:r>
      <w:r>
        <w:rPr>
          <w:b/>
          <w:bCs/>
          <w:iCs/>
          <w:lang w:val="fr-FR"/>
        </w:rPr>
        <w:t xml:space="preserve"> </w:t>
      </w:r>
      <w:r w:rsidRPr="004812F5">
        <w:rPr>
          <w:b/>
          <w:bCs/>
          <w:iCs/>
          <w:lang w:val="fr-FR"/>
        </w:rPr>
        <w:t>de navigation</w:t>
      </w:r>
      <w:r>
        <w:rPr>
          <w:b/>
          <w:bCs/>
          <w:iCs/>
          <w:lang w:val="fr-FR"/>
        </w:rPr>
        <w:t xml:space="preserve"> </w:t>
      </w:r>
      <w:r>
        <w:rPr>
          <w:b/>
          <w:bCs/>
          <w:iCs/>
          <w:lang w:val="fr-FR"/>
        </w:rPr>
        <w:br/>
      </w:r>
      <w:r w:rsidRPr="004812F5">
        <w:rPr>
          <w:b/>
          <w:bCs/>
          <w:iCs/>
          <w:lang w:val="fr-FR"/>
        </w:rPr>
        <w:t xml:space="preserve">intérieures (ADN) </w:t>
      </w:r>
      <w:r w:rsidRPr="004812F5">
        <w:rPr>
          <w:b/>
          <w:bCs/>
          <w:lang w:val="fr-FR"/>
        </w:rPr>
        <w:t>(Comité de sécurité de l’ADN)</w:t>
      </w:r>
    </w:p>
    <w:p w14:paraId="082F94C3" w14:textId="77777777" w:rsidR="003F0F88" w:rsidRPr="00234E40" w:rsidRDefault="003F0F88" w:rsidP="00FD1581">
      <w:pPr>
        <w:spacing w:before="120"/>
        <w:rPr>
          <w:b/>
        </w:rPr>
      </w:pPr>
      <w:r>
        <w:rPr>
          <w:b/>
        </w:rPr>
        <w:t xml:space="preserve">Trente-sixième </w:t>
      </w:r>
      <w:r w:rsidRPr="00234E40">
        <w:rPr>
          <w:b/>
        </w:rPr>
        <w:t>session</w:t>
      </w:r>
    </w:p>
    <w:p w14:paraId="246AA2D5" w14:textId="77777777" w:rsidR="003F0F88" w:rsidRPr="00711C87" w:rsidRDefault="003F0F88" w:rsidP="00FD1581">
      <w:r w:rsidRPr="00711C87">
        <w:t>Genève, 27-31 janvier 2020</w:t>
      </w:r>
    </w:p>
    <w:p w14:paraId="29F57C61" w14:textId="77777777" w:rsidR="003F0F88" w:rsidRDefault="003F0F88" w:rsidP="00FD1581">
      <w:r w:rsidRPr="00711C87">
        <w:t>Point 4 c) de l’ordre du jour provisoire</w:t>
      </w:r>
    </w:p>
    <w:p w14:paraId="49B15527" w14:textId="77777777" w:rsidR="00711C87" w:rsidRPr="00711C87" w:rsidRDefault="00711C87" w:rsidP="00FD1581">
      <w:pPr>
        <w:rPr>
          <w:b/>
          <w:bCs/>
        </w:rPr>
      </w:pPr>
      <w:r w:rsidRPr="00711C87">
        <w:rPr>
          <w:b/>
          <w:bCs/>
        </w:rPr>
        <w:t>Mise en œuvre de l’Accord européen relatif au transport international</w:t>
      </w:r>
    </w:p>
    <w:p w14:paraId="331C90AF" w14:textId="77777777" w:rsidR="00711C87" w:rsidRPr="00711C87" w:rsidRDefault="00A60A9E" w:rsidP="00FD1581">
      <w:pPr>
        <w:rPr>
          <w:b/>
          <w:bCs/>
        </w:rPr>
      </w:pPr>
      <w:proofErr w:type="gramStart"/>
      <w:r>
        <w:rPr>
          <w:b/>
          <w:bCs/>
        </w:rPr>
        <w:t>d</w:t>
      </w:r>
      <w:r w:rsidR="00711C87" w:rsidRPr="00711C87">
        <w:rPr>
          <w:b/>
          <w:bCs/>
        </w:rPr>
        <w:t>es</w:t>
      </w:r>
      <w:proofErr w:type="gramEnd"/>
      <w:r w:rsidR="00711C87" w:rsidRPr="00711C87">
        <w:rPr>
          <w:b/>
          <w:bCs/>
        </w:rPr>
        <w:t xml:space="preserve"> marchandises dangereuses par voies de navigation intérieures (ADN) :</w:t>
      </w:r>
    </w:p>
    <w:p w14:paraId="69E76968" w14:textId="77777777" w:rsidR="003F0F88" w:rsidRDefault="00711C87" w:rsidP="00FD1581">
      <w:pPr>
        <w:rPr>
          <w:b/>
          <w:bCs/>
        </w:rPr>
      </w:pPr>
      <w:proofErr w:type="gramStart"/>
      <w:r>
        <w:rPr>
          <w:b/>
          <w:bCs/>
        </w:rPr>
        <w:t>i</w:t>
      </w:r>
      <w:r w:rsidR="003F0F88" w:rsidRPr="00711C87">
        <w:rPr>
          <w:b/>
          <w:bCs/>
        </w:rPr>
        <w:t>nterprétation</w:t>
      </w:r>
      <w:proofErr w:type="gramEnd"/>
      <w:r w:rsidR="003F0F88" w:rsidRPr="00711C87">
        <w:rPr>
          <w:b/>
          <w:bCs/>
        </w:rPr>
        <w:t xml:space="preserve"> du Règlement annexé à l’ADN</w:t>
      </w:r>
    </w:p>
    <w:p w14:paraId="6DC3A0D5" w14:textId="77777777" w:rsidR="003F0F88" w:rsidRDefault="003F0F88" w:rsidP="003F0F88">
      <w:pPr>
        <w:pStyle w:val="HChG"/>
        <w:rPr>
          <w:lang w:val="fr-FR"/>
        </w:rPr>
      </w:pPr>
      <w:r w:rsidRPr="00DA025F">
        <w:rPr>
          <w:lang w:val="fr-FR"/>
        </w:rPr>
        <w:tab/>
      </w:r>
      <w:r w:rsidRPr="00DA025F">
        <w:rPr>
          <w:lang w:val="fr-FR"/>
        </w:rPr>
        <w:tab/>
        <w:t xml:space="preserve">1.6.7.2.2.1 en comparaison avec 1.6.7.2.2.2 </w:t>
      </w:r>
      <w:r w:rsidR="005536C2">
        <w:rPr>
          <w:lang w:val="fr-FR"/>
        </w:rPr>
        <w:t xml:space="preserve">et </w:t>
      </w:r>
      <w:r w:rsidRPr="00DA025F">
        <w:rPr>
          <w:lang w:val="fr-FR"/>
        </w:rPr>
        <w:t xml:space="preserve">paragraphe 9.3.3.8.1 </w:t>
      </w:r>
      <w:r w:rsidR="005536C2">
        <w:rPr>
          <w:lang w:val="fr-FR"/>
        </w:rPr>
        <w:t>de l’</w:t>
      </w:r>
      <w:r w:rsidRPr="00DA025F">
        <w:rPr>
          <w:lang w:val="fr-FR"/>
        </w:rPr>
        <w:t>ADN – Maintien de la classe</w:t>
      </w:r>
    </w:p>
    <w:p w14:paraId="04FDF45B" w14:textId="77777777" w:rsidR="003F0F88" w:rsidRPr="00A60A9E" w:rsidRDefault="003F0F88" w:rsidP="003F0F88">
      <w:pPr>
        <w:pStyle w:val="H1G"/>
        <w:rPr>
          <w:b w:val="0"/>
          <w:bCs/>
          <w:sz w:val="18"/>
          <w:szCs w:val="18"/>
          <w:vertAlign w:val="superscript"/>
          <w:lang w:val="fr-FR"/>
        </w:rPr>
      </w:pPr>
      <w:r>
        <w:rPr>
          <w:lang w:val="fr-FR"/>
        </w:rPr>
        <w:tab/>
      </w:r>
      <w:r>
        <w:rPr>
          <w:lang w:val="fr-FR"/>
        </w:rPr>
        <w:tab/>
      </w:r>
      <w:r w:rsidRPr="00DA025F">
        <w:rPr>
          <w:lang w:val="fr-FR"/>
        </w:rPr>
        <w:t>Communication du Gouvernement de l’Allemagne</w:t>
      </w:r>
      <w:r w:rsidRPr="00A60A9E">
        <w:rPr>
          <w:rStyle w:val="FootnoteReference"/>
          <w:b w:val="0"/>
          <w:bCs/>
          <w:sz w:val="20"/>
        </w:rPr>
        <w:footnoteReference w:customMarkFollows="1" w:id="2"/>
        <w:t>*</w:t>
      </w:r>
      <w:r w:rsidRPr="00A60A9E">
        <w:rPr>
          <w:sz w:val="20"/>
          <w:vertAlign w:val="superscript"/>
        </w:rPr>
        <w:t xml:space="preserve">, </w:t>
      </w:r>
      <w:r w:rsidRPr="00A60A9E">
        <w:rPr>
          <w:rStyle w:val="FootnoteReference"/>
          <w:b w:val="0"/>
          <w:bCs/>
          <w:sz w:val="20"/>
        </w:rPr>
        <w:footnoteReference w:customMarkFollows="1" w:id="3"/>
        <w:t>**</w:t>
      </w:r>
      <w:r w:rsidRPr="00A60A9E">
        <w:rPr>
          <w:b w:val="0"/>
          <w:bCs/>
          <w:sz w:val="18"/>
          <w:szCs w:val="18"/>
          <w:vertAlign w:val="superscript"/>
          <w:lang w:val="fr-FR"/>
        </w:rPr>
        <w:t xml:space="preserve"> </w:t>
      </w:r>
    </w:p>
    <w:p w14:paraId="1D940CF8" w14:textId="77777777" w:rsidR="003F0F88" w:rsidRPr="00DA025F" w:rsidRDefault="003F0F88" w:rsidP="00DA283D">
      <w:pPr>
        <w:pStyle w:val="HChG"/>
        <w:rPr>
          <w:b w:val="0"/>
          <w:bCs/>
          <w:lang w:val="fr-FR"/>
        </w:rPr>
      </w:pPr>
      <w:r>
        <w:rPr>
          <w:lang w:val="fr-FR"/>
        </w:rPr>
        <w:tab/>
      </w:r>
      <w:r w:rsidRPr="00DA025F">
        <w:rPr>
          <w:lang w:val="fr-FR"/>
        </w:rPr>
        <w:tab/>
        <w:t>Introduction</w:t>
      </w:r>
    </w:p>
    <w:p w14:paraId="53C24BA0" w14:textId="77777777" w:rsidR="003F0F88" w:rsidRPr="00DA025F" w:rsidRDefault="003F0F88" w:rsidP="00DA283D">
      <w:pPr>
        <w:pStyle w:val="SingleTxtG"/>
        <w:ind w:right="851"/>
        <w:rPr>
          <w:bCs/>
          <w:lang w:val="fr-FR"/>
        </w:rPr>
      </w:pPr>
      <w:r w:rsidRPr="00DA025F">
        <w:rPr>
          <w:lang w:val="fr-FR"/>
        </w:rPr>
        <w:t>1.</w:t>
      </w:r>
      <w:r w:rsidRPr="00DA025F">
        <w:rPr>
          <w:lang w:val="fr-FR"/>
        </w:rPr>
        <w:tab/>
        <w:t xml:space="preserve">Un bateau en service peut bénéficier des </w:t>
      </w:r>
      <w:r>
        <w:rPr>
          <w:lang w:val="fr-FR"/>
        </w:rPr>
        <w:t>dispositions transitoires</w:t>
      </w:r>
      <w:r>
        <w:rPr>
          <w:rStyle w:val="FootnoteReference"/>
          <w:bCs/>
        </w:rPr>
        <w:footnoteReference w:id="4"/>
      </w:r>
      <w:r w:rsidRPr="00DA025F">
        <w:rPr>
          <w:lang w:val="fr-FR"/>
        </w:rPr>
        <w:t xml:space="preserve"> du 1.6.7 </w:t>
      </w:r>
      <w:r w:rsidR="005536C2">
        <w:rPr>
          <w:lang w:val="fr-FR"/>
        </w:rPr>
        <w:t>de l’</w:t>
      </w:r>
      <w:r w:rsidRPr="00DA025F">
        <w:rPr>
          <w:lang w:val="fr-FR"/>
        </w:rPr>
        <w:t>ADN.</w:t>
      </w:r>
    </w:p>
    <w:p w14:paraId="5FDC288B" w14:textId="77777777" w:rsidR="003F0F88" w:rsidRPr="00DA025F" w:rsidRDefault="003F0F88" w:rsidP="004C211F">
      <w:pPr>
        <w:pStyle w:val="SingleTxtG"/>
        <w:ind w:right="851"/>
        <w:rPr>
          <w:bCs/>
          <w:lang w:val="fr-FR"/>
        </w:rPr>
      </w:pPr>
      <w:r w:rsidRPr="00DA025F">
        <w:rPr>
          <w:lang w:val="fr-FR"/>
        </w:rPr>
        <w:t>2.</w:t>
      </w:r>
      <w:r w:rsidRPr="00DA025F">
        <w:rPr>
          <w:lang w:val="fr-FR"/>
        </w:rPr>
        <w:tab/>
        <w:t xml:space="preserve">Selon le 1.6.7.2.2.2 </w:t>
      </w:r>
      <w:r w:rsidR="005536C2">
        <w:rPr>
          <w:lang w:val="fr-FR"/>
        </w:rPr>
        <w:t>de l’</w:t>
      </w:r>
      <w:r w:rsidRPr="00DA025F">
        <w:rPr>
          <w:lang w:val="fr-FR"/>
        </w:rPr>
        <w:t xml:space="preserve">ADN, tableau des </w:t>
      </w:r>
      <w:r>
        <w:rPr>
          <w:lang w:val="fr-FR"/>
        </w:rPr>
        <w:t>dispositions transitoires</w:t>
      </w:r>
      <w:r w:rsidRPr="00DA025F">
        <w:rPr>
          <w:lang w:val="fr-FR"/>
        </w:rPr>
        <w:t xml:space="preserve"> générales : bateaux-citernes, </w:t>
      </w:r>
      <w:r>
        <w:rPr>
          <w:lang w:val="fr-FR"/>
        </w:rPr>
        <w:t>disposition transitoire</w:t>
      </w:r>
      <w:r w:rsidRPr="00DA025F">
        <w:rPr>
          <w:lang w:val="fr-FR"/>
        </w:rPr>
        <w:t xml:space="preserve"> ad 9.3.3.8.1, Maintien de la classe, les bateaux de type N ouvert en service doivent être équipés d</w:t>
      </w:r>
      <w:r w:rsidR="004C211F">
        <w:rPr>
          <w:rFonts w:hint="eastAsia"/>
          <w:lang w:val="fr-FR"/>
        </w:rPr>
        <w:t>’</w:t>
      </w:r>
      <w:r w:rsidRPr="00DA025F">
        <w:rPr>
          <w:lang w:val="fr-FR"/>
        </w:rPr>
        <w:t>un coupe-flammes et les bateaux de type N ouvert ne sont tenus de satisfaire à l</w:t>
      </w:r>
      <w:r w:rsidR="004C211F">
        <w:rPr>
          <w:rFonts w:hint="eastAsia"/>
          <w:lang w:val="fr-FR"/>
        </w:rPr>
        <w:t>’</w:t>
      </w:r>
      <w:r w:rsidRPr="00DA025F">
        <w:rPr>
          <w:lang w:val="fr-FR"/>
        </w:rPr>
        <w:t>exigence du maintien de la classe qu</w:t>
      </w:r>
      <w:r w:rsidR="004C211F">
        <w:rPr>
          <w:rFonts w:hint="eastAsia"/>
          <w:lang w:val="fr-FR"/>
        </w:rPr>
        <w:t>’</w:t>
      </w:r>
      <w:r w:rsidRPr="00DA025F">
        <w:rPr>
          <w:lang w:val="fr-FR"/>
        </w:rPr>
        <w:t>au renouvellement du certificat d</w:t>
      </w:r>
      <w:r w:rsidR="004C211F">
        <w:rPr>
          <w:rFonts w:hint="eastAsia"/>
          <w:lang w:val="fr-FR"/>
        </w:rPr>
        <w:t>’</w:t>
      </w:r>
      <w:r w:rsidRPr="00DA025F">
        <w:rPr>
          <w:lang w:val="fr-FR"/>
        </w:rPr>
        <w:t>agrément après le 31 décembre 2044.</w:t>
      </w:r>
    </w:p>
    <w:p w14:paraId="1C0C3A29" w14:textId="77777777" w:rsidR="002F382F" w:rsidRDefault="003F0F88" w:rsidP="002F382F">
      <w:pPr>
        <w:pStyle w:val="SingleTxtG"/>
        <w:ind w:right="851"/>
        <w:rPr>
          <w:b/>
          <w:lang w:val="fr-FR"/>
        </w:rPr>
      </w:pPr>
      <w:r w:rsidRPr="00DA025F">
        <w:rPr>
          <w:lang w:val="fr-FR"/>
        </w:rPr>
        <w:t>3.</w:t>
      </w:r>
      <w:r w:rsidRPr="00DA025F">
        <w:rPr>
          <w:lang w:val="fr-FR"/>
        </w:rPr>
        <w:tab/>
        <w:t xml:space="preserve">Le 9.3.3.8.1 </w:t>
      </w:r>
      <w:r w:rsidR="005536C2">
        <w:rPr>
          <w:lang w:val="fr-FR"/>
        </w:rPr>
        <w:t>de l’</w:t>
      </w:r>
      <w:r w:rsidRPr="00DA025F">
        <w:rPr>
          <w:lang w:val="fr-FR"/>
        </w:rPr>
        <w:t>ADN, entré en vigueur le 1</w:t>
      </w:r>
      <w:r w:rsidRPr="00DA025F">
        <w:rPr>
          <w:vertAlign w:val="superscript"/>
          <w:lang w:val="fr-FR"/>
        </w:rPr>
        <w:t>er</w:t>
      </w:r>
      <w:r w:rsidRPr="00DA025F">
        <w:rPr>
          <w:lang w:val="fr-FR"/>
        </w:rPr>
        <w:t xml:space="preserve"> janvier 2003 avec le passage </w:t>
      </w:r>
      <w:r w:rsidR="00867147">
        <w:rPr>
          <w:lang w:val="fr-FR"/>
        </w:rPr>
        <w:t xml:space="preserve">du </w:t>
      </w:r>
      <w:r w:rsidR="00867147" w:rsidRPr="00232AA2">
        <w:rPr>
          <w:sz w:val="22"/>
          <w:szCs w:val="22"/>
          <w:lang w:val="fr-FR"/>
        </w:rPr>
        <w:t>Règlement pour le transport de matières dangereuses sur le Rhin</w:t>
      </w:r>
      <w:r w:rsidRPr="00DA025F">
        <w:rPr>
          <w:lang w:val="fr-FR"/>
        </w:rPr>
        <w:t xml:space="preserve"> </w:t>
      </w:r>
      <w:r w:rsidR="00867147">
        <w:rPr>
          <w:lang w:val="fr-FR"/>
        </w:rPr>
        <w:t>(</w:t>
      </w:r>
      <w:r w:rsidRPr="00DA025F">
        <w:rPr>
          <w:lang w:val="fr-FR"/>
        </w:rPr>
        <w:t>ADNR</w:t>
      </w:r>
      <w:r w:rsidR="00867147">
        <w:rPr>
          <w:lang w:val="fr-FR"/>
        </w:rPr>
        <w:t>)</w:t>
      </w:r>
      <w:r w:rsidRPr="00DA025F">
        <w:rPr>
          <w:lang w:val="fr-FR"/>
        </w:rPr>
        <w:t xml:space="preserve"> avec ses marginaux à l</w:t>
      </w:r>
      <w:r w:rsidR="004C211F">
        <w:rPr>
          <w:rFonts w:hint="eastAsia"/>
          <w:lang w:val="fr-FR"/>
        </w:rPr>
        <w:t>’</w:t>
      </w:r>
      <w:r w:rsidRPr="00DA025F">
        <w:rPr>
          <w:lang w:val="fr-FR"/>
        </w:rPr>
        <w:t>articulation de l</w:t>
      </w:r>
      <w:r w:rsidR="004C211F">
        <w:rPr>
          <w:rFonts w:hint="eastAsia"/>
          <w:lang w:val="fr-FR"/>
        </w:rPr>
        <w:t>’</w:t>
      </w:r>
      <w:r w:rsidRPr="00DA025F">
        <w:rPr>
          <w:lang w:val="fr-FR"/>
        </w:rPr>
        <w:t>ADN, contenait le libellé suivant, repris également dans l</w:t>
      </w:r>
      <w:r w:rsidR="004C211F">
        <w:rPr>
          <w:rFonts w:hint="eastAsia"/>
          <w:lang w:val="fr-FR"/>
        </w:rPr>
        <w:t>’</w:t>
      </w:r>
      <w:r w:rsidRPr="00DA025F">
        <w:rPr>
          <w:lang w:val="fr-FR"/>
        </w:rPr>
        <w:t>ADN 2009 :</w:t>
      </w:r>
    </w:p>
    <w:p w14:paraId="1C1FEC52" w14:textId="77777777" w:rsidR="003F0F88" w:rsidRPr="00DA025F" w:rsidRDefault="003F0F88" w:rsidP="002F382F">
      <w:pPr>
        <w:pStyle w:val="SingleTxtG"/>
        <w:ind w:left="1701" w:right="851"/>
        <w:rPr>
          <w:lang w:val="fr-FR"/>
        </w:rPr>
      </w:pPr>
      <w:r w:rsidRPr="00DA025F">
        <w:rPr>
          <w:b/>
          <w:lang w:val="fr-FR"/>
        </w:rPr>
        <w:lastRenderedPageBreak/>
        <w:t>« 9.3.3.8.1</w:t>
      </w:r>
      <w:r w:rsidRPr="00DA025F">
        <w:rPr>
          <w:lang w:val="fr-FR"/>
        </w:rPr>
        <w:tab/>
        <w:t>Le bateau-citerne doit être construit sous la surveillance d</w:t>
      </w:r>
      <w:r w:rsidR="004C211F">
        <w:rPr>
          <w:rFonts w:hint="eastAsia"/>
          <w:lang w:val="fr-FR"/>
        </w:rPr>
        <w:t>’</w:t>
      </w:r>
      <w:r w:rsidRPr="00DA025F">
        <w:rPr>
          <w:lang w:val="fr-FR"/>
        </w:rPr>
        <w:t>une société de classification agréée et classé par elle en première cote.</w:t>
      </w:r>
    </w:p>
    <w:p w14:paraId="0FB9CCD3" w14:textId="77777777" w:rsidR="003F0F88" w:rsidRPr="00DA025F" w:rsidRDefault="003F0F88" w:rsidP="005536C2">
      <w:pPr>
        <w:pStyle w:val="SingleTxtG"/>
        <w:ind w:left="1701" w:hanging="567"/>
        <w:rPr>
          <w:bCs/>
          <w:lang w:val="fr-FR"/>
        </w:rPr>
      </w:pPr>
      <w:r w:rsidRPr="00DA025F">
        <w:rPr>
          <w:lang w:val="fr-FR"/>
        </w:rPr>
        <w:tab/>
        <w:t>La classification doit être maintenue en première cote. ».</w:t>
      </w:r>
    </w:p>
    <w:p w14:paraId="65F3759E" w14:textId="77777777" w:rsidR="003F0F88" w:rsidRPr="00DA025F" w:rsidRDefault="003F0F88" w:rsidP="004C211F">
      <w:pPr>
        <w:pStyle w:val="SingleTxtG"/>
        <w:ind w:right="851"/>
        <w:rPr>
          <w:lang w:val="fr-FR"/>
        </w:rPr>
      </w:pPr>
      <w:r w:rsidRPr="00DA025F">
        <w:rPr>
          <w:lang w:val="fr-FR"/>
        </w:rPr>
        <w:t>4.</w:t>
      </w:r>
      <w:r w:rsidRPr="00DA025F">
        <w:rPr>
          <w:lang w:val="fr-FR"/>
        </w:rPr>
        <w:tab/>
        <w:t>Au 1</w:t>
      </w:r>
      <w:r w:rsidRPr="00DA025F">
        <w:rPr>
          <w:vertAlign w:val="superscript"/>
          <w:lang w:val="fr-FR"/>
        </w:rPr>
        <w:t>er</w:t>
      </w:r>
      <w:r w:rsidRPr="00DA025F">
        <w:rPr>
          <w:lang w:val="fr-FR"/>
        </w:rPr>
        <w:t xml:space="preserve"> janvier 2015, lorsque seul l</w:t>
      </w:r>
      <w:r w:rsidR="004C211F">
        <w:rPr>
          <w:rFonts w:hint="eastAsia"/>
          <w:lang w:val="fr-FR"/>
        </w:rPr>
        <w:t>’</w:t>
      </w:r>
      <w:r w:rsidRPr="00DA025F">
        <w:rPr>
          <w:lang w:val="fr-FR"/>
        </w:rPr>
        <w:t>ADN était applicable, a été ajoutée la phrase suivante :</w:t>
      </w:r>
    </w:p>
    <w:p w14:paraId="47F42CBA" w14:textId="77777777" w:rsidR="003F0F88" w:rsidRPr="00DA025F" w:rsidRDefault="003F0F88" w:rsidP="002F382F">
      <w:pPr>
        <w:pStyle w:val="SingleTxtG"/>
        <w:ind w:left="1701" w:right="851"/>
        <w:rPr>
          <w:lang w:val="fr-FR"/>
        </w:rPr>
      </w:pPr>
      <w:r w:rsidRPr="00DA025F">
        <w:rPr>
          <w:lang w:val="fr-FR"/>
        </w:rPr>
        <w:t>« Ceci doit être confirmé par un certificat approprié, délivré par la société de classification agréée (certificat de classification). ».</w:t>
      </w:r>
    </w:p>
    <w:p w14:paraId="7D64BED9" w14:textId="77777777" w:rsidR="003F0F88" w:rsidRDefault="003F0F88" w:rsidP="004C211F">
      <w:pPr>
        <w:pStyle w:val="SingleTxtG"/>
        <w:ind w:right="851"/>
        <w:rPr>
          <w:lang w:val="fr-FR"/>
        </w:rPr>
      </w:pPr>
      <w:r w:rsidRPr="00DA025F">
        <w:rPr>
          <w:lang w:val="fr-FR"/>
        </w:rPr>
        <w:t>5.</w:t>
      </w:r>
      <w:r w:rsidRPr="00DA025F">
        <w:rPr>
          <w:lang w:val="fr-FR"/>
        </w:rPr>
        <w:tab/>
        <w:t xml:space="preserve">La </w:t>
      </w:r>
      <w:r>
        <w:rPr>
          <w:lang w:val="fr-FR"/>
        </w:rPr>
        <w:t>disposition transitoire</w:t>
      </w:r>
      <w:r w:rsidRPr="00DA025F">
        <w:rPr>
          <w:lang w:val="fr-FR"/>
        </w:rPr>
        <w:t xml:space="preserve"> de 1.6.7.2.1 ADNR (état 2003) était libellée comme suit :</w:t>
      </w:r>
    </w:p>
    <w:tbl>
      <w:tblPr>
        <w:tblW w:w="8506" w:type="dxa"/>
        <w:tblInd w:w="1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18"/>
        <w:gridCol w:w="2268"/>
        <w:gridCol w:w="4820"/>
      </w:tblGrid>
      <w:tr w:rsidR="003F0F88" w:rsidRPr="008D2611" w14:paraId="26B67C51" w14:textId="77777777" w:rsidTr="003F0F88">
        <w:trPr>
          <w:cantSplit/>
        </w:trPr>
        <w:tc>
          <w:tcPr>
            <w:tcW w:w="1418" w:type="dxa"/>
          </w:tcPr>
          <w:p w14:paraId="1CFA7E86" w14:textId="77777777" w:rsidR="003F0F88" w:rsidRPr="00DA025F" w:rsidRDefault="003F0F88" w:rsidP="003E62CB">
            <w:pPr>
              <w:widowControl w:val="0"/>
              <w:tabs>
                <w:tab w:val="left" w:pos="170"/>
              </w:tabs>
              <w:suppressAutoHyphens w:val="0"/>
              <w:spacing w:before="60" w:line="200" w:lineRule="exact"/>
              <w:jc w:val="center"/>
              <w:textAlignment w:val="baseline"/>
              <w:rPr>
                <w:lang w:val="fr-FR"/>
              </w:rPr>
            </w:pPr>
            <w:bookmarkStart w:id="1" w:name="_Hlk21939974"/>
            <w:r w:rsidRPr="00DA025F">
              <w:rPr>
                <w:lang w:val="fr-FR"/>
              </w:rPr>
              <w:t>9.3.3.8.1</w:t>
            </w:r>
          </w:p>
          <w:p w14:paraId="50D49F8A" w14:textId="77777777" w:rsidR="003F0F88" w:rsidRPr="00DA025F" w:rsidRDefault="003F0F88" w:rsidP="003E62CB">
            <w:pPr>
              <w:widowControl w:val="0"/>
              <w:suppressAutoHyphens w:val="0"/>
              <w:spacing w:line="200" w:lineRule="exact"/>
              <w:jc w:val="center"/>
              <w:textAlignment w:val="baseline"/>
              <w:rPr>
                <w:lang w:val="fr-FR"/>
              </w:rPr>
            </w:pPr>
            <w:proofErr w:type="gramStart"/>
            <w:r w:rsidRPr="00DA025F">
              <w:rPr>
                <w:lang w:val="fr-FR"/>
              </w:rPr>
              <w:t>en</w:t>
            </w:r>
            <w:proofErr w:type="gramEnd"/>
            <w:r w:rsidRPr="00DA025F">
              <w:rPr>
                <w:lang w:val="fr-FR"/>
              </w:rPr>
              <w:t xml:space="preserve"> liaison avec</w:t>
            </w:r>
          </w:p>
          <w:p w14:paraId="07F94834" w14:textId="77777777" w:rsidR="003F0F88" w:rsidRPr="00DA025F" w:rsidRDefault="003F0F88" w:rsidP="003E62CB">
            <w:pPr>
              <w:widowControl w:val="0"/>
              <w:tabs>
                <w:tab w:val="left" w:pos="170"/>
              </w:tabs>
              <w:suppressAutoHyphens w:val="0"/>
              <w:spacing w:after="60" w:line="200" w:lineRule="exact"/>
              <w:jc w:val="center"/>
              <w:textAlignment w:val="baseline"/>
              <w:rPr>
                <w:lang w:val="fr-FR"/>
              </w:rPr>
            </w:pPr>
            <w:r w:rsidRPr="00DA025F">
              <w:rPr>
                <w:lang w:val="fr-FR"/>
              </w:rPr>
              <w:t>7.2.2.8</w:t>
            </w:r>
          </w:p>
        </w:tc>
        <w:tc>
          <w:tcPr>
            <w:tcW w:w="2268" w:type="dxa"/>
          </w:tcPr>
          <w:p w14:paraId="0153A8EB" w14:textId="77777777" w:rsidR="003F0F88" w:rsidRPr="00DA025F" w:rsidRDefault="003F0F88" w:rsidP="003E62CB">
            <w:pPr>
              <w:widowControl w:val="0"/>
              <w:suppressAutoHyphens w:val="0"/>
              <w:spacing w:before="60" w:line="200" w:lineRule="exact"/>
              <w:textAlignment w:val="baseline"/>
              <w:rPr>
                <w:lang w:val="fr-FR"/>
              </w:rPr>
            </w:pPr>
            <w:r w:rsidRPr="00DA025F">
              <w:rPr>
                <w:lang w:val="fr-FR"/>
              </w:rPr>
              <w:t>Maintien de la classe</w:t>
            </w:r>
          </w:p>
          <w:p w14:paraId="0183F16D" w14:textId="77777777" w:rsidR="003F0F88" w:rsidRPr="00DA025F" w:rsidRDefault="003F0F88" w:rsidP="003E62CB">
            <w:pPr>
              <w:widowControl w:val="0"/>
              <w:tabs>
                <w:tab w:val="left" w:pos="170"/>
              </w:tabs>
              <w:suppressAutoHyphens w:val="0"/>
              <w:spacing w:line="200" w:lineRule="exact"/>
              <w:textAlignment w:val="baseline"/>
              <w:rPr>
                <w:lang w:val="fr-FR"/>
              </w:rPr>
            </w:pPr>
            <w:proofErr w:type="gramStart"/>
            <w:r w:rsidRPr="00DA025F">
              <w:rPr>
                <w:lang w:val="fr-FR"/>
              </w:rPr>
              <w:t>pour</w:t>
            </w:r>
            <w:proofErr w:type="gramEnd"/>
            <w:r w:rsidRPr="00DA025F">
              <w:rPr>
                <w:lang w:val="fr-FR"/>
              </w:rPr>
              <w:t xml:space="preserve"> les types N ouvert avec coupe-flammes</w:t>
            </w:r>
          </w:p>
          <w:p w14:paraId="3DD1A2F6" w14:textId="77777777" w:rsidR="003F0F88" w:rsidRPr="00DA025F" w:rsidRDefault="003F0F88" w:rsidP="003E62CB">
            <w:pPr>
              <w:widowControl w:val="0"/>
              <w:tabs>
                <w:tab w:val="left" w:pos="170"/>
              </w:tabs>
              <w:suppressAutoHyphens w:val="0"/>
              <w:spacing w:line="200" w:lineRule="exact"/>
              <w:textAlignment w:val="baseline"/>
              <w:rPr>
                <w:lang w:val="fr-FR"/>
              </w:rPr>
            </w:pPr>
            <w:proofErr w:type="gramStart"/>
            <w:r w:rsidRPr="00DA025F">
              <w:rPr>
                <w:lang w:val="fr-FR"/>
              </w:rPr>
              <w:t>et</w:t>
            </w:r>
            <w:proofErr w:type="gramEnd"/>
            <w:r w:rsidRPr="00DA025F">
              <w:rPr>
                <w:lang w:val="fr-FR"/>
              </w:rPr>
              <w:t xml:space="preserve"> N ouvert</w:t>
            </w:r>
          </w:p>
        </w:tc>
        <w:tc>
          <w:tcPr>
            <w:tcW w:w="4820" w:type="dxa"/>
          </w:tcPr>
          <w:p w14:paraId="2E659DD5" w14:textId="77777777" w:rsidR="003F0F88" w:rsidRPr="00DA025F" w:rsidRDefault="003F0F88" w:rsidP="004C211F">
            <w:pPr>
              <w:widowControl w:val="0"/>
              <w:suppressAutoHyphens w:val="0"/>
              <w:spacing w:before="60" w:after="60" w:line="200" w:lineRule="exact"/>
              <w:jc w:val="center"/>
              <w:textAlignment w:val="baseline"/>
              <w:rPr>
                <w:lang w:val="fr-FR"/>
              </w:rPr>
            </w:pPr>
            <w:r w:rsidRPr="00DA025F">
              <w:rPr>
                <w:lang w:val="fr-FR"/>
              </w:rPr>
              <w:t>N.R.T. après le 01-01-1995</w:t>
            </w:r>
          </w:p>
          <w:p w14:paraId="0B64B32C" w14:textId="77777777" w:rsidR="003F0F88" w:rsidRPr="00DA025F" w:rsidRDefault="003F0F88" w:rsidP="003E62CB">
            <w:pPr>
              <w:widowControl w:val="0"/>
              <w:suppressAutoHyphens w:val="0"/>
              <w:spacing w:line="200" w:lineRule="exact"/>
              <w:jc w:val="both"/>
              <w:textAlignment w:val="baseline"/>
              <w:rPr>
                <w:lang w:val="fr-FR"/>
              </w:rPr>
            </w:pPr>
            <w:r w:rsidRPr="00DA025F">
              <w:rPr>
                <w:lang w:val="fr-FR"/>
              </w:rPr>
              <w:t>Les prescriptions suivantes sont applicables à bord des bateaux en service :</w:t>
            </w:r>
          </w:p>
          <w:p w14:paraId="313A5AB4" w14:textId="77777777" w:rsidR="003F0F88" w:rsidRPr="00DA025F" w:rsidRDefault="003F0F88" w:rsidP="003E62CB">
            <w:pPr>
              <w:suppressAutoHyphens w:val="0"/>
              <w:spacing w:after="120" w:line="200" w:lineRule="exact"/>
              <w:jc w:val="both"/>
              <w:textAlignment w:val="baseline"/>
              <w:rPr>
                <w:lang w:val="fr-FR"/>
              </w:rPr>
            </w:pPr>
            <w:r w:rsidRPr="00DA025F">
              <w:rPr>
                <w:lang w:val="fr-FR"/>
              </w:rPr>
              <w:t>Sauf prescription différente, le type de construction, la solidité, le compartimentage, l</w:t>
            </w:r>
            <w:r w:rsidR="004C211F">
              <w:rPr>
                <w:rFonts w:hint="eastAsia"/>
                <w:lang w:val="fr-FR"/>
              </w:rPr>
              <w:t>’</w:t>
            </w:r>
            <w:r w:rsidRPr="00DA025F">
              <w:rPr>
                <w:lang w:val="fr-FR"/>
              </w:rPr>
              <w:t>équipement et le gréement du bateau doivent être conformes ou équivalents aux prescriptions de construction pour le classement en première cote d</w:t>
            </w:r>
            <w:r w:rsidR="004C211F">
              <w:rPr>
                <w:rFonts w:hint="eastAsia"/>
                <w:lang w:val="fr-FR"/>
              </w:rPr>
              <w:t>’</w:t>
            </w:r>
            <w:r w:rsidRPr="00DA025F">
              <w:rPr>
                <w:lang w:val="fr-FR"/>
              </w:rPr>
              <w:t>une société de classification agréée.</w:t>
            </w:r>
          </w:p>
        </w:tc>
      </w:tr>
    </w:tbl>
    <w:bookmarkEnd w:id="1"/>
    <w:p w14:paraId="41CBE97F" w14:textId="77777777" w:rsidR="003F0F88" w:rsidRPr="00DA025F" w:rsidRDefault="003F0F88" w:rsidP="004C211F">
      <w:pPr>
        <w:pStyle w:val="SingleTxtG"/>
        <w:spacing w:before="120"/>
        <w:ind w:right="851"/>
        <w:rPr>
          <w:lang w:val="fr-FR"/>
        </w:rPr>
      </w:pPr>
      <w:r>
        <w:rPr>
          <w:lang w:val="fr-FR"/>
        </w:rPr>
        <w:t>6</w:t>
      </w:r>
      <w:r w:rsidRPr="00DA025F">
        <w:rPr>
          <w:lang w:val="fr-FR"/>
        </w:rPr>
        <w:t>.</w:t>
      </w:r>
      <w:r w:rsidRPr="00DA025F">
        <w:rPr>
          <w:lang w:val="fr-FR"/>
        </w:rPr>
        <w:tab/>
        <w:t xml:space="preserve">La </w:t>
      </w:r>
      <w:r>
        <w:rPr>
          <w:lang w:val="fr-FR"/>
        </w:rPr>
        <w:t>disposition transitoire</w:t>
      </w:r>
      <w:r w:rsidRPr="00DA025F">
        <w:rPr>
          <w:lang w:val="fr-FR"/>
        </w:rPr>
        <w:t xml:space="preserve"> suivante a été intégrée dans la première édition du Règlement annexé à l</w:t>
      </w:r>
      <w:r w:rsidR="004C211F">
        <w:rPr>
          <w:rFonts w:hint="eastAsia"/>
          <w:lang w:val="fr-FR"/>
        </w:rPr>
        <w:t>’</w:t>
      </w:r>
      <w:r w:rsidRPr="00DA025F">
        <w:rPr>
          <w:lang w:val="fr-FR"/>
        </w:rPr>
        <w:t>ADN (2009) :</w:t>
      </w:r>
    </w:p>
    <w:tbl>
      <w:tblPr>
        <w:tblW w:w="8506" w:type="dxa"/>
        <w:tblInd w:w="11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18"/>
        <w:gridCol w:w="2268"/>
        <w:gridCol w:w="4820"/>
      </w:tblGrid>
      <w:tr w:rsidR="004C211F" w:rsidRPr="008D2611" w14:paraId="063CEE66" w14:textId="77777777" w:rsidTr="004C211F">
        <w:trPr>
          <w:cantSplit/>
        </w:trPr>
        <w:tc>
          <w:tcPr>
            <w:tcW w:w="1418" w:type="dxa"/>
          </w:tcPr>
          <w:p w14:paraId="46C97E36" w14:textId="77777777" w:rsidR="004C211F" w:rsidRPr="00DA025F" w:rsidRDefault="004C211F" w:rsidP="004C211F">
            <w:pPr>
              <w:widowControl w:val="0"/>
              <w:suppressAutoHyphens w:val="0"/>
              <w:spacing w:before="60" w:line="200" w:lineRule="exact"/>
              <w:jc w:val="center"/>
              <w:textAlignment w:val="baseline"/>
              <w:rPr>
                <w:lang w:val="fr-FR"/>
              </w:rPr>
            </w:pPr>
            <w:r w:rsidRPr="00DA025F">
              <w:rPr>
                <w:lang w:val="fr-FR"/>
              </w:rPr>
              <w:t>9.3.3.8.1</w:t>
            </w:r>
          </w:p>
        </w:tc>
        <w:tc>
          <w:tcPr>
            <w:tcW w:w="2268" w:type="dxa"/>
          </w:tcPr>
          <w:p w14:paraId="3AFBA5A0" w14:textId="77777777" w:rsidR="004C211F" w:rsidRPr="00DA025F" w:rsidRDefault="004C211F" w:rsidP="003E62CB">
            <w:pPr>
              <w:widowControl w:val="0"/>
              <w:suppressAutoHyphens w:val="0"/>
              <w:spacing w:before="60" w:line="200" w:lineRule="exact"/>
              <w:textAlignment w:val="baseline"/>
              <w:rPr>
                <w:lang w:val="fr-FR"/>
              </w:rPr>
            </w:pPr>
            <w:r w:rsidRPr="00DA025F">
              <w:rPr>
                <w:lang w:val="fr-FR"/>
              </w:rPr>
              <w:t>Maintien de la classe pour les types N ouvert avec coupe-flammes et N ouvert</w:t>
            </w:r>
          </w:p>
        </w:tc>
        <w:tc>
          <w:tcPr>
            <w:tcW w:w="4820" w:type="dxa"/>
          </w:tcPr>
          <w:p w14:paraId="630DB3F4" w14:textId="77777777" w:rsidR="004C211F" w:rsidRPr="00DA025F" w:rsidRDefault="004C211F" w:rsidP="004C211F">
            <w:pPr>
              <w:widowControl w:val="0"/>
              <w:suppressAutoHyphens w:val="0"/>
              <w:spacing w:before="60" w:after="60" w:line="200" w:lineRule="exact"/>
              <w:jc w:val="center"/>
              <w:textAlignment w:val="baseline"/>
              <w:rPr>
                <w:lang w:val="fr-FR"/>
              </w:rPr>
            </w:pPr>
            <w:r w:rsidRPr="00DA025F">
              <w:rPr>
                <w:lang w:val="fr-FR"/>
              </w:rPr>
              <w:t>N.R.T.</w:t>
            </w:r>
          </w:p>
          <w:p w14:paraId="1FBD86C3" w14:textId="77777777" w:rsidR="004C211F" w:rsidRPr="00DA025F" w:rsidRDefault="004C211F" w:rsidP="004C211F">
            <w:pPr>
              <w:widowControl w:val="0"/>
              <w:suppressAutoHyphens w:val="0"/>
              <w:spacing w:after="60" w:line="200" w:lineRule="exact"/>
              <w:jc w:val="both"/>
              <w:textAlignment w:val="baseline"/>
              <w:rPr>
                <w:lang w:val="fr-FR"/>
              </w:rPr>
            </w:pPr>
            <w:r w:rsidRPr="00DA025F">
              <w:rPr>
                <w:lang w:val="fr-FR"/>
              </w:rPr>
              <w:t>Les prescriptions suivantes sont applicables à bord des bateaux en service :</w:t>
            </w:r>
          </w:p>
          <w:p w14:paraId="44E7A8A0" w14:textId="77777777" w:rsidR="004C211F" w:rsidRPr="00DA025F" w:rsidRDefault="004C211F" w:rsidP="004C211F">
            <w:pPr>
              <w:suppressAutoHyphens w:val="0"/>
              <w:spacing w:after="60" w:line="200" w:lineRule="exact"/>
              <w:jc w:val="both"/>
              <w:textAlignment w:val="baseline"/>
              <w:rPr>
                <w:lang w:val="fr-FR"/>
              </w:rPr>
            </w:pPr>
            <w:r w:rsidRPr="00DA025F">
              <w:rPr>
                <w:lang w:val="fr-FR"/>
              </w:rPr>
              <w:t>Sauf prescription différente, le type de construction, la solidité, le compartimentage, l</w:t>
            </w:r>
            <w:r>
              <w:rPr>
                <w:rFonts w:hint="eastAsia"/>
                <w:lang w:val="fr-FR"/>
              </w:rPr>
              <w:t>’</w:t>
            </w:r>
            <w:r w:rsidRPr="00DA025F">
              <w:rPr>
                <w:lang w:val="fr-FR"/>
              </w:rPr>
              <w:t>équipement et le gréement du bateau doivent être conformes ou équivalents aux prescriptions de construction pour le classement en première cote d</w:t>
            </w:r>
            <w:r>
              <w:rPr>
                <w:rFonts w:hint="eastAsia"/>
                <w:lang w:val="fr-FR"/>
              </w:rPr>
              <w:t>’</w:t>
            </w:r>
            <w:r w:rsidRPr="00DA025F">
              <w:rPr>
                <w:lang w:val="fr-FR"/>
              </w:rPr>
              <w:t>une société de classification agréée.</w:t>
            </w:r>
          </w:p>
        </w:tc>
      </w:tr>
    </w:tbl>
    <w:p w14:paraId="6A928496" w14:textId="77777777" w:rsidR="003F0F88" w:rsidRPr="00DA025F" w:rsidRDefault="003F0F88" w:rsidP="004C211F">
      <w:pPr>
        <w:pStyle w:val="SingleTxtG"/>
        <w:spacing w:before="120"/>
        <w:ind w:right="851"/>
        <w:rPr>
          <w:lang w:val="fr-FR"/>
        </w:rPr>
      </w:pPr>
      <w:r>
        <w:rPr>
          <w:lang w:val="fr-FR"/>
        </w:rPr>
        <w:t>7</w:t>
      </w:r>
      <w:r w:rsidRPr="00DA025F">
        <w:rPr>
          <w:lang w:val="fr-FR"/>
        </w:rPr>
        <w:t>.</w:t>
      </w:r>
      <w:r w:rsidRPr="00DA025F">
        <w:rPr>
          <w:lang w:val="fr-FR"/>
        </w:rPr>
        <w:tab/>
        <w:t xml:space="preserve">Cette </w:t>
      </w:r>
      <w:r>
        <w:rPr>
          <w:lang w:val="fr-FR"/>
        </w:rPr>
        <w:t>disposition transitoire</w:t>
      </w:r>
      <w:r w:rsidRPr="00DA025F">
        <w:rPr>
          <w:lang w:val="fr-FR"/>
        </w:rPr>
        <w:t xml:space="preserve"> a fait l</w:t>
      </w:r>
      <w:r w:rsidR="004C211F">
        <w:rPr>
          <w:rFonts w:hint="eastAsia"/>
          <w:lang w:val="fr-FR"/>
        </w:rPr>
        <w:t>’</w:t>
      </w:r>
      <w:r w:rsidRPr="00DA025F">
        <w:rPr>
          <w:lang w:val="fr-FR"/>
        </w:rPr>
        <w:t>objet avec effet au 1</w:t>
      </w:r>
      <w:r w:rsidRPr="00DA025F">
        <w:rPr>
          <w:vertAlign w:val="superscript"/>
          <w:lang w:val="fr-FR"/>
        </w:rPr>
        <w:t>er</w:t>
      </w:r>
      <w:r w:rsidRPr="00DA025F">
        <w:rPr>
          <w:lang w:val="fr-FR"/>
        </w:rPr>
        <w:t xml:space="preserve"> janvier 2011 (ADN 2011) d</w:t>
      </w:r>
      <w:r w:rsidR="004C211F">
        <w:rPr>
          <w:rFonts w:hint="eastAsia"/>
          <w:lang w:val="fr-FR"/>
        </w:rPr>
        <w:t>’</w:t>
      </w:r>
      <w:r w:rsidRPr="00DA025F">
        <w:rPr>
          <w:lang w:val="fr-FR"/>
        </w:rPr>
        <w:t>une nouvelle rédaction, dans laquelle l</w:t>
      </w:r>
      <w:r w:rsidR="004C211F">
        <w:rPr>
          <w:rFonts w:hint="eastAsia"/>
          <w:lang w:val="fr-FR"/>
        </w:rPr>
        <w:t>’</w:t>
      </w:r>
      <w:r w:rsidRPr="00DA025F">
        <w:rPr>
          <w:lang w:val="fr-FR"/>
        </w:rPr>
        <w:t xml:space="preserve">expiration de la </w:t>
      </w:r>
      <w:r>
        <w:rPr>
          <w:lang w:val="fr-FR"/>
        </w:rPr>
        <w:t>disposition transitoire</w:t>
      </w:r>
      <w:r w:rsidRPr="00DA025F">
        <w:rPr>
          <w:lang w:val="fr-FR"/>
        </w:rPr>
        <w:t xml:space="preserve"> a été fixée au « renouvellement du certificat d</w:t>
      </w:r>
      <w:r w:rsidR="004C211F">
        <w:rPr>
          <w:rFonts w:hint="eastAsia"/>
          <w:lang w:val="fr-FR"/>
        </w:rPr>
        <w:t>’</w:t>
      </w:r>
      <w:r w:rsidRPr="00DA025F">
        <w:rPr>
          <w:lang w:val="fr-FR"/>
        </w:rPr>
        <w:t>agrément après le 31 décembre 2044 » :</w:t>
      </w:r>
    </w:p>
    <w:tbl>
      <w:tblPr>
        <w:tblW w:w="8505" w:type="dxa"/>
        <w:tblInd w:w="1126" w:type="dxa"/>
        <w:tblLayout w:type="fixed"/>
        <w:tblLook w:val="04A0" w:firstRow="1" w:lastRow="0" w:firstColumn="1" w:lastColumn="0" w:noHBand="0" w:noVBand="1"/>
      </w:tblPr>
      <w:tblGrid>
        <w:gridCol w:w="1418"/>
        <w:gridCol w:w="2268"/>
        <w:gridCol w:w="4819"/>
      </w:tblGrid>
      <w:tr w:rsidR="003F0F88" w:rsidRPr="008D2611" w14:paraId="7F0D5507" w14:textId="77777777" w:rsidTr="004C211F">
        <w:trPr>
          <w:cantSplit/>
        </w:trPr>
        <w:tc>
          <w:tcPr>
            <w:tcW w:w="1418" w:type="dxa"/>
            <w:tcBorders>
              <w:top w:val="single" w:sz="6" w:space="0" w:color="auto"/>
              <w:left w:val="single" w:sz="6" w:space="0" w:color="auto"/>
              <w:bottom w:val="single" w:sz="6" w:space="0" w:color="auto"/>
              <w:right w:val="nil"/>
            </w:tcBorders>
          </w:tcPr>
          <w:p w14:paraId="11F55DEA" w14:textId="77777777" w:rsidR="003F0F88" w:rsidRPr="00DA025F" w:rsidRDefault="003F0F88" w:rsidP="004C211F">
            <w:pPr>
              <w:widowControl w:val="0"/>
              <w:suppressAutoHyphens w:val="0"/>
              <w:spacing w:before="60" w:line="200" w:lineRule="exact"/>
              <w:jc w:val="center"/>
              <w:textAlignment w:val="baseline"/>
              <w:rPr>
                <w:lang w:val="fr-FR"/>
              </w:rPr>
            </w:pPr>
            <w:r w:rsidRPr="00DA025F">
              <w:rPr>
                <w:lang w:val="fr-FR"/>
              </w:rPr>
              <w:t>9.3.3.8.1</w:t>
            </w:r>
          </w:p>
        </w:tc>
        <w:tc>
          <w:tcPr>
            <w:tcW w:w="2268" w:type="dxa"/>
            <w:tcBorders>
              <w:top w:val="single" w:sz="6" w:space="0" w:color="auto"/>
              <w:left w:val="single" w:sz="6" w:space="0" w:color="auto"/>
              <w:bottom w:val="single" w:sz="6" w:space="0" w:color="auto"/>
              <w:right w:val="nil"/>
            </w:tcBorders>
          </w:tcPr>
          <w:p w14:paraId="0D20914F" w14:textId="77777777" w:rsidR="003F0F88" w:rsidRPr="00DA025F" w:rsidRDefault="003F0F88" w:rsidP="004C211F">
            <w:pPr>
              <w:widowControl w:val="0"/>
              <w:suppressAutoHyphens w:val="0"/>
              <w:spacing w:before="60" w:line="200" w:lineRule="exact"/>
              <w:textAlignment w:val="baseline"/>
              <w:rPr>
                <w:lang w:val="fr-FR"/>
              </w:rPr>
            </w:pPr>
            <w:r w:rsidRPr="00DA025F">
              <w:rPr>
                <w:lang w:val="fr-FR"/>
              </w:rPr>
              <w:t>Maintien de la classe</w:t>
            </w:r>
          </w:p>
        </w:tc>
        <w:tc>
          <w:tcPr>
            <w:tcW w:w="4819" w:type="dxa"/>
            <w:tcBorders>
              <w:top w:val="single" w:sz="6" w:space="0" w:color="auto"/>
              <w:left w:val="single" w:sz="6" w:space="0" w:color="auto"/>
              <w:bottom w:val="single" w:sz="6" w:space="0" w:color="auto"/>
              <w:right w:val="single" w:sz="6" w:space="0" w:color="auto"/>
            </w:tcBorders>
          </w:tcPr>
          <w:p w14:paraId="35733920" w14:textId="77777777" w:rsidR="003F0F88" w:rsidRPr="004C211F" w:rsidRDefault="003F0F88" w:rsidP="004C211F">
            <w:pPr>
              <w:widowControl w:val="0"/>
              <w:suppressAutoHyphens w:val="0"/>
              <w:spacing w:before="60" w:after="60" w:line="200" w:lineRule="exact"/>
              <w:jc w:val="center"/>
              <w:textAlignment w:val="baseline"/>
              <w:rPr>
                <w:lang w:val="fr-FR"/>
              </w:rPr>
            </w:pPr>
            <w:r w:rsidRPr="004C211F">
              <w:rPr>
                <w:lang w:val="fr-FR"/>
              </w:rPr>
              <w:t>N.R.T.</w:t>
            </w:r>
          </w:p>
          <w:p w14:paraId="206347A9" w14:textId="77777777" w:rsidR="003F0F88" w:rsidRPr="004C211F" w:rsidRDefault="003F0F88" w:rsidP="004C211F">
            <w:pPr>
              <w:widowControl w:val="0"/>
              <w:suppressAutoHyphens w:val="0"/>
              <w:spacing w:before="60" w:after="60" w:line="200" w:lineRule="exact"/>
              <w:jc w:val="center"/>
              <w:textAlignment w:val="baseline"/>
              <w:rPr>
                <w:lang w:val="fr-FR"/>
              </w:rPr>
            </w:pPr>
            <w:r w:rsidRPr="004C211F">
              <w:rPr>
                <w:lang w:val="fr-FR"/>
              </w:rPr>
              <w:t>Renouvellement du certificat d</w:t>
            </w:r>
            <w:r w:rsidR="004C211F">
              <w:rPr>
                <w:rFonts w:hint="eastAsia"/>
                <w:lang w:val="fr-FR"/>
              </w:rPr>
              <w:t>’</w:t>
            </w:r>
            <w:r w:rsidRPr="004C211F">
              <w:rPr>
                <w:lang w:val="fr-FR"/>
              </w:rPr>
              <w:t xml:space="preserve">agrément après le </w:t>
            </w:r>
            <w:r w:rsidRPr="004C211F">
              <w:rPr>
                <w:lang w:val="fr-FR"/>
              </w:rPr>
              <w:br/>
              <w:t xml:space="preserve">31 décembre 2044 pour les types N ouvert avec </w:t>
            </w:r>
            <w:r w:rsidRPr="004C211F">
              <w:rPr>
                <w:lang w:val="fr-FR"/>
              </w:rPr>
              <w:br/>
              <w:t>coupe-flammes et N ouvert</w:t>
            </w:r>
          </w:p>
          <w:p w14:paraId="1BC0D95E" w14:textId="77777777" w:rsidR="003F0F88" w:rsidRPr="004C211F" w:rsidRDefault="003F0F88" w:rsidP="004C211F">
            <w:pPr>
              <w:keepNext/>
              <w:widowControl w:val="0"/>
              <w:suppressAutoHyphens w:val="0"/>
              <w:spacing w:before="60" w:after="60" w:line="200" w:lineRule="exact"/>
              <w:jc w:val="both"/>
              <w:textAlignment w:val="baseline"/>
              <w:rPr>
                <w:lang w:val="fr-FR"/>
              </w:rPr>
            </w:pPr>
            <w:r w:rsidRPr="004C211F">
              <w:rPr>
                <w:lang w:val="fr-FR"/>
              </w:rPr>
              <w:t>Jusqu</w:t>
            </w:r>
            <w:r w:rsidR="004C211F">
              <w:rPr>
                <w:rFonts w:hint="eastAsia"/>
                <w:lang w:val="fr-FR"/>
              </w:rPr>
              <w:t>’</w:t>
            </w:r>
            <w:r w:rsidRPr="004C211F">
              <w:rPr>
                <w:lang w:val="fr-FR"/>
              </w:rPr>
              <w:t>à cette échéance les prescriptions suivantes sont applicables à bord des bateaux en service</w:t>
            </w:r>
            <w:r w:rsidR="004C211F">
              <w:rPr>
                <w:lang w:val="fr-FR"/>
              </w:rPr>
              <w:t xml:space="preserve"> </w:t>
            </w:r>
            <w:r w:rsidRPr="004C211F">
              <w:rPr>
                <w:lang w:val="fr-FR"/>
              </w:rPr>
              <w:t>:</w:t>
            </w:r>
          </w:p>
          <w:p w14:paraId="505F9CC0" w14:textId="77777777" w:rsidR="003F0F88" w:rsidRPr="004C211F" w:rsidRDefault="003F0F88" w:rsidP="004C211F">
            <w:pPr>
              <w:widowControl w:val="0"/>
              <w:suppressAutoHyphens w:val="0"/>
              <w:spacing w:before="60" w:after="60" w:line="200" w:lineRule="exact"/>
              <w:jc w:val="both"/>
              <w:textAlignment w:val="baseline"/>
              <w:rPr>
                <w:i/>
                <w:iCs/>
                <w:lang w:val="fr-FR"/>
              </w:rPr>
            </w:pPr>
            <w:r w:rsidRPr="004C211F">
              <w:rPr>
                <w:lang w:val="fr-FR"/>
              </w:rPr>
              <w:t>Sauf prescription différente, le type de construction, la solidité, le compartimentage, l</w:t>
            </w:r>
            <w:r w:rsidR="004C211F">
              <w:rPr>
                <w:rFonts w:hint="eastAsia"/>
                <w:lang w:val="fr-FR"/>
              </w:rPr>
              <w:t>’</w:t>
            </w:r>
            <w:r w:rsidRPr="004C211F">
              <w:rPr>
                <w:lang w:val="fr-FR"/>
              </w:rPr>
              <w:t>équipement et le gréement du bateau doivent être conformes ou équivalents aux prescriptions de construction pour le classement en première cote d</w:t>
            </w:r>
            <w:r w:rsidR="004C211F">
              <w:rPr>
                <w:rFonts w:hint="eastAsia"/>
                <w:lang w:val="fr-FR"/>
              </w:rPr>
              <w:t>’</w:t>
            </w:r>
            <w:r w:rsidRPr="004C211F">
              <w:rPr>
                <w:lang w:val="fr-FR"/>
              </w:rPr>
              <w:t>une société de classification agréée.</w:t>
            </w:r>
          </w:p>
        </w:tc>
      </w:tr>
    </w:tbl>
    <w:p w14:paraId="3D83E13C" w14:textId="77777777" w:rsidR="003F0F88" w:rsidRPr="00DA025F" w:rsidRDefault="003F0F88" w:rsidP="004C211F">
      <w:pPr>
        <w:pStyle w:val="SingleTxtG"/>
        <w:spacing w:before="120"/>
        <w:ind w:right="851"/>
        <w:rPr>
          <w:lang w:val="fr-FR"/>
        </w:rPr>
      </w:pPr>
      <w:r>
        <w:rPr>
          <w:lang w:val="fr-FR"/>
        </w:rPr>
        <w:t>8</w:t>
      </w:r>
      <w:r w:rsidRPr="00DA025F">
        <w:rPr>
          <w:lang w:val="fr-FR"/>
        </w:rPr>
        <w:t>.</w:t>
      </w:r>
      <w:r w:rsidRPr="00DA025F">
        <w:rPr>
          <w:lang w:val="fr-FR"/>
        </w:rPr>
        <w:tab/>
        <w:t>Jusqu</w:t>
      </w:r>
      <w:r w:rsidR="004C211F">
        <w:rPr>
          <w:rFonts w:hint="eastAsia"/>
          <w:lang w:val="fr-FR"/>
        </w:rPr>
        <w:t>’</w:t>
      </w:r>
      <w:r w:rsidRPr="00DA025F">
        <w:rPr>
          <w:lang w:val="fr-FR"/>
        </w:rPr>
        <w:t>en 1994 s</w:t>
      </w:r>
      <w:r w:rsidR="004C211F">
        <w:rPr>
          <w:rFonts w:hint="eastAsia"/>
          <w:lang w:val="fr-FR"/>
        </w:rPr>
        <w:t>’</w:t>
      </w:r>
      <w:r w:rsidRPr="00DA025F">
        <w:rPr>
          <w:lang w:val="fr-FR"/>
        </w:rPr>
        <w:t>appliquait pour les bateaux-citernes des types N ouvert et N ouvert avec coupe-flammes, que « le type de construction, la solidité, le compartimentage, l</w:t>
      </w:r>
      <w:r w:rsidR="004C211F">
        <w:rPr>
          <w:rFonts w:hint="eastAsia"/>
          <w:lang w:val="fr-FR"/>
        </w:rPr>
        <w:t>’</w:t>
      </w:r>
      <w:r w:rsidRPr="00DA025F">
        <w:rPr>
          <w:lang w:val="fr-FR"/>
        </w:rPr>
        <w:t>équipement et le gréement du bateau doivent être conformes ou équivalents aux prescriptions de construction pour le classement dans la plus haute classe d</w:t>
      </w:r>
      <w:r w:rsidR="004C211F">
        <w:rPr>
          <w:rFonts w:hint="eastAsia"/>
          <w:lang w:val="fr-FR"/>
        </w:rPr>
        <w:t>’</w:t>
      </w:r>
      <w:r w:rsidRPr="00DA025F">
        <w:rPr>
          <w:lang w:val="fr-FR"/>
        </w:rPr>
        <w:t>une société de classification agréée ». La construction sous la surveillance d</w:t>
      </w:r>
      <w:r w:rsidR="004C211F">
        <w:rPr>
          <w:rFonts w:hint="eastAsia"/>
          <w:lang w:val="fr-FR"/>
        </w:rPr>
        <w:t>’</w:t>
      </w:r>
      <w:r w:rsidRPr="00DA025F">
        <w:rPr>
          <w:lang w:val="fr-FR"/>
        </w:rPr>
        <w:t>une société de classification agréée et le classement en première cote n</w:t>
      </w:r>
      <w:r w:rsidR="004C211F">
        <w:rPr>
          <w:rFonts w:hint="eastAsia"/>
          <w:lang w:val="fr-FR"/>
        </w:rPr>
        <w:t>’</w:t>
      </w:r>
      <w:r w:rsidRPr="00DA025F">
        <w:rPr>
          <w:lang w:val="fr-FR"/>
        </w:rPr>
        <w:t>étaient toutefois pas requis jusqu</w:t>
      </w:r>
      <w:r w:rsidR="004C211F">
        <w:rPr>
          <w:rFonts w:hint="eastAsia"/>
          <w:lang w:val="fr-FR"/>
        </w:rPr>
        <w:t>’</w:t>
      </w:r>
      <w:r w:rsidRPr="00DA025F">
        <w:rPr>
          <w:lang w:val="fr-FR"/>
        </w:rPr>
        <w:t>au 31 décembre 1995. (</w:t>
      </w:r>
      <w:r w:rsidR="004C211F">
        <w:rPr>
          <w:lang w:val="fr-FR"/>
        </w:rPr>
        <w:t>V</w:t>
      </w:r>
      <w:r w:rsidRPr="00DA025F">
        <w:rPr>
          <w:lang w:val="fr-FR"/>
        </w:rPr>
        <w:t>oir le marginal 131 208 de l</w:t>
      </w:r>
      <w:r w:rsidR="004C211F">
        <w:rPr>
          <w:rFonts w:hint="eastAsia"/>
          <w:lang w:val="fr-FR"/>
        </w:rPr>
        <w:t>’</w:t>
      </w:r>
      <w:r w:rsidRPr="00DA025F">
        <w:rPr>
          <w:lang w:val="fr-FR"/>
        </w:rPr>
        <w:t>ADNR 1994).</w:t>
      </w:r>
    </w:p>
    <w:p w14:paraId="07647FA9" w14:textId="77777777" w:rsidR="003F0F88" w:rsidRPr="00DA025F" w:rsidRDefault="005536C2" w:rsidP="004C211F">
      <w:pPr>
        <w:pStyle w:val="SingleTxtG"/>
        <w:ind w:right="851"/>
        <w:rPr>
          <w:lang w:val="fr-FR"/>
        </w:rPr>
      </w:pPr>
      <w:r>
        <w:rPr>
          <w:lang w:val="fr-FR"/>
        </w:rPr>
        <w:t>9.</w:t>
      </w:r>
      <w:r>
        <w:rPr>
          <w:lang w:val="fr-FR"/>
        </w:rPr>
        <w:tab/>
      </w:r>
      <w:r w:rsidR="003F0F88" w:rsidRPr="00DA025F">
        <w:rPr>
          <w:lang w:val="fr-FR"/>
        </w:rPr>
        <w:t xml:space="preserve">Par conséquent, la </w:t>
      </w:r>
      <w:r w:rsidR="003F0F88">
        <w:rPr>
          <w:lang w:val="fr-FR"/>
        </w:rPr>
        <w:t>disposition transitoire</w:t>
      </w:r>
      <w:r w:rsidR="003F0F88" w:rsidRPr="00DA025F">
        <w:rPr>
          <w:lang w:val="fr-FR"/>
        </w:rPr>
        <w:t xml:space="preserve"> porte sur les phrases 1 à 3 du 9.3.3.8.1 </w:t>
      </w:r>
      <w:r>
        <w:rPr>
          <w:lang w:val="fr-FR"/>
        </w:rPr>
        <w:t>de l’</w:t>
      </w:r>
      <w:r w:rsidR="003F0F88" w:rsidRPr="00DA025F">
        <w:rPr>
          <w:lang w:val="fr-FR"/>
        </w:rPr>
        <w:t>ADN.</w:t>
      </w:r>
    </w:p>
    <w:p w14:paraId="35822719" w14:textId="77777777" w:rsidR="003F0F88" w:rsidRPr="00DA025F" w:rsidRDefault="005536C2" w:rsidP="004C211F">
      <w:pPr>
        <w:pStyle w:val="SingleTxtG"/>
        <w:ind w:right="851"/>
        <w:rPr>
          <w:lang w:val="fr-FR"/>
        </w:rPr>
      </w:pPr>
      <w:r>
        <w:rPr>
          <w:lang w:val="fr-FR"/>
        </w:rPr>
        <w:t>10.</w:t>
      </w:r>
      <w:r>
        <w:rPr>
          <w:lang w:val="fr-FR"/>
        </w:rPr>
        <w:tab/>
      </w:r>
      <w:r w:rsidR="003F0F88" w:rsidRPr="00DA025F">
        <w:rPr>
          <w:lang w:val="fr-FR"/>
        </w:rPr>
        <w:t>La situation exigée dans la colonne 3 doit être nouvellement attestée par une société de classification agréée ou par l</w:t>
      </w:r>
      <w:r w:rsidR="004C211F">
        <w:rPr>
          <w:rFonts w:hint="eastAsia"/>
          <w:lang w:val="fr-FR"/>
        </w:rPr>
        <w:t>’</w:t>
      </w:r>
      <w:r w:rsidR="003F0F88" w:rsidRPr="00DA025F">
        <w:rPr>
          <w:lang w:val="fr-FR"/>
        </w:rPr>
        <w:t xml:space="preserve">organisme de visite lors de chaque contrôle périodique dans le cadre de la visite visée au 1.16.3 </w:t>
      </w:r>
      <w:r>
        <w:rPr>
          <w:lang w:val="fr-FR"/>
        </w:rPr>
        <w:t>de l’</w:t>
      </w:r>
      <w:r w:rsidR="003F0F88" w:rsidRPr="00DA025F">
        <w:rPr>
          <w:lang w:val="fr-FR"/>
        </w:rPr>
        <w:t>ADN, avant que ne puisse être délivré le certificat d</w:t>
      </w:r>
      <w:r w:rsidR="004C211F">
        <w:rPr>
          <w:rFonts w:hint="eastAsia"/>
          <w:lang w:val="fr-FR"/>
        </w:rPr>
        <w:t>’</w:t>
      </w:r>
      <w:r w:rsidR="003F0F88" w:rsidRPr="00DA025F">
        <w:rPr>
          <w:lang w:val="fr-FR"/>
        </w:rPr>
        <w:t>agrément.</w:t>
      </w:r>
    </w:p>
    <w:p w14:paraId="5D22C678" w14:textId="77777777" w:rsidR="003F0F88" w:rsidRPr="00DA025F" w:rsidRDefault="005536C2" w:rsidP="00732B1A">
      <w:pPr>
        <w:pStyle w:val="SingleTxtG"/>
        <w:ind w:right="851"/>
        <w:rPr>
          <w:lang w:val="fr-FR"/>
        </w:rPr>
      </w:pPr>
      <w:r>
        <w:rPr>
          <w:lang w:val="fr-FR"/>
        </w:rPr>
        <w:lastRenderedPageBreak/>
        <w:t>11</w:t>
      </w:r>
      <w:r w:rsidR="003F0F88" w:rsidRPr="00DA025F">
        <w:rPr>
          <w:lang w:val="fr-FR"/>
        </w:rPr>
        <w:t>.</w:t>
      </w:r>
      <w:r w:rsidR="003F0F88" w:rsidRPr="00DA025F">
        <w:rPr>
          <w:lang w:val="fr-FR"/>
        </w:rPr>
        <w:tab/>
        <w:t>Pour l</w:t>
      </w:r>
      <w:r w:rsidR="004C211F">
        <w:rPr>
          <w:rFonts w:hint="eastAsia"/>
          <w:lang w:val="fr-FR"/>
        </w:rPr>
        <w:t>’</w:t>
      </w:r>
      <w:r w:rsidR="003F0F88" w:rsidRPr="00DA025F">
        <w:rPr>
          <w:lang w:val="fr-FR"/>
        </w:rPr>
        <w:t>obtention du certificat d</w:t>
      </w:r>
      <w:r w:rsidR="004C211F">
        <w:rPr>
          <w:rFonts w:hint="eastAsia"/>
          <w:lang w:val="fr-FR"/>
        </w:rPr>
        <w:t>’</w:t>
      </w:r>
      <w:r w:rsidR="003F0F88" w:rsidRPr="00DA025F">
        <w:rPr>
          <w:lang w:val="fr-FR"/>
        </w:rPr>
        <w:t>agrément avant le 1</w:t>
      </w:r>
      <w:r w:rsidR="003F0F88" w:rsidRPr="00DA025F">
        <w:rPr>
          <w:vertAlign w:val="superscript"/>
          <w:lang w:val="fr-FR"/>
        </w:rPr>
        <w:t>er</w:t>
      </w:r>
      <w:r w:rsidR="003F0F88" w:rsidRPr="00DA025F">
        <w:rPr>
          <w:lang w:val="fr-FR"/>
        </w:rPr>
        <w:t xml:space="preserve"> janvier 1995, les propriétaires d</w:t>
      </w:r>
      <w:r w:rsidR="004C211F">
        <w:rPr>
          <w:rFonts w:hint="eastAsia"/>
          <w:lang w:val="fr-FR"/>
        </w:rPr>
        <w:t>’</w:t>
      </w:r>
      <w:r w:rsidR="003F0F88" w:rsidRPr="00DA025F">
        <w:rPr>
          <w:lang w:val="fr-FR"/>
        </w:rPr>
        <w:t>un bateau-citerne devaient présenter soit :</w:t>
      </w:r>
    </w:p>
    <w:p w14:paraId="1A24C203" w14:textId="77777777" w:rsidR="003F0F88" w:rsidRPr="00DA025F" w:rsidRDefault="004C211F" w:rsidP="004C211F">
      <w:pPr>
        <w:pStyle w:val="SingleTxtG"/>
        <w:ind w:right="851"/>
        <w:rPr>
          <w:lang w:val="fr-FR"/>
        </w:rPr>
      </w:pPr>
      <w:r>
        <w:rPr>
          <w:lang w:val="fr-FR"/>
        </w:rPr>
        <w:tab/>
      </w:r>
      <w:r>
        <w:rPr>
          <w:lang w:val="fr-FR"/>
        </w:rPr>
        <w:tab/>
        <w:t>a)</w:t>
      </w:r>
      <w:r>
        <w:rPr>
          <w:lang w:val="fr-FR"/>
        </w:rPr>
        <w:tab/>
      </w:r>
      <w:r w:rsidR="003F0F88" w:rsidRPr="00DA025F">
        <w:rPr>
          <w:lang w:val="fr-FR"/>
        </w:rPr>
        <w:t>« </w:t>
      </w:r>
      <w:r>
        <w:rPr>
          <w:lang w:val="fr-FR"/>
        </w:rPr>
        <w:t>L</w:t>
      </w:r>
      <w:r w:rsidR="003F0F88" w:rsidRPr="00DA025F">
        <w:rPr>
          <w:lang w:val="fr-FR"/>
        </w:rPr>
        <w:t>e certificat de classification »</w:t>
      </w:r>
      <w:r>
        <w:rPr>
          <w:lang w:val="fr-FR"/>
        </w:rPr>
        <w:t> ;</w:t>
      </w:r>
      <w:r w:rsidR="003F0F88" w:rsidRPr="00DA025F">
        <w:rPr>
          <w:lang w:val="fr-FR"/>
        </w:rPr>
        <w:t xml:space="preserve"> </w:t>
      </w:r>
      <w:proofErr w:type="gramStart"/>
      <w:r w:rsidR="003F0F88" w:rsidRPr="00DA025F">
        <w:rPr>
          <w:u w:val="single"/>
          <w:lang w:val="fr-FR"/>
        </w:rPr>
        <w:t>ou</w:t>
      </w:r>
      <w:proofErr w:type="gramEnd"/>
    </w:p>
    <w:p w14:paraId="0F33AD75" w14:textId="77777777" w:rsidR="003F0F88" w:rsidRPr="00DA025F" w:rsidRDefault="004C211F" w:rsidP="004C211F">
      <w:pPr>
        <w:pStyle w:val="SingleTxtG"/>
        <w:ind w:right="851"/>
        <w:rPr>
          <w:lang w:val="fr-FR"/>
        </w:rPr>
      </w:pPr>
      <w:r>
        <w:rPr>
          <w:lang w:val="fr-FR"/>
        </w:rPr>
        <w:tab/>
      </w:r>
      <w:r>
        <w:rPr>
          <w:lang w:val="fr-FR"/>
        </w:rPr>
        <w:tab/>
        <w:t>b)</w:t>
      </w:r>
      <w:r>
        <w:rPr>
          <w:lang w:val="fr-FR"/>
        </w:rPr>
        <w:tab/>
      </w:r>
      <w:r w:rsidR="003F0F88" w:rsidRPr="00DA025F">
        <w:rPr>
          <w:lang w:val="fr-FR"/>
        </w:rPr>
        <w:t>« </w:t>
      </w:r>
      <w:r>
        <w:rPr>
          <w:lang w:val="fr-FR"/>
        </w:rPr>
        <w:t>U</w:t>
      </w:r>
      <w:r w:rsidR="003F0F88" w:rsidRPr="00DA025F">
        <w:rPr>
          <w:lang w:val="fr-FR"/>
        </w:rPr>
        <w:t>ne attestation d</w:t>
      </w:r>
      <w:r>
        <w:rPr>
          <w:rFonts w:hint="eastAsia"/>
          <w:lang w:val="fr-FR"/>
        </w:rPr>
        <w:t>’</w:t>
      </w:r>
      <w:r w:rsidR="003F0F88" w:rsidRPr="00DA025F">
        <w:rPr>
          <w:lang w:val="fr-FR"/>
        </w:rPr>
        <w:t>une société de classification agréée certifiant que la construction répond à ses propres spécifications et précisant les dérogations à ces spécifications considérées comme équivalentes (sic !) ».</w:t>
      </w:r>
    </w:p>
    <w:p w14:paraId="4C92161A" w14:textId="77777777" w:rsidR="003F0F88" w:rsidRPr="00DA025F" w:rsidRDefault="004C211F" w:rsidP="004C211F">
      <w:pPr>
        <w:pStyle w:val="SingleTxtG"/>
        <w:ind w:right="851"/>
        <w:rPr>
          <w:lang w:val="fr-FR"/>
        </w:rPr>
      </w:pPr>
      <w:r>
        <w:rPr>
          <w:lang w:val="fr-FR"/>
        </w:rPr>
        <w:tab/>
      </w:r>
      <w:r>
        <w:rPr>
          <w:lang w:val="fr-FR"/>
        </w:rPr>
        <w:tab/>
      </w:r>
      <w:r w:rsidR="003F0F88" w:rsidRPr="00DA025F">
        <w:rPr>
          <w:lang w:val="fr-FR"/>
        </w:rPr>
        <w:t>(</w:t>
      </w:r>
      <w:r>
        <w:rPr>
          <w:lang w:val="fr-FR"/>
        </w:rPr>
        <w:t>V</w:t>
      </w:r>
      <w:r w:rsidR="003F0F88" w:rsidRPr="00DA025F">
        <w:rPr>
          <w:lang w:val="fr-FR"/>
        </w:rPr>
        <w:t>oir le marginal 131 182 ADNR 1994).</w:t>
      </w:r>
    </w:p>
    <w:p w14:paraId="1B66D0EB" w14:textId="77777777" w:rsidR="003F0F88" w:rsidRPr="00DA025F" w:rsidRDefault="003F0F88" w:rsidP="004C211F">
      <w:pPr>
        <w:pStyle w:val="SingleTxtG"/>
        <w:ind w:right="851"/>
        <w:rPr>
          <w:lang w:val="fr-FR"/>
        </w:rPr>
      </w:pPr>
      <w:r>
        <w:rPr>
          <w:lang w:val="fr-FR"/>
        </w:rPr>
        <w:t>1</w:t>
      </w:r>
      <w:r w:rsidR="005536C2">
        <w:rPr>
          <w:lang w:val="fr-FR"/>
        </w:rPr>
        <w:t>2</w:t>
      </w:r>
      <w:r w:rsidRPr="00DA025F">
        <w:rPr>
          <w:lang w:val="fr-FR"/>
        </w:rPr>
        <w:t>.</w:t>
      </w:r>
      <w:r w:rsidRPr="00DA025F">
        <w:rPr>
          <w:lang w:val="fr-FR"/>
        </w:rPr>
        <w:tab/>
        <w:t>Il existe une différence qualitative entre un « certificat de classification » et une « attestation ». Alors que le certificat de classification confirme le respect de toutes les prescriptions de construction applicables de la société de classification qui est chargée de la visite et de la classification (y compris celles qui ne sont pas prescrites par l</w:t>
      </w:r>
      <w:r w:rsidR="004C211F">
        <w:rPr>
          <w:rFonts w:hint="eastAsia"/>
          <w:lang w:val="fr-FR"/>
        </w:rPr>
        <w:t>’</w:t>
      </w:r>
      <w:r w:rsidRPr="00DA025F">
        <w:rPr>
          <w:lang w:val="fr-FR"/>
        </w:rPr>
        <w:t>ADNR/ADN), l</w:t>
      </w:r>
      <w:r w:rsidR="004C211F">
        <w:rPr>
          <w:rFonts w:hint="eastAsia"/>
          <w:lang w:val="fr-FR"/>
        </w:rPr>
        <w:t>’</w:t>
      </w:r>
      <w:r w:rsidRPr="00DA025F">
        <w:rPr>
          <w:lang w:val="fr-FR"/>
        </w:rPr>
        <w:t xml:space="preserve">attestation prescrite par la </w:t>
      </w:r>
      <w:r>
        <w:rPr>
          <w:lang w:val="fr-FR"/>
        </w:rPr>
        <w:t>disposition transitoire</w:t>
      </w:r>
      <w:r w:rsidRPr="00DA025F">
        <w:rPr>
          <w:lang w:val="fr-FR"/>
        </w:rPr>
        <w:t xml:space="preserve"> confirme seulement que le bâtiment est conforme ou équivalent aux prescriptions de construction de la société de classification agréée en matière de construction, de solidité, de compartimentage, d</w:t>
      </w:r>
      <w:r w:rsidR="004C211F">
        <w:rPr>
          <w:rFonts w:hint="eastAsia"/>
          <w:lang w:val="fr-FR"/>
        </w:rPr>
        <w:t>’</w:t>
      </w:r>
      <w:r w:rsidRPr="00DA025F">
        <w:rPr>
          <w:lang w:val="fr-FR"/>
        </w:rPr>
        <w:t>équipement et de gréement au moment de la mise en service. Il ne s</w:t>
      </w:r>
      <w:r w:rsidR="004C211F">
        <w:rPr>
          <w:rFonts w:hint="eastAsia"/>
          <w:lang w:val="fr-FR"/>
        </w:rPr>
        <w:t>’</w:t>
      </w:r>
      <w:r w:rsidRPr="00DA025F">
        <w:rPr>
          <w:lang w:val="fr-FR"/>
        </w:rPr>
        <w:t>agit que d</w:t>
      </w:r>
      <w:r w:rsidR="004C211F">
        <w:rPr>
          <w:rFonts w:hint="eastAsia"/>
          <w:lang w:val="fr-FR"/>
        </w:rPr>
        <w:t>’</w:t>
      </w:r>
      <w:r w:rsidRPr="00DA025F">
        <w:rPr>
          <w:lang w:val="fr-FR"/>
        </w:rPr>
        <w:t>une partie des prescriptions de construction d</w:t>
      </w:r>
      <w:r w:rsidR="004C211F">
        <w:rPr>
          <w:rFonts w:hint="eastAsia"/>
          <w:lang w:val="fr-FR"/>
        </w:rPr>
        <w:t>’</w:t>
      </w:r>
      <w:r w:rsidRPr="00DA025F">
        <w:rPr>
          <w:lang w:val="fr-FR"/>
        </w:rPr>
        <w:t>une société de classification.</w:t>
      </w:r>
    </w:p>
    <w:p w14:paraId="5269894F" w14:textId="77777777" w:rsidR="003F0F88" w:rsidRPr="00DA025F" w:rsidRDefault="003F0F88" w:rsidP="004C211F">
      <w:pPr>
        <w:pStyle w:val="SingleTxtG"/>
        <w:ind w:right="851"/>
        <w:rPr>
          <w:lang w:val="fr-FR"/>
        </w:rPr>
      </w:pPr>
      <w:r>
        <w:rPr>
          <w:lang w:val="fr-FR"/>
        </w:rPr>
        <w:t>1</w:t>
      </w:r>
      <w:r w:rsidR="005536C2">
        <w:rPr>
          <w:lang w:val="fr-FR"/>
        </w:rPr>
        <w:t>3</w:t>
      </w:r>
      <w:r w:rsidRPr="00DA025F">
        <w:rPr>
          <w:lang w:val="fr-FR"/>
        </w:rPr>
        <w:t>.</w:t>
      </w:r>
      <w:r w:rsidRPr="00DA025F">
        <w:rPr>
          <w:lang w:val="fr-FR"/>
        </w:rPr>
        <w:tab/>
        <w:t xml:space="preserve">Nous avons connaissance de plusieurs cas dans lesquels des propriétaires de bateaux-citernes de type N ouvert avec ou sans coupe-flamme ont présenté aussi, </w:t>
      </w:r>
      <w:r w:rsidRPr="00DA025F">
        <w:rPr>
          <w:b/>
          <w:lang w:val="fr-FR"/>
        </w:rPr>
        <w:t>sans y être tenus</w:t>
      </w:r>
      <w:r w:rsidRPr="00DA025F">
        <w:rPr>
          <w:lang w:val="fr-FR"/>
        </w:rPr>
        <w:t>, un « certificat de classification » pour la première délivrance ou le renouvellement du certificat d</w:t>
      </w:r>
      <w:r w:rsidR="004C211F">
        <w:rPr>
          <w:rFonts w:hint="eastAsia"/>
          <w:lang w:val="fr-FR"/>
        </w:rPr>
        <w:t>’</w:t>
      </w:r>
      <w:r w:rsidRPr="00DA025F">
        <w:rPr>
          <w:lang w:val="fr-FR"/>
        </w:rPr>
        <w:t>agrément. Par la suite, après 1995, n</w:t>
      </w:r>
      <w:r w:rsidR="004C211F">
        <w:rPr>
          <w:rFonts w:hint="eastAsia"/>
          <w:lang w:val="fr-FR"/>
        </w:rPr>
        <w:t>’</w:t>
      </w:r>
      <w:r w:rsidRPr="00DA025F">
        <w:rPr>
          <w:lang w:val="fr-FR"/>
        </w:rPr>
        <w:t>était présenté à la place du certificat de classification qu</w:t>
      </w:r>
      <w:r w:rsidR="004C211F">
        <w:rPr>
          <w:rFonts w:hint="eastAsia"/>
          <w:lang w:val="fr-FR"/>
        </w:rPr>
        <w:t>’</w:t>
      </w:r>
      <w:r w:rsidRPr="00DA025F">
        <w:rPr>
          <w:lang w:val="fr-FR"/>
        </w:rPr>
        <w:t>une simple attestation de la société de classification relative à l</w:t>
      </w:r>
      <w:r w:rsidR="004C211F">
        <w:rPr>
          <w:rFonts w:hint="eastAsia"/>
          <w:lang w:val="fr-FR"/>
        </w:rPr>
        <w:t>’</w:t>
      </w:r>
      <w:r w:rsidRPr="00DA025F">
        <w:rPr>
          <w:lang w:val="fr-FR"/>
        </w:rPr>
        <w:t xml:space="preserve">état de la construction visé dans la colonne 3 de la </w:t>
      </w:r>
      <w:r>
        <w:rPr>
          <w:lang w:val="fr-FR"/>
        </w:rPr>
        <w:t>disposition transitoire</w:t>
      </w:r>
      <w:r w:rsidRPr="00DA025F">
        <w:rPr>
          <w:lang w:val="fr-FR"/>
        </w:rPr>
        <w:t>.</w:t>
      </w:r>
    </w:p>
    <w:p w14:paraId="35C56F8C" w14:textId="77777777" w:rsidR="003F0F88" w:rsidRPr="00DA025F" w:rsidRDefault="003F0F88" w:rsidP="004C211F">
      <w:pPr>
        <w:pStyle w:val="SingleTxtG"/>
        <w:ind w:right="851"/>
        <w:rPr>
          <w:lang w:val="fr-FR"/>
        </w:rPr>
      </w:pPr>
      <w:r>
        <w:rPr>
          <w:lang w:val="fr-FR"/>
        </w:rPr>
        <w:t>1</w:t>
      </w:r>
      <w:r w:rsidR="005536C2">
        <w:rPr>
          <w:lang w:val="fr-FR"/>
        </w:rPr>
        <w:t>4</w:t>
      </w:r>
      <w:r w:rsidRPr="00DA025F">
        <w:rPr>
          <w:lang w:val="fr-FR"/>
        </w:rPr>
        <w:t>.</w:t>
      </w:r>
      <w:r w:rsidRPr="00DA025F">
        <w:rPr>
          <w:lang w:val="fr-FR"/>
        </w:rPr>
        <w:tab/>
        <w:t xml:space="preserve">La </w:t>
      </w:r>
      <w:r>
        <w:rPr>
          <w:lang w:val="fr-FR"/>
        </w:rPr>
        <w:t>disposition transitoire</w:t>
      </w:r>
      <w:r w:rsidRPr="00DA025F">
        <w:rPr>
          <w:lang w:val="fr-FR"/>
        </w:rPr>
        <w:t xml:space="preserve"> générale du 1.6.7.2.2.1 ADN est </w:t>
      </w:r>
      <w:proofErr w:type="gramStart"/>
      <w:r w:rsidRPr="00DA025F">
        <w:rPr>
          <w:lang w:val="fr-FR"/>
        </w:rPr>
        <w:t>libellée</w:t>
      </w:r>
      <w:proofErr w:type="gramEnd"/>
      <w:r w:rsidRPr="00DA025F">
        <w:rPr>
          <w:lang w:val="fr-FR"/>
        </w:rPr>
        <w:t xml:space="preserve"> comme suit :</w:t>
      </w:r>
    </w:p>
    <w:p w14:paraId="72550B26" w14:textId="77777777" w:rsidR="003F0F88" w:rsidRPr="00DA025F" w:rsidRDefault="003F0F88" w:rsidP="005536C2">
      <w:pPr>
        <w:pStyle w:val="SingleTxtG"/>
        <w:ind w:left="1701" w:right="851"/>
        <w:rPr>
          <w:lang w:val="fr-FR"/>
        </w:rPr>
      </w:pPr>
      <w:r w:rsidRPr="00DA025F">
        <w:rPr>
          <w:lang w:val="fr-FR"/>
        </w:rPr>
        <w:t>« La construction et l</w:t>
      </w:r>
      <w:r w:rsidR="004C211F">
        <w:rPr>
          <w:rFonts w:hint="eastAsia"/>
          <w:lang w:val="fr-FR"/>
        </w:rPr>
        <w:t>’</w:t>
      </w:r>
      <w:r w:rsidRPr="00DA025F">
        <w:rPr>
          <w:lang w:val="fr-FR"/>
        </w:rPr>
        <w:t>équipement des bateaux en service doivent être maintenus au moins au niveau de sécurité antérieur. »</w:t>
      </w:r>
    </w:p>
    <w:p w14:paraId="4399A0F9" w14:textId="77777777" w:rsidR="003F0F88" w:rsidRPr="00DA025F" w:rsidRDefault="005536C2" w:rsidP="004C211F">
      <w:pPr>
        <w:pStyle w:val="SingleTxtG"/>
        <w:ind w:right="851"/>
        <w:rPr>
          <w:b/>
          <w:lang w:val="fr-FR"/>
        </w:rPr>
      </w:pPr>
      <w:r>
        <w:rPr>
          <w:lang w:val="fr-FR"/>
        </w:rPr>
        <w:t>15.</w:t>
      </w:r>
      <w:r>
        <w:rPr>
          <w:lang w:val="fr-FR"/>
        </w:rPr>
        <w:tab/>
      </w:r>
      <w:r w:rsidR="003F0F88" w:rsidRPr="00DA025F">
        <w:rPr>
          <w:lang w:val="fr-FR"/>
        </w:rPr>
        <w:t>Cela signifie que, s</w:t>
      </w:r>
      <w:r w:rsidR="004C211F">
        <w:rPr>
          <w:rFonts w:hint="eastAsia"/>
          <w:lang w:val="fr-FR"/>
        </w:rPr>
        <w:t>’</w:t>
      </w:r>
      <w:r w:rsidR="003F0F88" w:rsidRPr="00DA025F">
        <w:rPr>
          <w:lang w:val="fr-FR"/>
        </w:rPr>
        <w:t xml:space="preserve">ils bénéficient de la </w:t>
      </w:r>
      <w:r w:rsidR="003F0F88">
        <w:rPr>
          <w:lang w:val="fr-FR"/>
        </w:rPr>
        <w:t>disposition transitoire</w:t>
      </w:r>
      <w:r w:rsidR="003F0F88" w:rsidRPr="00DA025F">
        <w:rPr>
          <w:lang w:val="fr-FR"/>
        </w:rPr>
        <w:t>, les bateaux-citernes doivent être maintenus au niveau de sécurité constaté au 1.1.1995 pour la classification.</w:t>
      </w:r>
    </w:p>
    <w:p w14:paraId="77C14725" w14:textId="77777777" w:rsidR="003F0F88" w:rsidRPr="00DA025F" w:rsidRDefault="004C211F" w:rsidP="004C211F">
      <w:pPr>
        <w:pStyle w:val="HChG"/>
        <w:rPr>
          <w:lang w:val="fr-FR"/>
        </w:rPr>
      </w:pPr>
      <w:r>
        <w:rPr>
          <w:lang w:val="fr-FR"/>
        </w:rPr>
        <w:tab/>
      </w:r>
      <w:r w:rsidR="003F0F88" w:rsidRPr="00DA025F">
        <w:rPr>
          <w:lang w:val="fr-FR"/>
        </w:rPr>
        <w:t>I.</w:t>
      </w:r>
      <w:r w:rsidR="003F0F88" w:rsidRPr="00DA025F">
        <w:rPr>
          <w:lang w:val="fr-FR"/>
        </w:rPr>
        <w:tab/>
        <w:t>Question d</w:t>
      </w:r>
      <w:r>
        <w:rPr>
          <w:rFonts w:hint="eastAsia"/>
          <w:lang w:val="fr-FR"/>
        </w:rPr>
        <w:t>’</w:t>
      </w:r>
      <w:r w:rsidR="003F0F88" w:rsidRPr="00DA025F">
        <w:rPr>
          <w:lang w:val="fr-FR"/>
        </w:rPr>
        <w:t>interprétation</w:t>
      </w:r>
    </w:p>
    <w:p w14:paraId="4CD35CB6" w14:textId="77777777" w:rsidR="003F0F88" w:rsidRPr="00DA025F" w:rsidRDefault="003F0F88" w:rsidP="004C211F">
      <w:pPr>
        <w:pStyle w:val="SingleTxtG"/>
        <w:ind w:right="851"/>
        <w:rPr>
          <w:lang w:val="fr-FR"/>
        </w:rPr>
      </w:pPr>
      <w:r>
        <w:rPr>
          <w:lang w:val="fr-FR"/>
        </w:rPr>
        <w:t>1</w:t>
      </w:r>
      <w:r w:rsidR="005536C2">
        <w:rPr>
          <w:lang w:val="fr-FR"/>
        </w:rPr>
        <w:t>6</w:t>
      </w:r>
      <w:r w:rsidRPr="00DA025F">
        <w:rPr>
          <w:lang w:val="fr-FR"/>
        </w:rPr>
        <w:t>.</w:t>
      </w:r>
      <w:r w:rsidRPr="00DA025F">
        <w:rPr>
          <w:lang w:val="fr-FR"/>
        </w:rPr>
        <w:tab/>
        <w:t>Il conviendrait de déterminer si, pour le maintien du « niveau de sécurité antérieur », un certificat de classification antérieurement délivré doit être maintenu en permanence et dans quelle mesure ce « standard de sécurité antérieur » est assoupli dès lors qu</w:t>
      </w:r>
      <w:r w:rsidR="004C211F">
        <w:rPr>
          <w:rFonts w:hint="eastAsia"/>
          <w:lang w:val="fr-FR"/>
        </w:rPr>
        <w:t>’</w:t>
      </w:r>
      <w:r w:rsidRPr="00DA025F">
        <w:rPr>
          <w:lang w:val="fr-FR"/>
        </w:rPr>
        <w:t>était initialement présenté un « certificat de classification » pour la délivrance ou le renouvellement du certificat d</w:t>
      </w:r>
      <w:r w:rsidR="004C211F">
        <w:rPr>
          <w:rFonts w:hint="eastAsia"/>
          <w:lang w:val="fr-FR"/>
        </w:rPr>
        <w:t>’</w:t>
      </w:r>
      <w:r w:rsidRPr="00DA025F">
        <w:rPr>
          <w:lang w:val="fr-FR"/>
        </w:rPr>
        <w:t>agrément, alors que par la suite n</w:t>
      </w:r>
      <w:r w:rsidR="004C211F">
        <w:rPr>
          <w:rFonts w:hint="eastAsia"/>
          <w:lang w:val="fr-FR"/>
        </w:rPr>
        <w:t>’</w:t>
      </w:r>
      <w:r w:rsidRPr="00DA025F">
        <w:rPr>
          <w:lang w:val="fr-FR"/>
        </w:rPr>
        <w:t>était requise qu</w:t>
      </w:r>
      <w:r w:rsidR="004C211F">
        <w:rPr>
          <w:rFonts w:hint="eastAsia"/>
          <w:lang w:val="fr-FR"/>
        </w:rPr>
        <w:t>’</w:t>
      </w:r>
      <w:r w:rsidRPr="00DA025F">
        <w:rPr>
          <w:lang w:val="fr-FR"/>
        </w:rPr>
        <w:t>une simple attestation d</w:t>
      </w:r>
      <w:r w:rsidR="004C211F">
        <w:rPr>
          <w:rFonts w:hint="eastAsia"/>
          <w:lang w:val="fr-FR"/>
        </w:rPr>
        <w:t>’</w:t>
      </w:r>
      <w:r w:rsidRPr="00DA025F">
        <w:rPr>
          <w:lang w:val="fr-FR"/>
        </w:rPr>
        <w:t>une société de classification.</w:t>
      </w:r>
    </w:p>
    <w:p w14:paraId="63989F23" w14:textId="77777777" w:rsidR="003F0F88" w:rsidRDefault="005536C2" w:rsidP="004C211F">
      <w:pPr>
        <w:pStyle w:val="SingleTxtG"/>
        <w:ind w:right="851"/>
        <w:rPr>
          <w:b/>
          <w:sz w:val="24"/>
          <w:szCs w:val="24"/>
          <w:lang w:val="fr-FR"/>
        </w:rPr>
      </w:pPr>
      <w:r>
        <w:rPr>
          <w:lang w:val="fr-FR"/>
        </w:rPr>
        <w:t>17.</w:t>
      </w:r>
      <w:r>
        <w:rPr>
          <w:lang w:val="fr-FR"/>
        </w:rPr>
        <w:tab/>
      </w:r>
      <w:r w:rsidR="003F0F88" w:rsidRPr="00DA025F">
        <w:rPr>
          <w:lang w:val="fr-FR"/>
        </w:rPr>
        <w:t>Dans l</w:t>
      </w:r>
      <w:r w:rsidR="004C211F">
        <w:rPr>
          <w:rFonts w:hint="eastAsia"/>
          <w:lang w:val="fr-FR"/>
        </w:rPr>
        <w:t>’</w:t>
      </w:r>
      <w:r w:rsidR="003F0F88" w:rsidRPr="00DA025F">
        <w:rPr>
          <w:lang w:val="fr-FR"/>
        </w:rPr>
        <w:t>affirmative, un certificat d</w:t>
      </w:r>
      <w:r w:rsidR="004C211F">
        <w:rPr>
          <w:rFonts w:hint="eastAsia"/>
          <w:lang w:val="fr-FR"/>
        </w:rPr>
        <w:t>’</w:t>
      </w:r>
      <w:r w:rsidR="003F0F88" w:rsidRPr="00DA025F">
        <w:rPr>
          <w:lang w:val="fr-FR"/>
        </w:rPr>
        <w:t>agrément ne pourrait être renouvelé qu</w:t>
      </w:r>
      <w:r w:rsidR="004C211F">
        <w:rPr>
          <w:rFonts w:hint="eastAsia"/>
          <w:lang w:val="fr-FR"/>
        </w:rPr>
        <w:t>’</w:t>
      </w:r>
      <w:r w:rsidR="003F0F88" w:rsidRPr="00DA025F">
        <w:rPr>
          <w:lang w:val="fr-FR"/>
        </w:rPr>
        <w:t>à la condition que soit observée l</w:t>
      </w:r>
      <w:r w:rsidR="004C211F">
        <w:rPr>
          <w:rFonts w:hint="eastAsia"/>
          <w:lang w:val="fr-FR"/>
        </w:rPr>
        <w:t>’</w:t>
      </w:r>
      <w:r w:rsidR="003F0F88" w:rsidRPr="00DA025F">
        <w:rPr>
          <w:lang w:val="fr-FR"/>
        </w:rPr>
        <w:t xml:space="preserve">exigence du 9.3.3.8.1, </w:t>
      </w:r>
      <w:r w:rsidR="003F0F88" w:rsidRPr="00DA025F">
        <w:rPr>
          <w:b/>
          <w:lang w:val="fr-FR"/>
        </w:rPr>
        <w:t>2ème phrase</w:t>
      </w:r>
      <w:r w:rsidR="003F0F88" w:rsidRPr="00DA025F">
        <w:rPr>
          <w:lang w:val="fr-FR"/>
        </w:rPr>
        <w:t xml:space="preserve">. Cela signifierait que la </w:t>
      </w:r>
      <w:r w:rsidR="003F0F88">
        <w:rPr>
          <w:lang w:val="fr-FR"/>
        </w:rPr>
        <w:t>disposition transitoire</w:t>
      </w:r>
      <w:r w:rsidR="003F0F88" w:rsidRPr="00DA025F">
        <w:rPr>
          <w:lang w:val="fr-FR"/>
        </w:rPr>
        <w:t xml:space="preserve"> ne s</w:t>
      </w:r>
      <w:r w:rsidR="004C211F">
        <w:rPr>
          <w:rFonts w:hint="eastAsia"/>
          <w:lang w:val="fr-FR"/>
        </w:rPr>
        <w:t>’</w:t>
      </w:r>
      <w:r w:rsidR="003F0F88" w:rsidRPr="00DA025F">
        <w:rPr>
          <w:lang w:val="fr-FR"/>
        </w:rPr>
        <w:t>appliquerait pas en cas de présentation volontaire d</w:t>
      </w:r>
      <w:r w:rsidR="004C211F">
        <w:rPr>
          <w:rFonts w:hint="eastAsia"/>
          <w:lang w:val="fr-FR"/>
        </w:rPr>
        <w:t>’</w:t>
      </w:r>
      <w:r w:rsidR="003F0F88" w:rsidRPr="00DA025F">
        <w:rPr>
          <w:lang w:val="fr-FR"/>
        </w:rPr>
        <w:t>un certificat de classification.</w:t>
      </w:r>
    </w:p>
    <w:p w14:paraId="711DE691" w14:textId="77777777" w:rsidR="003F0F88" w:rsidRPr="00DA025F" w:rsidRDefault="004C211F" w:rsidP="004C211F">
      <w:pPr>
        <w:pStyle w:val="HChG"/>
        <w:rPr>
          <w:lang w:val="fr-FR"/>
        </w:rPr>
      </w:pPr>
      <w:r>
        <w:rPr>
          <w:lang w:val="fr-FR"/>
        </w:rPr>
        <w:tab/>
      </w:r>
      <w:r w:rsidR="003F0F88" w:rsidRPr="00DA025F">
        <w:rPr>
          <w:lang w:val="fr-FR"/>
        </w:rPr>
        <w:t>II.</w:t>
      </w:r>
      <w:r w:rsidR="003F0F88" w:rsidRPr="00DA025F">
        <w:rPr>
          <w:lang w:val="fr-FR"/>
        </w:rPr>
        <w:tab/>
        <w:t>Avis de la délégation allemande</w:t>
      </w:r>
    </w:p>
    <w:p w14:paraId="23233540" w14:textId="77777777" w:rsidR="003F0F88" w:rsidRPr="00DA025F" w:rsidRDefault="003F0F88" w:rsidP="004C211F">
      <w:pPr>
        <w:pStyle w:val="SingleTxtG"/>
        <w:ind w:right="851"/>
        <w:rPr>
          <w:lang w:val="fr-FR"/>
        </w:rPr>
      </w:pPr>
      <w:r>
        <w:rPr>
          <w:lang w:val="fr-FR"/>
        </w:rPr>
        <w:t>1</w:t>
      </w:r>
      <w:r w:rsidR="005536C2">
        <w:rPr>
          <w:lang w:val="fr-FR"/>
        </w:rPr>
        <w:t>8</w:t>
      </w:r>
      <w:r w:rsidRPr="00DA025F">
        <w:rPr>
          <w:lang w:val="fr-FR"/>
        </w:rPr>
        <w:t>.</w:t>
      </w:r>
      <w:r w:rsidRPr="00DA025F">
        <w:rPr>
          <w:lang w:val="fr-FR"/>
        </w:rPr>
        <w:tab/>
        <w:t>L</w:t>
      </w:r>
      <w:r w:rsidR="004C211F">
        <w:rPr>
          <w:rFonts w:hint="eastAsia"/>
          <w:lang w:val="fr-FR"/>
        </w:rPr>
        <w:t>’</w:t>
      </w:r>
      <w:r w:rsidRPr="00DA025F">
        <w:rPr>
          <w:lang w:val="fr-FR"/>
        </w:rPr>
        <w:t>Allemagne est d</w:t>
      </w:r>
      <w:r w:rsidR="004C211F">
        <w:rPr>
          <w:rFonts w:hint="eastAsia"/>
          <w:lang w:val="fr-FR"/>
        </w:rPr>
        <w:t>’</w:t>
      </w:r>
      <w:r w:rsidRPr="00DA025F">
        <w:rPr>
          <w:lang w:val="fr-FR"/>
        </w:rPr>
        <w:t xml:space="preserve">avis que le maintien de la classe résultant de la présentation </w:t>
      </w:r>
      <w:r w:rsidRPr="00DA025F">
        <w:rPr>
          <w:b/>
          <w:lang w:val="fr-FR"/>
        </w:rPr>
        <w:t>volontaire</w:t>
      </w:r>
      <w:r w:rsidRPr="00DA025F">
        <w:rPr>
          <w:lang w:val="fr-FR"/>
        </w:rPr>
        <w:t xml:space="preserve"> d</w:t>
      </w:r>
      <w:r w:rsidR="004C211F">
        <w:rPr>
          <w:rFonts w:hint="eastAsia"/>
          <w:lang w:val="fr-FR"/>
        </w:rPr>
        <w:t>’</w:t>
      </w:r>
      <w:r w:rsidRPr="00DA025F">
        <w:rPr>
          <w:lang w:val="fr-FR"/>
        </w:rPr>
        <w:t>un « certificat de classification » avant 1995, pendant qu</w:t>
      </w:r>
      <w:r w:rsidR="004C211F">
        <w:rPr>
          <w:rFonts w:hint="eastAsia"/>
          <w:lang w:val="fr-FR"/>
        </w:rPr>
        <w:t>’</w:t>
      </w:r>
      <w:r w:rsidRPr="00DA025F">
        <w:rPr>
          <w:lang w:val="fr-FR"/>
        </w:rPr>
        <w:t>était applicable l</w:t>
      </w:r>
      <w:r w:rsidR="004C211F">
        <w:rPr>
          <w:rFonts w:hint="eastAsia"/>
          <w:lang w:val="fr-FR"/>
        </w:rPr>
        <w:t>’</w:t>
      </w:r>
      <w:r w:rsidRPr="00DA025F">
        <w:rPr>
          <w:lang w:val="fr-FR"/>
        </w:rPr>
        <w:t>ADNR, doit se poursuivre dans les mêmes conditions aussi depuis le passage à l</w:t>
      </w:r>
      <w:r w:rsidR="004C211F">
        <w:rPr>
          <w:rFonts w:hint="eastAsia"/>
          <w:lang w:val="fr-FR"/>
        </w:rPr>
        <w:t>’</w:t>
      </w:r>
      <w:r w:rsidRPr="00DA025F">
        <w:rPr>
          <w:lang w:val="fr-FR"/>
        </w:rPr>
        <w:t>ADN, faute de quoi serait à craindre une baisse du niveau de sécurité par rapport au standard de sécurité atteint avant 1995.</w:t>
      </w:r>
    </w:p>
    <w:p w14:paraId="18BE935F" w14:textId="77777777" w:rsidR="003F0F88" w:rsidRPr="00DA025F" w:rsidRDefault="005536C2" w:rsidP="004C211F">
      <w:pPr>
        <w:pStyle w:val="SingleTxtG"/>
        <w:ind w:right="851"/>
        <w:rPr>
          <w:lang w:val="fr-FR"/>
        </w:rPr>
      </w:pPr>
      <w:r>
        <w:rPr>
          <w:lang w:val="fr-FR"/>
        </w:rPr>
        <w:t>19.</w:t>
      </w:r>
      <w:r>
        <w:rPr>
          <w:lang w:val="fr-FR"/>
        </w:rPr>
        <w:tab/>
      </w:r>
      <w:r w:rsidR="003F0F88" w:rsidRPr="00DA025F">
        <w:rPr>
          <w:lang w:val="fr-FR"/>
        </w:rPr>
        <w:t>Deux exemples :</w:t>
      </w:r>
    </w:p>
    <w:p w14:paraId="6228630D" w14:textId="77777777" w:rsidR="003F0F88" w:rsidRPr="00DA025F" w:rsidRDefault="004C211F" w:rsidP="004C211F">
      <w:pPr>
        <w:pStyle w:val="Bullet1G"/>
        <w:ind w:right="851"/>
        <w:rPr>
          <w:lang w:val="fr-FR"/>
        </w:rPr>
      </w:pPr>
      <w:r>
        <w:rPr>
          <w:lang w:val="fr-FR"/>
        </w:rPr>
        <w:t>S</w:t>
      </w:r>
      <w:r w:rsidR="003F0F88" w:rsidRPr="00DA025F">
        <w:rPr>
          <w:lang w:val="fr-FR"/>
        </w:rPr>
        <w:t>i un certificat de classification n</w:t>
      </w:r>
      <w:r>
        <w:rPr>
          <w:rFonts w:hint="eastAsia"/>
          <w:lang w:val="fr-FR"/>
        </w:rPr>
        <w:t>’</w:t>
      </w:r>
      <w:r w:rsidR="003F0F88" w:rsidRPr="00DA025F">
        <w:rPr>
          <w:lang w:val="fr-FR"/>
        </w:rPr>
        <w:t>était plus requis, ne serait plus requise non plus la visite périodique du bateau par la société de classification au cours de la troisième année.</w:t>
      </w:r>
    </w:p>
    <w:p w14:paraId="426CC4C3" w14:textId="77777777" w:rsidR="003F0F88" w:rsidRPr="004C211F" w:rsidRDefault="004C211F" w:rsidP="004C211F">
      <w:pPr>
        <w:pStyle w:val="Bullet1G"/>
        <w:ind w:right="851"/>
        <w:rPr>
          <w:lang w:val="fr-FR"/>
        </w:rPr>
      </w:pPr>
      <w:r w:rsidRPr="004C211F">
        <w:rPr>
          <w:lang w:val="fr-FR"/>
        </w:rPr>
        <w:lastRenderedPageBreak/>
        <w:t>L</w:t>
      </w:r>
      <w:r>
        <w:rPr>
          <w:rFonts w:hint="eastAsia"/>
          <w:lang w:val="fr-FR"/>
        </w:rPr>
        <w:t>’</w:t>
      </w:r>
      <w:r w:rsidR="003F0F88" w:rsidRPr="004C211F">
        <w:rPr>
          <w:lang w:val="fr-FR"/>
        </w:rPr>
        <w:t>épaisseur du matériau de la coque ne devrait être conforme qu</w:t>
      </w:r>
      <w:r>
        <w:rPr>
          <w:rFonts w:hint="eastAsia"/>
          <w:lang w:val="fr-FR"/>
        </w:rPr>
        <w:t>’</w:t>
      </w:r>
      <w:r w:rsidR="003F0F88" w:rsidRPr="004C211F">
        <w:rPr>
          <w:lang w:val="fr-FR"/>
        </w:rPr>
        <w:t>aux dispositions de l</w:t>
      </w:r>
      <w:r>
        <w:rPr>
          <w:rFonts w:hint="eastAsia"/>
          <w:lang w:val="fr-FR"/>
        </w:rPr>
        <w:t>’</w:t>
      </w:r>
      <w:r w:rsidR="003F0F88" w:rsidRPr="004C211F">
        <w:rPr>
          <w:lang w:val="fr-FR"/>
        </w:rPr>
        <w:t xml:space="preserve">ES-TRIN, qui dispose que le fond du bateau doit être inspecté non pas tous les cinq ans mais seulement tous les </w:t>
      </w:r>
      <w:r w:rsidRPr="004C211F">
        <w:rPr>
          <w:lang w:val="fr-FR"/>
        </w:rPr>
        <w:t>10</w:t>
      </w:r>
      <w:r w:rsidR="003F0F88" w:rsidRPr="004C211F">
        <w:rPr>
          <w:lang w:val="fr-FR"/>
        </w:rPr>
        <w:t xml:space="preserve"> ans.</w:t>
      </w:r>
    </w:p>
    <w:p w14:paraId="61C53AEA" w14:textId="77777777" w:rsidR="003F0F88" w:rsidRPr="00DA025F" w:rsidRDefault="00712461" w:rsidP="004C211F">
      <w:pPr>
        <w:pStyle w:val="SingleTxtG"/>
        <w:ind w:right="851"/>
        <w:rPr>
          <w:lang w:val="fr-FR"/>
        </w:rPr>
      </w:pPr>
      <w:r>
        <w:rPr>
          <w:lang w:val="fr-FR"/>
        </w:rPr>
        <w:t>20.</w:t>
      </w:r>
      <w:r>
        <w:rPr>
          <w:lang w:val="fr-FR"/>
        </w:rPr>
        <w:tab/>
      </w:r>
      <w:r w:rsidR="003F0F88" w:rsidRPr="00DA025F">
        <w:rPr>
          <w:lang w:val="fr-FR"/>
        </w:rPr>
        <w:t>La délégation allemande estime que, au vu des exemples ci-avant, un standard de sécurité équivalent ne serait plus garanti.</w:t>
      </w:r>
    </w:p>
    <w:p w14:paraId="6672072F" w14:textId="77777777" w:rsidR="003F0F88" w:rsidRDefault="00712461" w:rsidP="004C211F">
      <w:pPr>
        <w:pStyle w:val="SingleTxtG"/>
        <w:ind w:right="851"/>
        <w:rPr>
          <w:lang w:val="fr-FR"/>
        </w:rPr>
      </w:pPr>
      <w:r>
        <w:rPr>
          <w:lang w:val="fr-FR"/>
        </w:rPr>
        <w:t>21.</w:t>
      </w:r>
      <w:r>
        <w:rPr>
          <w:lang w:val="fr-FR"/>
        </w:rPr>
        <w:tab/>
      </w:r>
      <w:r w:rsidR="003F0F88" w:rsidRPr="00DA025F">
        <w:rPr>
          <w:lang w:val="fr-FR"/>
        </w:rPr>
        <w:t>Il convient de noter aussi que, en cas de « déclassement » d</w:t>
      </w:r>
      <w:r w:rsidR="004C211F">
        <w:rPr>
          <w:rFonts w:hint="eastAsia"/>
          <w:lang w:val="fr-FR"/>
        </w:rPr>
        <w:t>’</w:t>
      </w:r>
      <w:r w:rsidR="003F0F88" w:rsidRPr="00DA025F">
        <w:rPr>
          <w:lang w:val="fr-FR"/>
        </w:rPr>
        <w:t xml:space="preserve">un bateau-citerne de type N fermé en bateau-citerne de type N ouvert avec ou sans coupe-flammes, le propriétaire pourrait également prétendre pour son bâtiment au maintien de la classe en se référant à la </w:t>
      </w:r>
      <w:r w:rsidR="003F0F88">
        <w:rPr>
          <w:lang w:val="fr-FR"/>
        </w:rPr>
        <w:t>disposition transitoire</w:t>
      </w:r>
      <w:r w:rsidR="003F0F88" w:rsidRPr="00DA025F">
        <w:rPr>
          <w:lang w:val="fr-FR"/>
        </w:rPr>
        <w:t>, bien que ce maintien ne soit pas nécessaire. Cela se traduirait par un abaissement manifeste du standard de sécurité précédemment atteint.</w:t>
      </w:r>
    </w:p>
    <w:p w14:paraId="3F8A90A8" w14:textId="77777777" w:rsidR="004C211F" w:rsidRPr="004C211F" w:rsidRDefault="004C211F" w:rsidP="004C211F">
      <w:pPr>
        <w:spacing w:before="240"/>
        <w:jc w:val="center"/>
        <w:rPr>
          <w:u w:val="single"/>
          <w:lang w:val="fr-FR"/>
        </w:rPr>
      </w:pPr>
      <w:r>
        <w:rPr>
          <w:u w:val="single"/>
          <w:lang w:val="fr-FR"/>
        </w:rPr>
        <w:tab/>
      </w:r>
      <w:r>
        <w:rPr>
          <w:u w:val="single"/>
          <w:lang w:val="fr-FR"/>
        </w:rPr>
        <w:tab/>
      </w:r>
      <w:r>
        <w:rPr>
          <w:u w:val="single"/>
          <w:lang w:val="fr-FR"/>
        </w:rPr>
        <w:tab/>
      </w:r>
    </w:p>
    <w:sectPr w:rsidR="004C211F" w:rsidRPr="004C211F" w:rsidSect="004C211F">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27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E6331E" w14:textId="77777777" w:rsidR="00A91351" w:rsidRDefault="00A91351" w:rsidP="00F95C08">
      <w:pPr>
        <w:spacing w:line="240" w:lineRule="auto"/>
      </w:pPr>
    </w:p>
  </w:endnote>
  <w:endnote w:type="continuationSeparator" w:id="0">
    <w:p w14:paraId="77550004" w14:textId="77777777" w:rsidR="00A91351" w:rsidRPr="00AC3823" w:rsidRDefault="00A91351" w:rsidP="00AC3823">
      <w:pPr>
        <w:pStyle w:val="Footer"/>
      </w:pPr>
    </w:p>
  </w:endnote>
  <w:endnote w:type="continuationNotice" w:id="1">
    <w:p w14:paraId="62B28001" w14:textId="77777777" w:rsidR="00A91351" w:rsidRDefault="00A9135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DACD8" w14:textId="77777777" w:rsidR="00A91351" w:rsidRPr="00A91351" w:rsidRDefault="00A91351" w:rsidP="00A91351">
    <w:pPr>
      <w:pStyle w:val="Footer"/>
      <w:tabs>
        <w:tab w:val="right" w:pos="9638"/>
      </w:tabs>
      <w:rPr>
        <w:sz w:val="18"/>
      </w:rPr>
    </w:pPr>
    <w:r w:rsidRPr="00A91351">
      <w:rPr>
        <w:b/>
        <w:sz w:val="18"/>
      </w:rPr>
      <w:fldChar w:fldCharType="begin"/>
    </w:r>
    <w:r w:rsidRPr="00A91351">
      <w:rPr>
        <w:b/>
        <w:sz w:val="18"/>
      </w:rPr>
      <w:instrText xml:space="preserve"> PAGE  \* MERGEFORMAT </w:instrText>
    </w:r>
    <w:r w:rsidRPr="00A91351">
      <w:rPr>
        <w:b/>
        <w:sz w:val="18"/>
      </w:rPr>
      <w:fldChar w:fldCharType="separate"/>
    </w:r>
    <w:r w:rsidRPr="00A91351">
      <w:rPr>
        <w:b/>
        <w:noProof/>
        <w:sz w:val="18"/>
      </w:rPr>
      <w:t>2</w:t>
    </w:r>
    <w:r w:rsidRPr="00A91351">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59244" w14:textId="77777777" w:rsidR="00A91351" w:rsidRPr="00A91351" w:rsidRDefault="00A91351" w:rsidP="00A91351">
    <w:pPr>
      <w:pStyle w:val="Footer"/>
      <w:tabs>
        <w:tab w:val="right" w:pos="9638"/>
      </w:tabs>
      <w:rPr>
        <w:b/>
        <w:sz w:val="18"/>
      </w:rPr>
    </w:pPr>
    <w:r>
      <w:tab/>
    </w:r>
    <w:r w:rsidRPr="00A91351">
      <w:rPr>
        <w:b/>
        <w:sz w:val="18"/>
      </w:rPr>
      <w:fldChar w:fldCharType="begin"/>
    </w:r>
    <w:r w:rsidRPr="00A91351">
      <w:rPr>
        <w:b/>
        <w:sz w:val="18"/>
      </w:rPr>
      <w:instrText xml:space="preserve"> PAGE  \* MERGEFORMAT </w:instrText>
    </w:r>
    <w:r w:rsidRPr="00A91351">
      <w:rPr>
        <w:b/>
        <w:sz w:val="18"/>
      </w:rPr>
      <w:fldChar w:fldCharType="separate"/>
    </w:r>
    <w:r w:rsidRPr="00A91351">
      <w:rPr>
        <w:b/>
        <w:noProof/>
        <w:sz w:val="18"/>
      </w:rPr>
      <w:t>3</w:t>
    </w:r>
    <w:r w:rsidRPr="00A9135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7E617" w14:textId="77777777" w:rsidR="000D3EE9" w:rsidRPr="00A91351" w:rsidRDefault="000D3EE9" w:rsidP="0001207F">
    <w:pPr>
      <w:pStyle w:val="Footer"/>
      <w:spacing w:before="12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441999" w14:textId="77777777" w:rsidR="00A91351" w:rsidRPr="00AC3823" w:rsidRDefault="00A91351" w:rsidP="00AC3823">
      <w:pPr>
        <w:pStyle w:val="Footer"/>
        <w:tabs>
          <w:tab w:val="right" w:pos="2155"/>
        </w:tabs>
        <w:spacing w:after="80" w:line="240" w:lineRule="atLeast"/>
        <w:ind w:left="680"/>
        <w:rPr>
          <w:u w:val="single"/>
        </w:rPr>
      </w:pPr>
      <w:r>
        <w:rPr>
          <w:u w:val="single"/>
        </w:rPr>
        <w:tab/>
      </w:r>
    </w:p>
  </w:footnote>
  <w:footnote w:type="continuationSeparator" w:id="0">
    <w:p w14:paraId="077C9BFC" w14:textId="77777777" w:rsidR="00A91351" w:rsidRPr="00AC3823" w:rsidRDefault="00A91351" w:rsidP="00AC3823">
      <w:pPr>
        <w:pStyle w:val="Footer"/>
        <w:tabs>
          <w:tab w:val="right" w:pos="2155"/>
        </w:tabs>
        <w:spacing w:after="80" w:line="240" w:lineRule="atLeast"/>
        <w:ind w:left="680"/>
        <w:rPr>
          <w:u w:val="single"/>
        </w:rPr>
      </w:pPr>
      <w:r>
        <w:rPr>
          <w:u w:val="single"/>
        </w:rPr>
        <w:tab/>
      </w:r>
    </w:p>
  </w:footnote>
  <w:footnote w:type="continuationNotice" w:id="1">
    <w:p w14:paraId="7ED5DFE6" w14:textId="77777777" w:rsidR="00A91351" w:rsidRPr="00AC3823" w:rsidRDefault="00A91351">
      <w:pPr>
        <w:spacing w:line="240" w:lineRule="auto"/>
        <w:rPr>
          <w:sz w:val="2"/>
          <w:szCs w:val="2"/>
        </w:rPr>
      </w:pPr>
    </w:p>
  </w:footnote>
  <w:footnote w:id="2">
    <w:p w14:paraId="7A533A05" w14:textId="77777777" w:rsidR="003F0F88" w:rsidRPr="003F0F88" w:rsidRDefault="003F0F88">
      <w:pPr>
        <w:pStyle w:val="FootnoteText"/>
      </w:pPr>
      <w:r>
        <w:rPr>
          <w:rStyle w:val="FootnoteReference"/>
        </w:rPr>
        <w:tab/>
      </w:r>
      <w:r w:rsidRPr="00F8009F">
        <w:rPr>
          <w:rStyle w:val="FootnoteReference"/>
          <w:sz w:val="20"/>
        </w:rPr>
        <w:t>*</w:t>
      </w:r>
      <w:r>
        <w:rPr>
          <w:rStyle w:val="FootnoteReference"/>
          <w:sz w:val="20"/>
          <w:vertAlign w:val="baseline"/>
        </w:rPr>
        <w:tab/>
      </w:r>
      <w:r w:rsidRPr="003F0F88">
        <w:rPr>
          <w:szCs w:val="18"/>
          <w:lang w:val="fr-FR"/>
        </w:rPr>
        <w:t>Diffusé en langue allemande par la Commission centrale pour la navigation du Rhin sous la cote CCNR/ZKR/ADN/WP.15/AC.2/2020/</w:t>
      </w:r>
      <w:r w:rsidR="005536C2">
        <w:rPr>
          <w:szCs w:val="18"/>
          <w:lang w:val="fr-FR"/>
        </w:rPr>
        <w:t>9</w:t>
      </w:r>
      <w:r w:rsidRPr="003F0F88">
        <w:rPr>
          <w:szCs w:val="18"/>
          <w:lang w:val="fr-FR"/>
        </w:rPr>
        <w:t>.</w:t>
      </w:r>
    </w:p>
  </w:footnote>
  <w:footnote w:id="3">
    <w:p w14:paraId="65E5C115" w14:textId="77777777" w:rsidR="003F0F88" w:rsidRPr="003F0F88" w:rsidRDefault="003F0F88">
      <w:pPr>
        <w:pStyle w:val="FootnoteText"/>
      </w:pPr>
      <w:r>
        <w:rPr>
          <w:rStyle w:val="FootnoteReference"/>
        </w:rPr>
        <w:tab/>
      </w:r>
      <w:r w:rsidRPr="00F8009F">
        <w:rPr>
          <w:rStyle w:val="FootnoteReference"/>
          <w:sz w:val="20"/>
        </w:rPr>
        <w:t>**</w:t>
      </w:r>
      <w:r>
        <w:rPr>
          <w:rStyle w:val="FootnoteReference"/>
          <w:sz w:val="20"/>
          <w:vertAlign w:val="baseline"/>
        </w:rPr>
        <w:tab/>
      </w:r>
      <w:r w:rsidRPr="003F0F88">
        <w:rPr>
          <w:szCs w:val="18"/>
          <w:lang w:val="fr-FR"/>
        </w:rPr>
        <w:t>Conformément au programme de travail du Comité des transports intérieurs pour 2018-2019 (ECE/TRANS/2018/21/Add.1, (9.3)).</w:t>
      </w:r>
    </w:p>
  </w:footnote>
  <w:footnote w:id="4">
    <w:p w14:paraId="3A2D38CB" w14:textId="77777777" w:rsidR="003F0F88" w:rsidRDefault="003F0F88" w:rsidP="003F0F88">
      <w:pPr>
        <w:pStyle w:val="FootnoteText"/>
        <w:widowControl w:val="0"/>
        <w:tabs>
          <w:tab w:val="clear" w:pos="1021"/>
          <w:tab w:val="right" w:pos="1020"/>
        </w:tabs>
      </w:pPr>
      <w:r>
        <w:tab/>
      </w:r>
      <w:r>
        <w:rPr>
          <w:rStyle w:val="FootnoteReference"/>
        </w:rPr>
        <w:footnoteRef/>
      </w:r>
      <w:r>
        <w:tab/>
        <w:t xml:space="preserve"> </w:t>
      </w:r>
      <w:r w:rsidRPr="003F0F88">
        <w:rPr>
          <w:szCs w:val="18"/>
          <w:lang w:val="fr-FR"/>
        </w:rPr>
        <w:t>Note du secrétariat de la CCNR : le terme allemand correspondant : « </w:t>
      </w:r>
      <w:proofErr w:type="spellStart"/>
      <w:r w:rsidRPr="003F0F88">
        <w:rPr>
          <w:szCs w:val="18"/>
          <w:lang w:val="fr-FR"/>
        </w:rPr>
        <w:t>Übergangsvorschriften</w:t>
      </w:r>
      <w:proofErr w:type="spellEnd"/>
      <w:r w:rsidRPr="003F0F88">
        <w:rPr>
          <w:szCs w:val="18"/>
          <w:lang w:val="fr-FR"/>
        </w:rPr>
        <w:t> » utilisé dans ce document est traduit à la fois par « dispositions transitoires », « mesures transitoires » et « prescriptions transitoires » dans la version française de l’ADN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CC06D" w14:textId="00DCA4A1" w:rsidR="00A91351" w:rsidRPr="00A91351" w:rsidRDefault="00732B1A">
    <w:pPr>
      <w:pStyle w:val="Header"/>
    </w:pPr>
    <w:fldSimple w:instr=" TITLE  \* MERGEFORMAT ">
      <w:r w:rsidR="00444890">
        <w:t>ECE/TRANS/WP.15/AC.2/2020/9</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DEAC7" w14:textId="5B32B78D" w:rsidR="00A91351" w:rsidRPr="00A91351" w:rsidRDefault="00732B1A" w:rsidP="00A91351">
    <w:pPr>
      <w:pStyle w:val="Header"/>
      <w:jc w:val="right"/>
    </w:pPr>
    <w:fldSimple w:instr=" TITLE  \* MERGEFORMAT ">
      <w:r w:rsidR="00444890">
        <w:t>ECE/TRANS/WP.15/AC.2/2020/9</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3057EFE"/>
    <w:multiLevelType w:val="hybridMultilevel"/>
    <w:tmpl w:val="B5FC142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2"/>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defaultTabStop w:val="567"/>
  <w:hyphenationZone w:val="425"/>
  <w:evenAndOddHeaders/>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F2324AE-7E1B-46E0-BE39-6171A5137F5D}"/>
    <w:docVar w:name="dgnword-eventsink" w:val="646185176"/>
  </w:docVars>
  <w:rsids>
    <w:rsidRoot w:val="00A91351"/>
    <w:rsid w:val="0001207F"/>
    <w:rsid w:val="00017F94"/>
    <w:rsid w:val="00023842"/>
    <w:rsid w:val="000334F9"/>
    <w:rsid w:val="0004639C"/>
    <w:rsid w:val="0007796D"/>
    <w:rsid w:val="000942EE"/>
    <w:rsid w:val="000A52BF"/>
    <w:rsid w:val="000B7790"/>
    <w:rsid w:val="000D3EE9"/>
    <w:rsid w:val="000D62F3"/>
    <w:rsid w:val="00111F2F"/>
    <w:rsid w:val="001433FD"/>
    <w:rsid w:val="0014365E"/>
    <w:rsid w:val="001541D3"/>
    <w:rsid w:val="00156B77"/>
    <w:rsid w:val="00176178"/>
    <w:rsid w:val="00177140"/>
    <w:rsid w:val="001D400F"/>
    <w:rsid w:val="001F525A"/>
    <w:rsid w:val="00223272"/>
    <w:rsid w:val="00240333"/>
    <w:rsid w:val="0024779E"/>
    <w:rsid w:val="002832AC"/>
    <w:rsid w:val="002D7C93"/>
    <w:rsid w:val="002F382F"/>
    <w:rsid w:val="0037241C"/>
    <w:rsid w:val="003819FF"/>
    <w:rsid w:val="003F0F88"/>
    <w:rsid w:val="00441C3B"/>
    <w:rsid w:val="00444890"/>
    <w:rsid w:val="00446B0A"/>
    <w:rsid w:val="00446FE5"/>
    <w:rsid w:val="00452396"/>
    <w:rsid w:val="00471288"/>
    <w:rsid w:val="0049687C"/>
    <w:rsid w:val="004C211F"/>
    <w:rsid w:val="004E468C"/>
    <w:rsid w:val="005316B0"/>
    <w:rsid w:val="005505B7"/>
    <w:rsid w:val="005536C2"/>
    <w:rsid w:val="00573BE5"/>
    <w:rsid w:val="00586ED3"/>
    <w:rsid w:val="00596AA9"/>
    <w:rsid w:val="005B4D0F"/>
    <w:rsid w:val="00703D0F"/>
    <w:rsid w:val="00706363"/>
    <w:rsid w:val="00711C87"/>
    <w:rsid w:val="00712461"/>
    <w:rsid w:val="007158BB"/>
    <w:rsid w:val="0071601D"/>
    <w:rsid w:val="00732B1A"/>
    <w:rsid w:val="0075410D"/>
    <w:rsid w:val="007A62E6"/>
    <w:rsid w:val="0080684C"/>
    <w:rsid w:val="008204DA"/>
    <w:rsid w:val="008535AD"/>
    <w:rsid w:val="00867147"/>
    <w:rsid w:val="00871C75"/>
    <w:rsid w:val="008767E8"/>
    <w:rsid w:val="008776DC"/>
    <w:rsid w:val="00883605"/>
    <w:rsid w:val="008E6043"/>
    <w:rsid w:val="00961E7B"/>
    <w:rsid w:val="009705C8"/>
    <w:rsid w:val="009C1CF4"/>
    <w:rsid w:val="009F02C9"/>
    <w:rsid w:val="00A30353"/>
    <w:rsid w:val="00A60A9E"/>
    <w:rsid w:val="00A62D91"/>
    <w:rsid w:val="00A90D54"/>
    <w:rsid w:val="00A91351"/>
    <w:rsid w:val="00AA113A"/>
    <w:rsid w:val="00AC3823"/>
    <w:rsid w:val="00AE323C"/>
    <w:rsid w:val="00AF774C"/>
    <w:rsid w:val="00B00181"/>
    <w:rsid w:val="00B00B0D"/>
    <w:rsid w:val="00B40927"/>
    <w:rsid w:val="00B50E25"/>
    <w:rsid w:val="00B64918"/>
    <w:rsid w:val="00B765F7"/>
    <w:rsid w:val="00BA0CA9"/>
    <w:rsid w:val="00C02897"/>
    <w:rsid w:val="00C1626B"/>
    <w:rsid w:val="00C66A47"/>
    <w:rsid w:val="00C7616F"/>
    <w:rsid w:val="00CB16B5"/>
    <w:rsid w:val="00CE0608"/>
    <w:rsid w:val="00D3439C"/>
    <w:rsid w:val="00D44CF3"/>
    <w:rsid w:val="00D46C8C"/>
    <w:rsid w:val="00DA283D"/>
    <w:rsid w:val="00DB1831"/>
    <w:rsid w:val="00DD3BFD"/>
    <w:rsid w:val="00DE239D"/>
    <w:rsid w:val="00DF431C"/>
    <w:rsid w:val="00DF6678"/>
    <w:rsid w:val="00E428C8"/>
    <w:rsid w:val="00EF2E22"/>
    <w:rsid w:val="00F0592C"/>
    <w:rsid w:val="00F06ED4"/>
    <w:rsid w:val="00F43289"/>
    <w:rsid w:val="00F660DF"/>
    <w:rsid w:val="00F8009F"/>
    <w:rsid w:val="00F95C08"/>
    <w:rsid w:val="00FD1581"/>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CE2F6AA"/>
  <w15:docId w15:val="{1895243D-1573-410F-A004-8924A24FC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0E25"/>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Footnote Reference/"/>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706363"/>
    <w:rPr>
      <w:color w:val="0000FF"/>
      <w:u w:val="none"/>
    </w:rPr>
  </w:style>
  <w:style w:type="character" w:styleId="FollowedHyperlink">
    <w:name w:val="FollowedHyperlink"/>
    <w:basedOn w:val="DefaultParagraphFont"/>
    <w:unhideWhenUsed/>
    <w:rsid w:val="00706363"/>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433F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3FD"/>
    <w:rPr>
      <w:rFonts w:ascii="Tahoma" w:hAnsi="Tahoma" w:cs="Tahoma"/>
      <w:sz w:val="16"/>
      <w:szCs w:val="16"/>
      <w:lang w:eastAsia="en-US"/>
    </w:rPr>
  </w:style>
  <w:style w:type="character" w:customStyle="1" w:styleId="SingleTxtGChar">
    <w:name w:val="_ Single Txt_G Char"/>
    <w:link w:val="SingleTxtG"/>
    <w:rsid w:val="0001207F"/>
    <w:rPr>
      <w:rFonts w:ascii="Times New Roman" w:hAnsi="Times New Roman" w:cs="Times New Roman"/>
      <w:sz w:val="20"/>
      <w:szCs w:val="20"/>
      <w:lang w:eastAsia="en-US"/>
    </w:rPr>
  </w:style>
  <w:style w:type="character" w:customStyle="1" w:styleId="HChGChar">
    <w:name w:val="_ H _Ch_G Char"/>
    <w:link w:val="HChG"/>
    <w:rsid w:val="0001207F"/>
    <w:rPr>
      <w:rFonts w:ascii="Times New Roman" w:hAnsi="Times New Roman" w:cs="Times New Roman"/>
      <w:b/>
      <w:sz w:val="28"/>
      <w:szCs w:val="20"/>
      <w:lang w:eastAsia="en-US"/>
    </w:rPr>
  </w:style>
  <w:style w:type="paragraph" w:styleId="ListParagraph">
    <w:name w:val="List Paragraph"/>
    <w:basedOn w:val="Normal"/>
    <w:uiPriority w:val="34"/>
    <w:qFormat/>
    <w:rsid w:val="003F0F88"/>
    <w:pPr>
      <w:kinsoku/>
      <w:overflowPunct/>
      <w:autoSpaceDE/>
      <w:autoSpaceDN/>
      <w:adjustRightInd/>
      <w:snapToGrid/>
      <w:ind w:left="720"/>
      <w:contextualSpacing/>
    </w:pPr>
    <w:rPr>
      <w:snapToGrid w:val="0"/>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341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1_24_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TRANS_WP1_24_F.dotm</Template>
  <TotalTime>49</TotalTime>
  <Pages>4</Pages>
  <Words>1414</Words>
  <Characters>7932</Characters>
  <Application>Microsoft Office Word</Application>
  <DocSecurity>0</DocSecurity>
  <Lines>162</Lines>
  <Paragraphs>71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ECE/TRANS/WP.15/AC.2/2020/9</vt:lpstr>
      <vt:lpstr>ECE/EX/22</vt:lpstr>
    </vt:vector>
  </TitlesOfParts>
  <Company>DCM</Company>
  <LinksUpToDate>false</LinksUpToDate>
  <CharactersWithSpaces>9302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ECE/TRANS/WP.15/AC.2/2020/9</dc:title>
  <dc:subject>FINAL</dc:subject>
  <dc:creator>Marie-Claude Collet</dc:creator>
  <cp:keywords/>
  <dc:description/>
  <cp:lastModifiedBy>Marie-Claude Collet</cp:lastModifiedBy>
  <cp:revision>11</cp:revision>
  <cp:lastPrinted>2019-11-11T14:59:00Z</cp:lastPrinted>
  <dcterms:created xsi:type="dcterms:W3CDTF">2019-10-24T13:20:00Z</dcterms:created>
  <dcterms:modified xsi:type="dcterms:W3CDTF">2019-11-11T15:00:00Z</dcterms:modified>
</cp:coreProperties>
</file>