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AA06A84" w14:textId="77777777" w:rsidTr="000D1B89">
        <w:trPr>
          <w:cantSplit/>
          <w:trHeight w:hRule="exact" w:val="851"/>
        </w:trPr>
        <w:tc>
          <w:tcPr>
            <w:tcW w:w="1276" w:type="dxa"/>
            <w:tcBorders>
              <w:bottom w:val="single" w:sz="4" w:space="0" w:color="auto"/>
            </w:tcBorders>
            <w:vAlign w:val="bottom"/>
          </w:tcPr>
          <w:p w14:paraId="18564FA8"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423AA23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6D1A8D" w14:textId="77777777" w:rsidR="00717266" w:rsidRPr="00D47EEA" w:rsidRDefault="00E177BC" w:rsidP="00E177BC">
            <w:pPr>
              <w:suppressAutoHyphens w:val="0"/>
              <w:spacing w:after="20"/>
              <w:jc w:val="right"/>
            </w:pPr>
            <w:r w:rsidRPr="00E177BC">
              <w:rPr>
                <w:sz w:val="40"/>
              </w:rPr>
              <w:t>ECE</w:t>
            </w:r>
            <w:r>
              <w:t>/TRANS/WP.15/AC.2/2020/13</w:t>
            </w:r>
          </w:p>
        </w:tc>
      </w:tr>
      <w:tr w:rsidR="00717266" w14:paraId="2AAC1856" w14:textId="77777777" w:rsidTr="000D1B89">
        <w:trPr>
          <w:cantSplit/>
          <w:trHeight w:hRule="exact" w:val="2835"/>
        </w:trPr>
        <w:tc>
          <w:tcPr>
            <w:tcW w:w="1276" w:type="dxa"/>
            <w:tcBorders>
              <w:top w:val="single" w:sz="4" w:space="0" w:color="auto"/>
              <w:bottom w:val="single" w:sz="12" w:space="0" w:color="auto"/>
            </w:tcBorders>
          </w:tcPr>
          <w:p w14:paraId="172314E2" w14:textId="77777777" w:rsidR="00717266" w:rsidRDefault="00717266" w:rsidP="000D1B89">
            <w:pPr>
              <w:spacing w:before="120"/>
            </w:pPr>
            <w:r>
              <w:rPr>
                <w:noProof/>
                <w:lang w:eastAsia="zh-CN"/>
              </w:rPr>
              <w:drawing>
                <wp:inline distT="0" distB="0" distL="0" distR="0" wp14:anchorId="7315F1FA" wp14:editId="2BF0F8E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7E4EE2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913604" w14:textId="77777777" w:rsidR="00717266" w:rsidRDefault="00E177BC" w:rsidP="00E177BC">
            <w:pPr>
              <w:spacing w:before="240"/>
            </w:pPr>
            <w:r>
              <w:t>Distr.: General</w:t>
            </w:r>
          </w:p>
          <w:p w14:paraId="31D22E37" w14:textId="77777777" w:rsidR="00E177BC" w:rsidRDefault="00E177BC" w:rsidP="00E177BC">
            <w:pPr>
              <w:suppressAutoHyphens w:val="0"/>
            </w:pPr>
            <w:r>
              <w:t>12 November 2019</w:t>
            </w:r>
          </w:p>
          <w:p w14:paraId="6743C9FF" w14:textId="77777777" w:rsidR="00E177BC" w:rsidRDefault="00C04BBE" w:rsidP="00E177BC">
            <w:pPr>
              <w:suppressAutoHyphens w:val="0"/>
            </w:pPr>
            <w:r>
              <w:t>English</w:t>
            </w:r>
          </w:p>
          <w:p w14:paraId="2EA9298F" w14:textId="77777777" w:rsidR="00E177BC" w:rsidRDefault="00E177BC" w:rsidP="00E177BC">
            <w:pPr>
              <w:suppressAutoHyphens w:val="0"/>
            </w:pPr>
            <w:r>
              <w:t>Original: French</w:t>
            </w:r>
          </w:p>
        </w:tc>
      </w:tr>
    </w:tbl>
    <w:p w14:paraId="272E565D" w14:textId="77777777" w:rsidR="00E177BC" w:rsidRDefault="00E177BC">
      <w:pPr>
        <w:spacing w:before="120"/>
        <w:rPr>
          <w:b/>
          <w:sz w:val="28"/>
          <w:szCs w:val="28"/>
        </w:rPr>
      </w:pPr>
      <w:r>
        <w:rPr>
          <w:b/>
          <w:sz w:val="28"/>
          <w:szCs w:val="28"/>
        </w:rPr>
        <w:t>Economic Commission for Europe</w:t>
      </w:r>
    </w:p>
    <w:p w14:paraId="37B3ED53" w14:textId="77777777" w:rsidR="00E177BC" w:rsidRDefault="00E177BC">
      <w:pPr>
        <w:spacing w:before="120"/>
        <w:rPr>
          <w:sz w:val="28"/>
          <w:szCs w:val="28"/>
        </w:rPr>
      </w:pPr>
      <w:r>
        <w:rPr>
          <w:sz w:val="28"/>
          <w:szCs w:val="28"/>
        </w:rPr>
        <w:t>Inland Transport Committee</w:t>
      </w:r>
    </w:p>
    <w:p w14:paraId="0CA46432" w14:textId="77777777" w:rsidR="00E177BC" w:rsidRPr="002055DE" w:rsidRDefault="00E177BC" w:rsidP="00402E1D">
      <w:pPr>
        <w:spacing w:before="120"/>
      </w:pPr>
      <w:r>
        <w:rPr>
          <w:b/>
          <w:sz w:val="24"/>
          <w:szCs w:val="24"/>
        </w:rPr>
        <w:t xml:space="preserve">Working Party on the Transport of </w:t>
      </w:r>
      <w:r w:rsidR="00402E1D" w:rsidRPr="00402E1D">
        <w:rPr>
          <w:b/>
          <w:sz w:val="24"/>
          <w:szCs w:val="24"/>
        </w:rPr>
        <w:t>Dangerous Goods</w:t>
      </w:r>
    </w:p>
    <w:p w14:paraId="19A479E1" w14:textId="77777777" w:rsidR="00E177BC" w:rsidRPr="00402E1D" w:rsidRDefault="00E177BC" w:rsidP="00402E1D">
      <w:pPr>
        <w:spacing w:before="120"/>
        <w:rPr>
          <w:b/>
          <w:bCs/>
        </w:rPr>
      </w:pPr>
      <w:r w:rsidRPr="00402E1D">
        <w:rPr>
          <w:b/>
          <w:bCs/>
        </w:rPr>
        <w:t>Joint Meeting of Experts on the Regulations</w:t>
      </w:r>
      <w:r w:rsidR="0097694D">
        <w:rPr>
          <w:b/>
          <w:bCs/>
        </w:rPr>
        <w:t xml:space="preserve"> </w:t>
      </w:r>
      <w:r w:rsidRPr="00402E1D">
        <w:rPr>
          <w:b/>
          <w:bCs/>
        </w:rPr>
        <w:t xml:space="preserve">annexed to the </w:t>
      </w:r>
      <w:r w:rsidR="00327986">
        <w:rPr>
          <w:b/>
          <w:bCs/>
        </w:rPr>
        <w:br/>
      </w:r>
      <w:r w:rsidRPr="00402E1D">
        <w:rPr>
          <w:b/>
          <w:bCs/>
        </w:rPr>
        <w:t>European Agreement concerning</w:t>
      </w:r>
      <w:r w:rsidR="0097694D">
        <w:rPr>
          <w:b/>
          <w:bCs/>
        </w:rPr>
        <w:t xml:space="preserve"> </w:t>
      </w:r>
      <w:r w:rsidRPr="00402E1D">
        <w:rPr>
          <w:b/>
          <w:bCs/>
        </w:rPr>
        <w:t xml:space="preserve">the International Carriage </w:t>
      </w:r>
      <w:r w:rsidR="0097694D">
        <w:rPr>
          <w:b/>
          <w:bCs/>
        </w:rPr>
        <w:br/>
      </w:r>
      <w:r w:rsidRPr="00402E1D">
        <w:rPr>
          <w:b/>
          <w:bCs/>
        </w:rPr>
        <w:t>of Dangerous Goods by</w:t>
      </w:r>
      <w:r w:rsidR="0097694D">
        <w:rPr>
          <w:b/>
          <w:bCs/>
        </w:rPr>
        <w:t xml:space="preserve"> </w:t>
      </w:r>
      <w:r w:rsidRPr="00402E1D">
        <w:rPr>
          <w:b/>
          <w:bCs/>
        </w:rPr>
        <w:t xml:space="preserve">Inland Waterways (ADN) </w:t>
      </w:r>
      <w:r w:rsidR="0097694D">
        <w:rPr>
          <w:b/>
          <w:bCs/>
        </w:rPr>
        <w:br/>
      </w:r>
      <w:r w:rsidRPr="00402E1D">
        <w:rPr>
          <w:b/>
          <w:bCs/>
        </w:rPr>
        <w:t>(ADN Safety Committee)</w:t>
      </w:r>
    </w:p>
    <w:p w14:paraId="55E46A8E" w14:textId="77777777" w:rsidR="00E177BC" w:rsidRPr="00402E1D" w:rsidRDefault="00E177BC" w:rsidP="00402E1D">
      <w:pPr>
        <w:spacing w:before="120"/>
        <w:rPr>
          <w:b/>
          <w:bCs/>
        </w:rPr>
      </w:pPr>
      <w:r w:rsidRPr="00402E1D">
        <w:rPr>
          <w:b/>
          <w:bCs/>
        </w:rPr>
        <w:t>Thirty-sixth session</w:t>
      </w:r>
    </w:p>
    <w:p w14:paraId="36D89DCE" w14:textId="77777777" w:rsidR="00E177BC" w:rsidRPr="002055DE" w:rsidRDefault="00E177BC" w:rsidP="00E177BC">
      <w:r w:rsidRPr="002055DE">
        <w:t>Geneva, 27–31 January 2020</w:t>
      </w:r>
    </w:p>
    <w:p w14:paraId="2F2AC7F8" w14:textId="77777777" w:rsidR="00E177BC" w:rsidRPr="002055DE" w:rsidRDefault="00E177BC" w:rsidP="00E177BC">
      <w:r w:rsidRPr="002055DE">
        <w:t>Item 5 (b) of the provisional agenda</w:t>
      </w:r>
    </w:p>
    <w:p w14:paraId="174650A9" w14:textId="77777777" w:rsidR="00E177BC" w:rsidRPr="00402E1D" w:rsidRDefault="00E177BC" w:rsidP="00E177BC">
      <w:pPr>
        <w:rPr>
          <w:b/>
          <w:bCs/>
        </w:rPr>
      </w:pPr>
      <w:r w:rsidRPr="00402E1D">
        <w:rPr>
          <w:b/>
          <w:bCs/>
        </w:rPr>
        <w:t xml:space="preserve">Proposals for amendments to the Regulations annexed to ADN: </w:t>
      </w:r>
      <w:r w:rsidRPr="00402E1D">
        <w:rPr>
          <w:b/>
          <w:bCs/>
        </w:rPr>
        <w:br/>
        <w:t>Other proposals</w:t>
      </w:r>
    </w:p>
    <w:p w14:paraId="7F911585" w14:textId="77777777" w:rsidR="00E177BC" w:rsidRPr="002055DE" w:rsidRDefault="00E177BC" w:rsidP="00402E1D">
      <w:pPr>
        <w:pStyle w:val="HChG"/>
      </w:pPr>
      <w:r w:rsidRPr="002055DE">
        <w:tab/>
      </w:r>
      <w:r w:rsidRPr="002055DE">
        <w:tab/>
        <w:t>Amendment to 7.1.4.1: Limitation of the quantities carried</w:t>
      </w:r>
    </w:p>
    <w:p w14:paraId="7BF37D02" w14:textId="77777777" w:rsidR="00E177BC" w:rsidRPr="002055DE" w:rsidRDefault="00E177BC" w:rsidP="00402E1D">
      <w:pPr>
        <w:pStyle w:val="H1G"/>
      </w:pPr>
      <w:r w:rsidRPr="002055DE">
        <w:tab/>
      </w:r>
      <w:r w:rsidRPr="002055DE">
        <w:tab/>
        <w:t>Transmitted jointly by the European Barge Union (EBU) and the European Skippers Organisation (ESO)</w:t>
      </w:r>
      <w:r w:rsidRPr="00402E1D">
        <w:rPr>
          <w:b w:val="0"/>
          <w:bCs/>
          <w:sz w:val="20"/>
        </w:rPr>
        <w:footnoteReference w:customMarkFollows="1" w:id="1"/>
        <w:t>*</w:t>
      </w:r>
      <w:r w:rsidRPr="00402E1D">
        <w:rPr>
          <w:b w:val="0"/>
          <w:bCs/>
          <w:position w:val="8"/>
          <w:sz w:val="20"/>
        </w:rPr>
        <w:t>,</w:t>
      </w:r>
      <w:r w:rsidR="00630E00">
        <w:rPr>
          <w:b w:val="0"/>
          <w:bCs/>
          <w:position w:val="8"/>
          <w:sz w:val="20"/>
        </w:rPr>
        <w:t xml:space="preserve"> </w:t>
      </w:r>
      <w:r w:rsidRPr="00402E1D">
        <w:rPr>
          <w:b w:val="0"/>
          <w:bCs/>
          <w:sz w:val="20"/>
        </w:rPr>
        <w:footnoteReference w:customMarkFollows="1" w:id="2"/>
        <w:t>**</w:t>
      </w:r>
    </w:p>
    <w:p w14:paraId="470FB2EE" w14:textId="77777777" w:rsidR="00E177BC" w:rsidRPr="002055DE" w:rsidRDefault="00E177BC" w:rsidP="00402E1D">
      <w:pPr>
        <w:pStyle w:val="HChG"/>
      </w:pPr>
      <w:r w:rsidRPr="002055DE">
        <w:tab/>
      </w:r>
      <w:r w:rsidRPr="002055DE">
        <w:tab/>
        <w:t>Introduction</w:t>
      </w:r>
    </w:p>
    <w:p w14:paraId="40504262" w14:textId="77777777" w:rsidR="00E177BC" w:rsidRPr="002055DE" w:rsidRDefault="00E177BC" w:rsidP="00402E1D">
      <w:pPr>
        <w:pStyle w:val="SingleTxtG"/>
      </w:pPr>
      <w:r w:rsidRPr="002055DE">
        <w:t>1.</w:t>
      </w:r>
      <w:r w:rsidRPr="002055DE">
        <w:tab/>
        <w:t>The representatives of the inland navigation industry introduced and explained this matter with document ECE/TRANS/WP.15/AC.2/2019/32 at the thirty-fifth session of the ECE ADN Safety Committee.</w:t>
      </w:r>
    </w:p>
    <w:p w14:paraId="620F6EFC" w14:textId="77777777" w:rsidR="00E177BC" w:rsidRPr="002055DE" w:rsidRDefault="00E177BC" w:rsidP="00402E1D">
      <w:pPr>
        <w:pStyle w:val="SingleTxtG"/>
      </w:pPr>
      <w:r w:rsidRPr="002055DE">
        <w:t>2.</w:t>
      </w:r>
      <w:r w:rsidRPr="002055DE">
        <w:tab/>
        <w:t>At that session, the Safety Committee considered that the indication “No limitation” in the current subsection 7.1.4.1 should be replaced with “1,100,000 kg”.</w:t>
      </w:r>
    </w:p>
    <w:p w14:paraId="05219B08" w14:textId="77777777" w:rsidR="00E177BC" w:rsidRPr="002055DE" w:rsidRDefault="00E177BC" w:rsidP="00402E1D">
      <w:pPr>
        <w:pStyle w:val="SingleTxtG"/>
      </w:pPr>
      <w:r w:rsidRPr="002055DE">
        <w:t>3.</w:t>
      </w:r>
      <w:r w:rsidRPr="002055DE">
        <w:tab/>
        <w:t>During the session, some wording considered to be ambiguous was amended or deleted in the new text proposed for 7.1.4.1.1. Two amendments were also made to table 7.1.4.1.3 at the request of certain States.</w:t>
      </w:r>
    </w:p>
    <w:p w14:paraId="75454171" w14:textId="77777777" w:rsidR="00E177BC" w:rsidRPr="002055DE" w:rsidRDefault="00E177BC" w:rsidP="00402E1D">
      <w:pPr>
        <w:pStyle w:val="SingleTxtG"/>
      </w:pPr>
      <w:r w:rsidRPr="002055DE">
        <w:t>4.</w:t>
      </w:r>
      <w:r w:rsidRPr="002055DE">
        <w:tab/>
        <w:t>To make the new paragraph 7.1.4.1.1 clearer, we recommend inserting the following sentence:</w:t>
      </w:r>
    </w:p>
    <w:p w14:paraId="7CEC8D73" w14:textId="77777777" w:rsidR="00E177BC" w:rsidRPr="002055DE" w:rsidRDefault="00E177BC" w:rsidP="00402E1D">
      <w:pPr>
        <w:pStyle w:val="SingleTxtG"/>
      </w:pPr>
      <w:r w:rsidRPr="002055DE">
        <w:t xml:space="preserve">“When a vessel is carrying several types of dangerous goods, the total quantity shall not exceed 1,100,000 kg.” </w:t>
      </w:r>
    </w:p>
    <w:p w14:paraId="19FB694B" w14:textId="77777777" w:rsidR="00E177BC" w:rsidRPr="002055DE" w:rsidRDefault="00E177BC" w:rsidP="00402E1D">
      <w:pPr>
        <w:pStyle w:val="SingleTxtG"/>
      </w:pPr>
      <w:r w:rsidRPr="002055DE">
        <w:lastRenderedPageBreak/>
        <w:t>5.</w:t>
      </w:r>
      <w:r w:rsidRPr="002055DE">
        <w:tab/>
        <w:t xml:space="preserve">The purpose of this proposal is to reorganize the content of 7.1.4.1 to make it clearer and more transparent. This is necessary </w:t>
      </w:r>
      <w:proofErr w:type="gramStart"/>
      <w:r w:rsidRPr="002055DE">
        <w:t>in particular to</w:t>
      </w:r>
      <w:proofErr w:type="gramEnd"/>
      <w:r w:rsidRPr="002055DE">
        <w:t xml:space="preserve"> make the issue understandable for users who do not consult ADN regularly.</w:t>
      </w:r>
    </w:p>
    <w:p w14:paraId="5D03271B" w14:textId="77777777" w:rsidR="00E177BC" w:rsidRPr="002055DE" w:rsidRDefault="00420639" w:rsidP="00420639">
      <w:pPr>
        <w:pStyle w:val="HChG"/>
      </w:pPr>
      <w:r>
        <w:tab/>
      </w:r>
      <w:r w:rsidR="00E177BC" w:rsidRPr="002055DE">
        <w:t>I.</w:t>
      </w:r>
      <w:r w:rsidR="00E177BC" w:rsidRPr="002055DE">
        <w:tab/>
        <w:t>Proposal</w:t>
      </w:r>
    </w:p>
    <w:p w14:paraId="5D000DE0" w14:textId="77777777" w:rsidR="00E177BC" w:rsidRPr="002055DE" w:rsidRDefault="00E177BC" w:rsidP="00402E1D">
      <w:pPr>
        <w:pStyle w:val="SingleTxtG"/>
      </w:pPr>
      <w:r w:rsidRPr="002055DE">
        <w:t>1.</w:t>
      </w:r>
      <w:r w:rsidRPr="002055DE">
        <w:tab/>
        <w:t>The proposed text is worded as follows:</w:t>
      </w:r>
    </w:p>
    <w:p w14:paraId="662126C2" w14:textId="77777777" w:rsidR="00E177BC" w:rsidRPr="002055DE" w:rsidRDefault="00E177BC" w:rsidP="00D13896">
      <w:pPr>
        <w:pStyle w:val="SingleTxtG"/>
        <w:ind w:left="1701"/>
      </w:pPr>
      <w:r w:rsidRPr="002055DE">
        <w:t>“7.1.4.1.1</w:t>
      </w:r>
      <w:r w:rsidRPr="002055DE">
        <w:tab/>
        <w:t>(no title)</w:t>
      </w:r>
    </w:p>
    <w:p w14:paraId="20D8DF42" w14:textId="77777777" w:rsidR="00E177BC" w:rsidRPr="002055DE" w:rsidRDefault="00E177BC" w:rsidP="00D13896">
      <w:pPr>
        <w:pStyle w:val="SingleTxtG"/>
        <w:ind w:left="1701"/>
      </w:pPr>
      <w:r w:rsidRPr="002055DE">
        <w:t>Single-hull vessels may carry goods of Classes 1, 2, 3, 4.1, 4.2, 4.3, 5.1, 5.2, 6.1, 7, 8 and 9 only in the limited quantities set out in 7.1.4.1.3.</w:t>
      </w:r>
    </w:p>
    <w:p w14:paraId="3AF9A757" w14:textId="77777777" w:rsidR="00E177BC" w:rsidRPr="002055DE" w:rsidRDefault="00E177BC" w:rsidP="00D13896">
      <w:pPr>
        <w:pStyle w:val="SingleTxtG"/>
        <w:ind w:left="1701"/>
      </w:pPr>
      <w:r w:rsidRPr="002055DE">
        <w:t>This provision also applies to pushed barges and double-hull vessels which do not meet the additional rules of construction in 9.1.0.88 to 9.1.0.95 or 9.2.0.88 to 9.2.0.95.</w:t>
      </w:r>
    </w:p>
    <w:p w14:paraId="16958F92" w14:textId="77777777" w:rsidR="00E177BC" w:rsidRPr="002055DE" w:rsidRDefault="00E177BC" w:rsidP="00D13896">
      <w:pPr>
        <w:pStyle w:val="SingleTxtG"/>
        <w:ind w:left="1701"/>
      </w:pPr>
      <w:r w:rsidRPr="002055DE">
        <w:t>For pushed convoys and side-by-side formations, the quantity limitations specified in 7.1.4.1.3 apply to each unit. A maximum of 1,100,000 kg is permitted for each unit.</w:t>
      </w:r>
    </w:p>
    <w:p w14:paraId="02B19B26" w14:textId="77777777" w:rsidR="00E177BC" w:rsidRPr="002055DE" w:rsidRDefault="00E177BC" w:rsidP="00D13896">
      <w:pPr>
        <w:pStyle w:val="SingleTxtG"/>
        <w:ind w:left="1701"/>
      </w:pPr>
      <w:r w:rsidRPr="002055DE">
        <w:t>When a vessel is carrying several types of dangerous goods, the total quantity shall not exceed 1,100,000 kg.</w:t>
      </w:r>
    </w:p>
    <w:p w14:paraId="7299C2BD" w14:textId="77777777" w:rsidR="00E177BC" w:rsidRPr="002055DE" w:rsidRDefault="00E177BC" w:rsidP="00D13896">
      <w:pPr>
        <w:pStyle w:val="SingleTxtG"/>
        <w:ind w:left="1701"/>
      </w:pPr>
      <w:r w:rsidRPr="002055DE">
        <w:t>7.1.4.1.2</w:t>
      </w:r>
      <w:r w:rsidRPr="002055DE">
        <w:tab/>
        <w:t>(no title)</w:t>
      </w:r>
    </w:p>
    <w:p w14:paraId="0FD0C6E0" w14:textId="77777777" w:rsidR="00E177BC" w:rsidRPr="002055DE" w:rsidRDefault="00E177BC" w:rsidP="00D13896">
      <w:pPr>
        <w:pStyle w:val="SingleTxtG"/>
        <w:ind w:left="1701"/>
      </w:pPr>
      <w:r w:rsidRPr="002055DE">
        <w:t>Double-hull vessels meeting the additional construction rules in 9.1.0.88 to 9.1.0.95 or 9.2.0.88 to 9.2.0.95 may carry goods of Classes 2, 3, 4.1, 4.2, 4.3, 5.1, 5.2, 6.1, 7, 8 and 9 without limitation of the quantity carried.</w:t>
      </w:r>
    </w:p>
    <w:p w14:paraId="576A2D4E" w14:textId="77777777" w:rsidR="00E177BC" w:rsidRPr="002055DE" w:rsidRDefault="00A05B62" w:rsidP="00A05B62">
      <w:pPr>
        <w:pStyle w:val="Bullet2G"/>
        <w:numPr>
          <w:ilvl w:val="0"/>
          <w:numId w:val="0"/>
        </w:numPr>
        <w:tabs>
          <w:tab w:val="left" w:pos="2268"/>
        </w:tabs>
        <w:ind w:left="2268" w:hanging="170"/>
      </w:pPr>
      <w:r w:rsidRPr="002055DE">
        <w:t>•</w:t>
      </w:r>
      <w:r w:rsidRPr="002055DE">
        <w:tab/>
      </w:r>
      <w:r w:rsidR="00E177BC" w:rsidRPr="002055DE">
        <w:t>Goods of Class 1 may be carried only in the amounts set out in 7.1.4.1.3;</w:t>
      </w:r>
    </w:p>
    <w:p w14:paraId="1F58F071" w14:textId="77777777" w:rsidR="007268F9" w:rsidRDefault="00A05B62" w:rsidP="00A05B62">
      <w:pPr>
        <w:pStyle w:val="Bullet2G"/>
        <w:numPr>
          <w:ilvl w:val="0"/>
          <w:numId w:val="0"/>
        </w:numPr>
        <w:tabs>
          <w:tab w:val="left" w:pos="2268"/>
        </w:tabs>
        <w:ind w:left="2268" w:hanging="170"/>
      </w:pPr>
      <w:r>
        <w:t>•</w:t>
      </w:r>
      <w:r>
        <w:tab/>
      </w:r>
      <w:r w:rsidR="00E177BC" w:rsidRPr="002055DE">
        <w:t>Goods for which a danger label of model No. 1 is required in column (5) of Table A of Chapter 3.2 may be carried on board each unit only in the quantities set out in 7.1.4.1.3.</w:t>
      </w:r>
    </w:p>
    <w:p w14:paraId="320CD021" w14:textId="77777777" w:rsidR="00D13896" w:rsidRDefault="00D13896" w:rsidP="00402E1D">
      <w:pPr>
        <w:pStyle w:val="SingleTxtG"/>
      </w:pPr>
    </w:p>
    <w:p w14:paraId="30995ADB" w14:textId="77777777" w:rsidR="0018703E" w:rsidRDefault="0018703E" w:rsidP="00E177BC">
      <w:pPr>
        <w:sectPr w:rsidR="0018703E"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p w14:paraId="063F475F" w14:textId="77777777" w:rsidR="0018703E" w:rsidRPr="002055DE" w:rsidRDefault="0018703E" w:rsidP="0023502D">
      <w:pPr>
        <w:pStyle w:val="SingleTxtG"/>
      </w:pPr>
      <w:r w:rsidRPr="002055DE">
        <w:lastRenderedPageBreak/>
        <w:t>7.1.4.1.3</w:t>
      </w:r>
      <w:r w:rsidRPr="002055DE">
        <w:tab/>
        <w:t>Quantity limitations</w:t>
      </w:r>
    </w:p>
    <w:tbl>
      <w:tblPr>
        <w:tblStyle w:val="TableGrid1"/>
        <w:tblW w:w="1247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3"/>
        <w:gridCol w:w="8759"/>
        <w:gridCol w:w="448"/>
        <w:gridCol w:w="449"/>
        <w:gridCol w:w="449"/>
        <w:gridCol w:w="449"/>
        <w:gridCol w:w="449"/>
        <w:gridCol w:w="449"/>
        <w:gridCol w:w="449"/>
      </w:tblGrid>
      <w:tr w:rsidR="006A429A" w:rsidRPr="00B563FD" w14:paraId="344676C6" w14:textId="77777777" w:rsidTr="006C090E">
        <w:trPr>
          <w:cantSplit/>
          <w:trHeight w:val="1043"/>
          <w:tblHeader/>
        </w:trPr>
        <w:tc>
          <w:tcPr>
            <w:tcW w:w="573" w:type="dxa"/>
            <w:tcBorders>
              <w:top w:val="single" w:sz="4" w:space="0" w:color="auto"/>
              <w:bottom w:val="single" w:sz="12" w:space="0" w:color="auto"/>
            </w:tcBorders>
            <w:shd w:val="clear" w:color="auto" w:fill="auto"/>
            <w:vAlign w:val="bottom"/>
          </w:tcPr>
          <w:p w14:paraId="44A1C9C0" w14:textId="77777777" w:rsidR="006A429A" w:rsidRPr="005649C6" w:rsidRDefault="006A429A" w:rsidP="006A429A">
            <w:pPr>
              <w:tabs>
                <w:tab w:val="clear" w:pos="425"/>
                <w:tab w:val="clear" w:pos="851"/>
                <w:tab w:val="clear" w:pos="1276"/>
              </w:tabs>
              <w:suppressAutoHyphens w:val="0"/>
              <w:spacing w:before="80" w:after="80" w:line="200" w:lineRule="exact"/>
              <w:ind w:right="113"/>
              <w:jc w:val="left"/>
              <w:rPr>
                <w:i/>
                <w:sz w:val="16"/>
                <w:szCs w:val="16"/>
                <w:lang w:val="en-GB"/>
              </w:rPr>
            </w:pPr>
            <w:r w:rsidRPr="005649C6">
              <w:rPr>
                <w:i/>
                <w:sz w:val="16"/>
                <w:szCs w:val="16"/>
                <w:lang w:val="en-GB"/>
              </w:rPr>
              <w:t>Class</w:t>
            </w:r>
          </w:p>
        </w:tc>
        <w:tc>
          <w:tcPr>
            <w:tcW w:w="8759" w:type="dxa"/>
            <w:tcBorders>
              <w:top w:val="single" w:sz="4" w:space="0" w:color="auto"/>
              <w:bottom w:val="single" w:sz="12" w:space="0" w:color="auto"/>
            </w:tcBorders>
            <w:shd w:val="clear" w:color="auto" w:fill="auto"/>
            <w:vAlign w:val="bottom"/>
          </w:tcPr>
          <w:p w14:paraId="0DC5941C" w14:textId="77777777" w:rsidR="006A429A" w:rsidRPr="00690217" w:rsidRDefault="006A429A" w:rsidP="006A429A">
            <w:pPr>
              <w:tabs>
                <w:tab w:val="clear" w:pos="425"/>
                <w:tab w:val="clear" w:pos="851"/>
                <w:tab w:val="clear" w:pos="1276"/>
              </w:tabs>
              <w:suppressAutoHyphens w:val="0"/>
              <w:spacing w:before="80" w:after="80" w:line="200" w:lineRule="exact"/>
              <w:ind w:right="113"/>
              <w:jc w:val="left"/>
              <w:rPr>
                <w:i/>
                <w:sz w:val="16"/>
                <w:szCs w:val="16"/>
                <w:lang w:val="en-GB"/>
              </w:rPr>
            </w:pPr>
            <w:r w:rsidRPr="00690217">
              <w:rPr>
                <w:i/>
                <w:sz w:val="16"/>
                <w:szCs w:val="16"/>
                <w:lang w:val="en-GB"/>
              </w:rPr>
              <w:t>Description</w:t>
            </w:r>
          </w:p>
        </w:tc>
        <w:tc>
          <w:tcPr>
            <w:tcW w:w="448" w:type="dxa"/>
            <w:tcBorders>
              <w:top w:val="single" w:sz="4" w:space="0" w:color="auto"/>
              <w:bottom w:val="single" w:sz="12" w:space="0" w:color="auto"/>
            </w:tcBorders>
            <w:shd w:val="clear" w:color="auto" w:fill="auto"/>
            <w:textDirection w:val="tbRl"/>
            <w:vAlign w:val="bottom"/>
          </w:tcPr>
          <w:p w14:paraId="6FCFA2FA" w14:textId="77777777" w:rsidR="006A429A" w:rsidRPr="006A429A" w:rsidRDefault="006A429A" w:rsidP="001C4E0D">
            <w:pPr>
              <w:tabs>
                <w:tab w:val="clear" w:pos="425"/>
                <w:tab w:val="clear" w:pos="851"/>
                <w:tab w:val="clear" w:pos="1276"/>
              </w:tabs>
              <w:suppressAutoHyphens w:val="0"/>
              <w:spacing w:before="40" w:after="120" w:line="220" w:lineRule="exact"/>
              <w:ind w:left="57" w:right="113"/>
              <w:jc w:val="right"/>
              <w:rPr>
                <w:i/>
                <w:iCs/>
                <w:sz w:val="16"/>
                <w:szCs w:val="16"/>
                <w:lang w:val="en-GB"/>
              </w:rPr>
            </w:pPr>
            <w:r w:rsidRPr="006A429A">
              <w:rPr>
                <w:i/>
                <w:iCs/>
                <w:sz w:val="16"/>
                <w:szCs w:val="16"/>
                <w:lang w:val="en-GB"/>
              </w:rPr>
              <w:t>0 kg</w:t>
            </w:r>
          </w:p>
        </w:tc>
        <w:tc>
          <w:tcPr>
            <w:tcW w:w="449" w:type="dxa"/>
            <w:tcBorders>
              <w:top w:val="single" w:sz="4" w:space="0" w:color="auto"/>
              <w:bottom w:val="single" w:sz="12" w:space="0" w:color="auto"/>
            </w:tcBorders>
            <w:shd w:val="clear" w:color="auto" w:fill="auto"/>
            <w:textDirection w:val="tbRl"/>
            <w:vAlign w:val="bottom"/>
          </w:tcPr>
          <w:p w14:paraId="0BAC427D" w14:textId="77777777" w:rsidR="006A429A" w:rsidRPr="006A429A" w:rsidRDefault="006A429A" w:rsidP="001C4E0D">
            <w:pPr>
              <w:tabs>
                <w:tab w:val="clear" w:pos="425"/>
                <w:tab w:val="clear" w:pos="851"/>
                <w:tab w:val="clear" w:pos="1276"/>
              </w:tabs>
              <w:suppressAutoHyphens w:val="0"/>
              <w:spacing w:before="40" w:after="120" w:line="220" w:lineRule="exact"/>
              <w:ind w:left="57" w:right="113"/>
              <w:jc w:val="right"/>
              <w:rPr>
                <w:i/>
                <w:iCs/>
                <w:sz w:val="16"/>
                <w:szCs w:val="16"/>
                <w:lang w:val="en-GB"/>
              </w:rPr>
            </w:pPr>
            <w:r w:rsidRPr="006A429A">
              <w:rPr>
                <w:i/>
                <w:iCs/>
                <w:sz w:val="16"/>
                <w:szCs w:val="16"/>
                <w:lang w:val="en-GB"/>
              </w:rPr>
              <w:t>90 kg</w:t>
            </w:r>
          </w:p>
        </w:tc>
        <w:tc>
          <w:tcPr>
            <w:tcW w:w="449" w:type="dxa"/>
            <w:tcBorders>
              <w:top w:val="single" w:sz="4" w:space="0" w:color="auto"/>
              <w:bottom w:val="single" w:sz="12" w:space="0" w:color="auto"/>
            </w:tcBorders>
            <w:shd w:val="clear" w:color="auto" w:fill="auto"/>
            <w:textDirection w:val="tbRl"/>
            <w:vAlign w:val="bottom"/>
          </w:tcPr>
          <w:p w14:paraId="6A7F7E03" w14:textId="77777777" w:rsidR="006A429A" w:rsidRPr="006A429A" w:rsidRDefault="006A429A" w:rsidP="001C4E0D">
            <w:pPr>
              <w:tabs>
                <w:tab w:val="clear" w:pos="425"/>
                <w:tab w:val="clear" w:pos="851"/>
                <w:tab w:val="clear" w:pos="1276"/>
              </w:tabs>
              <w:suppressAutoHyphens w:val="0"/>
              <w:spacing w:before="40" w:after="120" w:line="220" w:lineRule="exact"/>
              <w:ind w:left="57" w:right="113"/>
              <w:jc w:val="right"/>
              <w:rPr>
                <w:i/>
                <w:iCs/>
                <w:sz w:val="16"/>
                <w:szCs w:val="16"/>
                <w:lang w:val="en-GB"/>
              </w:rPr>
            </w:pPr>
            <w:r w:rsidRPr="006A429A">
              <w:rPr>
                <w:i/>
                <w:iCs/>
                <w:sz w:val="16"/>
                <w:szCs w:val="16"/>
                <w:lang w:val="en-GB"/>
              </w:rPr>
              <w:t>15,000 kg</w:t>
            </w:r>
          </w:p>
        </w:tc>
        <w:tc>
          <w:tcPr>
            <w:tcW w:w="449" w:type="dxa"/>
            <w:tcBorders>
              <w:top w:val="single" w:sz="4" w:space="0" w:color="auto"/>
              <w:bottom w:val="single" w:sz="12" w:space="0" w:color="auto"/>
            </w:tcBorders>
            <w:shd w:val="clear" w:color="auto" w:fill="auto"/>
            <w:textDirection w:val="tbRl"/>
            <w:vAlign w:val="bottom"/>
          </w:tcPr>
          <w:p w14:paraId="381239AB" w14:textId="77777777" w:rsidR="006A429A" w:rsidRPr="006A429A" w:rsidRDefault="006A429A" w:rsidP="001C4E0D">
            <w:pPr>
              <w:tabs>
                <w:tab w:val="clear" w:pos="425"/>
                <w:tab w:val="clear" w:pos="851"/>
                <w:tab w:val="clear" w:pos="1276"/>
              </w:tabs>
              <w:suppressAutoHyphens w:val="0"/>
              <w:spacing w:before="40" w:after="120" w:line="220" w:lineRule="exact"/>
              <w:ind w:left="57" w:right="113"/>
              <w:jc w:val="right"/>
              <w:rPr>
                <w:i/>
                <w:iCs/>
                <w:sz w:val="16"/>
                <w:szCs w:val="16"/>
                <w:lang w:val="en-GB"/>
              </w:rPr>
            </w:pPr>
            <w:r w:rsidRPr="006A429A">
              <w:rPr>
                <w:i/>
                <w:iCs/>
                <w:sz w:val="16"/>
                <w:szCs w:val="16"/>
                <w:lang w:val="en-GB"/>
              </w:rPr>
              <w:t>50,000 kg</w:t>
            </w:r>
          </w:p>
        </w:tc>
        <w:tc>
          <w:tcPr>
            <w:tcW w:w="449" w:type="dxa"/>
            <w:tcBorders>
              <w:top w:val="single" w:sz="4" w:space="0" w:color="auto"/>
              <w:bottom w:val="single" w:sz="12" w:space="0" w:color="auto"/>
            </w:tcBorders>
            <w:shd w:val="clear" w:color="auto" w:fill="auto"/>
            <w:textDirection w:val="tbRl"/>
            <w:vAlign w:val="bottom"/>
          </w:tcPr>
          <w:p w14:paraId="2E3B2346" w14:textId="77777777" w:rsidR="006A429A" w:rsidRPr="006A429A" w:rsidRDefault="006A429A" w:rsidP="001C4E0D">
            <w:pPr>
              <w:tabs>
                <w:tab w:val="clear" w:pos="425"/>
                <w:tab w:val="clear" w:pos="851"/>
                <w:tab w:val="clear" w:pos="1276"/>
              </w:tabs>
              <w:suppressAutoHyphens w:val="0"/>
              <w:spacing w:before="40" w:after="120" w:line="220" w:lineRule="exact"/>
              <w:ind w:left="57" w:right="113"/>
              <w:jc w:val="right"/>
              <w:rPr>
                <w:i/>
                <w:iCs/>
                <w:sz w:val="16"/>
                <w:szCs w:val="16"/>
                <w:lang w:val="en-GB"/>
              </w:rPr>
            </w:pPr>
            <w:r w:rsidRPr="006A429A">
              <w:rPr>
                <w:i/>
                <w:iCs/>
                <w:sz w:val="16"/>
                <w:szCs w:val="16"/>
                <w:lang w:val="en-GB"/>
              </w:rPr>
              <w:t>120,000 kg</w:t>
            </w:r>
          </w:p>
        </w:tc>
        <w:tc>
          <w:tcPr>
            <w:tcW w:w="449" w:type="dxa"/>
            <w:tcBorders>
              <w:top w:val="single" w:sz="4" w:space="0" w:color="auto"/>
              <w:bottom w:val="single" w:sz="12" w:space="0" w:color="auto"/>
            </w:tcBorders>
            <w:shd w:val="clear" w:color="auto" w:fill="auto"/>
            <w:textDirection w:val="tbRl"/>
            <w:vAlign w:val="bottom"/>
          </w:tcPr>
          <w:p w14:paraId="2DC4F937" w14:textId="77777777" w:rsidR="006A429A" w:rsidRPr="006A429A" w:rsidRDefault="006A429A" w:rsidP="001C4E0D">
            <w:pPr>
              <w:tabs>
                <w:tab w:val="clear" w:pos="425"/>
                <w:tab w:val="clear" w:pos="851"/>
                <w:tab w:val="clear" w:pos="1276"/>
              </w:tabs>
              <w:suppressAutoHyphens w:val="0"/>
              <w:spacing w:before="40" w:after="120" w:line="220" w:lineRule="exact"/>
              <w:ind w:left="57" w:right="113"/>
              <w:jc w:val="right"/>
              <w:rPr>
                <w:i/>
                <w:iCs/>
                <w:sz w:val="16"/>
                <w:szCs w:val="16"/>
                <w:lang w:val="en-GB"/>
              </w:rPr>
            </w:pPr>
            <w:r w:rsidRPr="006A429A">
              <w:rPr>
                <w:i/>
                <w:iCs/>
                <w:sz w:val="16"/>
                <w:szCs w:val="16"/>
                <w:lang w:val="en-GB"/>
              </w:rPr>
              <w:t>300,000 kg</w:t>
            </w:r>
          </w:p>
        </w:tc>
        <w:tc>
          <w:tcPr>
            <w:tcW w:w="449" w:type="dxa"/>
            <w:tcBorders>
              <w:top w:val="single" w:sz="4" w:space="0" w:color="auto"/>
              <w:bottom w:val="single" w:sz="12" w:space="0" w:color="auto"/>
            </w:tcBorders>
            <w:shd w:val="clear" w:color="auto" w:fill="auto"/>
            <w:textDirection w:val="tbRl"/>
            <w:vAlign w:val="bottom"/>
          </w:tcPr>
          <w:p w14:paraId="78998313" w14:textId="77777777" w:rsidR="006A429A" w:rsidRPr="006A429A" w:rsidRDefault="006A429A" w:rsidP="001C4E0D">
            <w:pPr>
              <w:tabs>
                <w:tab w:val="clear" w:pos="425"/>
                <w:tab w:val="clear" w:pos="851"/>
                <w:tab w:val="clear" w:pos="1276"/>
              </w:tabs>
              <w:suppressAutoHyphens w:val="0"/>
              <w:spacing w:before="40" w:after="120" w:line="220" w:lineRule="exact"/>
              <w:ind w:left="57" w:right="113"/>
              <w:jc w:val="right"/>
              <w:rPr>
                <w:i/>
                <w:iCs/>
                <w:sz w:val="16"/>
                <w:szCs w:val="16"/>
                <w:lang w:val="en-GB"/>
              </w:rPr>
            </w:pPr>
            <w:r w:rsidRPr="006A429A">
              <w:rPr>
                <w:i/>
                <w:iCs/>
                <w:sz w:val="16"/>
                <w:szCs w:val="16"/>
                <w:lang w:val="en-GB"/>
              </w:rPr>
              <w:t>1,100,000 kg</w:t>
            </w:r>
          </w:p>
        </w:tc>
      </w:tr>
      <w:tr w:rsidR="006A429A" w:rsidRPr="00B563FD" w14:paraId="27D2D889" w14:textId="77777777" w:rsidTr="006C090E">
        <w:tc>
          <w:tcPr>
            <w:tcW w:w="573" w:type="dxa"/>
            <w:tcBorders>
              <w:top w:val="single" w:sz="12" w:space="0" w:color="auto"/>
            </w:tcBorders>
            <w:shd w:val="clear" w:color="auto" w:fill="auto"/>
          </w:tcPr>
          <w:p w14:paraId="0E4761F9"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1</w:t>
            </w:r>
          </w:p>
        </w:tc>
        <w:tc>
          <w:tcPr>
            <w:tcW w:w="8759" w:type="dxa"/>
            <w:tcBorders>
              <w:top w:val="single" w:sz="12" w:space="0" w:color="auto"/>
            </w:tcBorders>
            <w:shd w:val="clear" w:color="auto" w:fill="auto"/>
          </w:tcPr>
          <w:p w14:paraId="63865157"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 xml:space="preserve">All substances and articles of Division 1.1, compatibility group </w:t>
            </w:r>
            <w:proofErr w:type="gramStart"/>
            <w:r w:rsidRPr="00B563FD">
              <w:rPr>
                <w:sz w:val="18"/>
                <w:szCs w:val="18"/>
                <w:lang w:val="en-GB"/>
              </w:rPr>
              <w:t>A</w:t>
            </w:r>
            <w:r w:rsidRPr="004004A4">
              <w:rPr>
                <w:sz w:val="18"/>
                <w:szCs w:val="18"/>
                <w:vertAlign w:val="superscript"/>
                <w:lang w:val="en-GB"/>
              </w:rPr>
              <w:t>(</w:t>
            </w:r>
            <w:proofErr w:type="gramEnd"/>
            <w:r w:rsidRPr="004004A4">
              <w:rPr>
                <w:sz w:val="18"/>
                <w:szCs w:val="18"/>
                <w:vertAlign w:val="superscript"/>
                <w:lang w:val="en-GB"/>
              </w:rPr>
              <w:t>1)</w:t>
            </w:r>
          </w:p>
        </w:tc>
        <w:tc>
          <w:tcPr>
            <w:tcW w:w="448" w:type="dxa"/>
            <w:tcBorders>
              <w:top w:val="single" w:sz="12" w:space="0" w:color="auto"/>
            </w:tcBorders>
            <w:shd w:val="clear" w:color="auto" w:fill="auto"/>
          </w:tcPr>
          <w:p w14:paraId="32EB662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single" w:sz="12" w:space="0" w:color="auto"/>
            </w:tcBorders>
            <w:shd w:val="clear" w:color="auto" w:fill="auto"/>
          </w:tcPr>
          <w:p w14:paraId="0BBB919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top w:val="single" w:sz="12" w:space="0" w:color="auto"/>
            </w:tcBorders>
            <w:shd w:val="clear" w:color="auto" w:fill="auto"/>
          </w:tcPr>
          <w:p w14:paraId="35CCD4A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single" w:sz="12" w:space="0" w:color="auto"/>
            </w:tcBorders>
            <w:shd w:val="clear" w:color="auto" w:fill="auto"/>
          </w:tcPr>
          <w:p w14:paraId="0E07B8A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single" w:sz="12" w:space="0" w:color="auto"/>
            </w:tcBorders>
            <w:shd w:val="clear" w:color="auto" w:fill="auto"/>
          </w:tcPr>
          <w:p w14:paraId="5942D2C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single" w:sz="12" w:space="0" w:color="auto"/>
            </w:tcBorders>
            <w:shd w:val="clear" w:color="auto" w:fill="auto"/>
          </w:tcPr>
          <w:p w14:paraId="739CF16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single" w:sz="12" w:space="0" w:color="auto"/>
            </w:tcBorders>
            <w:shd w:val="clear" w:color="auto" w:fill="auto"/>
          </w:tcPr>
          <w:p w14:paraId="66E6302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4BE6169E" w14:textId="77777777" w:rsidTr="006C090E">
        <w:tc>
          <w:tcPr>
            <w:tcW w:w="573" w:type="dxa"/>
            <w:shd w:val="clear" w:color="auto" w:fill="auto"/>
          </w:tcPr>
          <w:p w14:paraId="5EC9BD5C"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7C725819"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 xml:space="preserve">All substances and articles of Division 1.1, compatibility groups B, C, D, E, F, G, J or </w:t>
            </w:r>
            <w:proofErr w:type="gramStart"/>
            <w:r w:rsidRPr="00B563FD">
              <w:rPr>
                <w:sz w:val="18"/>
                <w:szCs w:val="18"/>
                <w:lang w:val="en-GB"/>
              </w:rPr>
              <w:t>L</w:t>
            </w:r>
            <w:r w:rsidRPr="004004A4">
              <w:rPr>
                <w:sz w:val="18"/>
                <w:szCs w:val="18"/>
                <w:vertAlign w:val="superscript"/>
                <w:lang w:val="en-GB"/>
              </w:rPr>
              <w:t>(</w:t>
            </w:r>
            <w:proofErr w:type="gramEnd"/>
            <w:r w:rsidRPr="004004A4">
              <w:rPr>
                <w:sz w:val="18"/>
                <w:szCs w:val="18"/>
                <w:vertAlign w:val="superscript"/>
                <w:lang w:val="en-GB"/>
              </w:rPr>
              <w:t>2)</w:t>
            </w:r>
          </w:p>
        </w:tc>
        <w:tc>
          <w:tcPr>
            <w:tcW w:w="448" w:type="dxa"/>
            <w:shd w:val="clear" w:color="auto" w:fill="auto"/>
          </w:tcPr>
          <w:p w14:paraId="49AAA39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2523F3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84F90F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3F7872B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AD50E4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A90833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505D5C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11BBCFAC" w14:textId="77777777" w:rsidTr="006C090E">
        <w:tc>
          <w:tcPr>
            <w:tcW w:w="573" w:type="dxa"/>
            <w:shd w:val="clear" w:color="auto" w:fill="auto"/>
          </w:tcPr>
          <w:p w14:paraId="54FE8C81"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44611A4A"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substances and articles of Division 1.2, compatibility groups B, C, D, E, F, G, H, J or L</w:t>
            </w:r>
          </w:p>
        </w:tc>
        <w:tc>
          <w:tcPr>
            <w:tcW w:w="448" w:type="dxa"/>
            <w:shd w:val="clear" w:color="auto" w:fill="auto"/>
          </w:tcPr>
          <w:p w14:paraId="5C3A522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46EE17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CCC3B4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20B746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3C7D6A4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26253E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13963F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116FBEB0" w14:textId="77777777" w:rsidTr="006C090E">
        <w:tc>
          <w:tcPr>
            <w:tcW w:w="573" w:type="dxa"/>
            <w:shd w:val="clear" w:color="auto" w:fill="auto"/>
          </w:tcPr>
          <w:p w14:paraId="6D1AB906"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353901B8"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 xml:space="preserve">All substances and articles of Division 1.3, compatibility groups C, G, H, J or </w:t>
            </w:r>
            <w:proofErr w:type="gramStart"/>
            <w:r w:rsidRPr="00B563FD">
              <w:rPr>
                <w:sz w:val="18"/>
                <w:szCs w:val="18"/>
                <w:lang w:val="en-GB"/>
              </w:rPr>
              <w:t>L</w:t>
            </w:r>
            <w:r w:rsidRPr="004004A4">
              <w:rPr>
                <w:sz w:val="18"/>
                <w:szCs w:val="18"/>
                <w:vertAlign w:val="superscript"/>
                <w:lang w:val="en-GB"/>
              </w:rPr>
              <w:t>(</w:t>
            </w:r>
            <w:proofErr w:type="gramEnd"/>
            <w:r w:rsidRPr="004004A4">
              <w:rPr>
                <w:sz w:val="18"/>
                <w:szCs w:val="18"/>
                <w:vertAlign w:val="superscript"/>
                <w:lang w:val="en-GB"/>
              </w:rPr>
              <w:t>3)</w:t>
            </w:r>
          </w:p>
        </w:tc>
        <w:tc>
          <w:tcPr>
            <w:tcW w:w="448" w:type="dxa"/>
            <w:shd w:val="clear" w:color="auto" w:fill="auto"/>
          </w:tcPr>
          <w:p w14:paraId="6703CCA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7D00B1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345A5E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1FA6C2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F13065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7E6A44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4638F08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49065F9B" w14:textId="77777777" w:rsidTr="006C090E">
        <w:tc>
          <w:tcPr>
            <w:tcW w:w="573" w:type="dxa"/>
            <w:shd w:val="clear" w:color="auto" w:fill="auto"/>
          </w:tcPr>
          <w:p w14:paraId="06F32B66"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39D4AA24"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substances and articles of Division 1.4, compatibility groups B, C, D, E, F, G or S</w:t>
            </w:r>
          </w:p>
        </w:tc>
        <w:tc>
          <w:tcPr>
            <w:tcW w:w="448" w:type="dxa"/>
            <w:shd w:val="clear" w:color="auto" w:fill="auto"/>
          </w:tcPr>
          <w:p w14:paraId="2E9008D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6B0BB5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50F9CC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2FF0DA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DBCC8A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E6B16A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D509F9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5534D51D" w14:textId="77777777" w:rsidTr="006C090E">
        <w:tc>
          <w:tcPr>
            <w:tcW w:w="573" w:type="dxa"/>
            <w:shd w:val="clear" w:color="auto" w:fill="auto"/>
          </w:tcPr>
          <w:p w14:paraId="148EA6BC"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3F9F4394"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 xml:space="preserve">All substances of Division 1.5, compatibility group </w:t>
            </w:r>
            <w:proofErr w:type="gramStart"/>
            <w:r w:rsidRPr="00B563FD">
              <w:rPr>
                <w:sz w:val="18"/>
                <w:szCs w:val="18"/>
                <w:lang w:val="en-GB"/>
              </w:rPr>
              <w:t>D</w:t>
            </w:r>
            <w:r w:rsidRPr="004004A4">
              <w:rPr>
                <w:sz w:val="18"/>
                <w:szCs w:val="18"/>
                <w:vertAlign w:val="superscript"/>
                <w:lang w:val="en-GB"/>
              </w:rPr>
              <w:t>(</w:t>
            </w:r>
            <w:proofErr w:type="gramEnd"/>
            <w:r w:rsidRPr="004004A4">
              <w:rPr>
                <w:sz w:val="18"/>
                <w:szCs w:val="18"/>
                <w:vertAlign w:val="superscript"/>
                <w:lang w:val="en-GB"/>
              </w:rPr>
              <w:t>2)</w:t>
            </w:r>
          </w:p>
        </w:tc>
        <w:tc>
          <w:tcPr>
            <w:tcW w:w="448" w:type="dxa"/>
            <w:shd w:val="clear" w:color="auto" w:fill="auto"/>
          </w:tcPr>
          <w:p w14:paraId="5BF050F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D5F098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1FCFB7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514827B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828CB1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003CD8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CF0994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569B433D" w14:textId="77777777" w:rsidTr="006C090E">
        <w:tc>
          <w:tcPr>
            <w:tcW w:w="573" w:type="dxa"/>
            <w:shd w:val="clear" w:color="auto" w:fill="auto"/>
          </w:tcPr>
          <w:p w14:paraId="66E0ACB3"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544E2FD5"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 xml:space="preserve">All substances and articles of Division 1.6, compatibility group </w:t>
            </w:r>
            <w:proofErr w:type="gramStart"/>
            <w:r w:rsidRPr="00B563FD">
              <w:rPr>
                <w:sz w:val="18"/>
                <w:szCs w:val="18"/>
                <w:lang w:val="en-GB"/>
              </w:rPr>
              <w:t>N</w:t>
            </w:r>
            <w:r w:rsidRPr="004004A4">
              <w:rPr>
                <w:sz w:val="18"/>
                <w:szCs w:val="18"/>
                <w:vertAlign w:val="superscript"/>
                <w:lang w:val="en-GB"/>
              </w:rPr>
              <w:t>(</w:t>
            </w:r>
            <w:proofErr w:type="gramEnd"/>
            <w:r w:rsidRPr="004004A4">
              <w:rPr>
                <w:sz w:val="18"/>
                <w:szCs w:val="18"/>
                <w:vertAlign w:val="superscript"/>
                <w:lang w:val="en-GB"/>
              </w:rPr>
              <w:t>3)</w:t>
            </w:r>
          </w:p>
        </w:tc>
        <w:tc>
          <w:tcPr>
            <w:tcW w:w="448" w:type="dxa"/>
            <w:shd w:val="clear" w:color="auto" w:fill="auto"/>
          </w:tcPr>
          <w:p w14:paraId="568DF24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E95010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5549AC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9C33B4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1C520D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289344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24A7DB7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07C1EAA6" w14:textId="77777777" w:rsidTr="006C090E">
        <w:tc>
          <w:tcPr>
            <w:tcW w:w="573" w:type="dxa"/>
            <w:shd w:val="clear" w:color="auto" w:fill="auto"/>
          </w:tcPr>
          <w:p w14:paraId="1D6F614A"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54F41D76"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Empty packaging, uncleaned</w:t>
            </w:r>
          </w:p>
        </w:tc>
        <w:tc>
          <w:tcPr>
            <w:tcW w:w="448" w:type="dxa"/>
            <w:shd w:val="clear" w:color="auto" w:fill="auto"/>
          </w:tcPr>
          <w:p w14:paraId="341B1FF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FA545D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275AC3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75C82A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30D6E9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557EDC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94A704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390E1147" w14:textId="77777777" w:rsidTr="006C090E">
        <w:tc>
          <w:tcPr>
            <w:tcW w:w="573" w:type="dxa"/>
            <w:shd w:val="clear" w:color="auto" w:fill="auto"/>
          </w:tcPr>
          <w:p w14:paraId="3553A524"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64F330D0" w14:textId="77777777" w:rsidR="006A429A" w:rsidRPr="004004A4" w:rsidRDefault="006A429A" w:rsidP="00DC549B">
            <w:pPr>
              <w:tabs>
                <w:tab w:val="clear" w:pos="425"/>
                <w:tab w:val="clear" w:pos="851"/>
                <w:tab w:val="clear" w:pos="1276"/>
              </w:tabs>
              <w:suppressAutoHyphens w:val="0"/>
              <w:spacing w:before="40" w:after="120" w:line="220" w:lineRule="exact"/>
              <w:ind w:right="113"/>
              <w:jc w:val="left"/>
              <w:rPr>
                <w:rFonts w:eastAsia="Calibri"/>
                <w:i/>
                <w:iCs/>
                <w:sz w:val="18"/>
                <w:szCs w:val="18"/>
                <w:lang w:val="en-GB"/>
              </w:rPr>
            </w:pPr>
            <w:r w:rsidRPr="004004A4">
              <w:rPr>
                <w:i/>
                <w:iCs/>
                <w:sz w:val="18"/>
                <w:szCs w:val="18"/>
                <w:lang w:val="en-GB"/>
              </w:rPr>
              <w:t>N</w:t>
            </w:r>
            <w:r w:rsidR="00DC549B">
              <w:rPr>
                <w:i/>
                <w:iCs/>
                <w:sz w:val="18"/>
                <w:szCs w:val="18"/>
                <w:lang w:val="en-GB"/>
              </w:rPr>
              <w:t>ote</w:t>
            </w:r>
            <w:r w:rsidRPr="004004A4">
              <w:rPr>
                <w:i/>
                <w:iCs/>
                <w:sz w:val="18"/>
                <w:szCs w:val="18"/>
                <w:lang w:val="en-GB"/>
              </w:rPr>
              <w:t>:</w:t>
            </w:r>
          </w:p>
          <w:p w14:paraId="60A49A7D" w14:textId="77777777" w:rsidR="006A429A" w:rsidRPr="004004A4" w:rsidRDefault="006A429A" w:rsidP="006A429A">
            <w:pPr>
              <w:tabs>
                <w:tab w:val="clear" w:pos="425"/>
                <w:tab w:val="clear" w:pos="851"/>
                <w:tab w:val="clear" w:pos="1276"/>
              </w:tabs>
              <w:suppressAutoHyphens w:val="0"/>
              <w:spacing w:before="40" w:after="120" w:line="220" w:lineRule="exact"/>
              <w:ind w:right="113"/>
              <w:jc w:val="left"/>
              <w:rPr>
                <w:rFonts w:eastAsia="Calibri"/>
                <w:i/>
                <w:iCs/>
                <w:sz w:val="18"/>
                <w:szCs w:val="18"/>
                <w:lang w:val="en-GB"/>
              </w:rPr>
            </w:pPr>
            <w:r w:rsidRPr="004004A4">
              <w:rPr>
                <w:i/>
                <w:iCs/>
                <w:sz w:val="18"/>
                <w:szCs w:val="18"/>
                <w:vertAlign w:val="superscript"/>
                <w:lang w:val="en-GB"/>
              </w:rPr>
              <w:t>(1)</w:t>
            </w:r>
            <w:r w:rsidRPr="004004A4">
              <w:rPr>
                <w:i/>
                <w:iCs/>
                <w:sz w:val="18"/>
                <w:szCs w:val="18"/>
                <w:lang w:val="en-GB"/>
              </w:rPr>
              <w:t xml:space="preserve"> In not less than three batches of a maximum of 30 kg each, distance between batches not less than 10.00 m.</w:t>
            </w:r>
          </w:p>
          <w:p w14:paraId="25C7A213" w14:textId="77777777" w:rsidR="006A429A" w:rsidRPr="004004A4" w:rsidRDefault="006A429A" w:rsidP="006A429A">
            <w:pPr>
              <w:tabs>
                <w:tab w:val="clear" w:pos="425"/>
                <w:tab w:val="clear" w:pos="851"/>
                <w:tab w:val="clear" w:pos="1276"/>
              </w:tabs>
              <w:suppressAutoHyphens w:val="0"/>
              <w:spacing w:before="40" w:after="120" w:line="220" w:lineRule="exact"/>
              <w:ind w:right="113"/>
              <w:jc w:val="left"/>
              <w:rPr>
                <w:rFonts w:eastAsia="Calibri"/>
                <w:i/>
                <w:iCs/>
                <w:sz w:val="18"/>
                <w:szCs w:val="18"/>
                <w:lang w:val="en-GB"/>
              </w:rPr>
            </w:pPr>
            <w:r w:rsidRPr="004004A4">
              <w:rPr>
                <w:i/>
                <w:iCs/>
                <w:sz w:val="18"/>
                <w:szCs w:val="18"/>
                <w:vertAlign w:val="superscript"/>
                <w:lang w:val="en-GB"/>
              </w:rPr>
              <w:t>(2)</w:t>
            </w:r>
            <w:r w:rsidRPr="004004A4">
              <w:rPr>
                <w:i/>
                <w:iCs/>
                <w:sz w:val="18"/>
                <w:szCs w:val="18"/>
                <w:lang w:val="en-GB"/>
              </w:rPr>
              <w:t xml:space="preserve"> In not less than three batches of a maximum of 5,000 kg each, distance between batches not less than 10.00 m.</w:t>
            </w:r>
          </w:p>
          <w:p w14:paraId="76A1859F"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4004A4">
              <w:rPr>
                <w:i/>
                <w:iCs/>
                <w:sz w:val="18"/>
                <w:szCs w:val="18"/>
                <w:vertAlign w:val="superscript"/>
                <w:lang w:val="en-GB"/>
              </w:rPr>
              <w:t>(3)</w:t>
            </w:r>
            <w:r w:rsidRPr="004004A4">
              <w:rPr>
                <w:i/>
                <w:iCs/>
                <w:sz w:val="18"/>
                <w:szCs w:val="18"/>
                <w:lang w:val="en-GB"/>
              </w:rPr>
              <w:t xml:space="preserve"> Not more than 100,000 kg per hold. A wooden partition is permitted for subdividing a hold.</w:t>
            </w:r>
          </w:p>
        </w:tc>
        <w:tc>
          <w:tcPr>
            <w:tcW w:w="448" w:type="dxa"/>
            <w:shd w:val="clear" w:color="auto" w:fill="auto"/>
          </w:tcPr>
          <w:p w14:paraId="2D9012F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B35088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C9487E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92F25A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0C444F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497AF7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A34723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0DED2D0A" w14:textId="77777777" w:rsidTr="006C090E">
        <w:tc>
          <w:tcPr>
            <w:tcW w:w="573" w:type="dxa"/>
            <w:shd w:val="clear" w:color="auto" w:fill="auto"/>
          </w:tcPr>
          <w:p w14:paraId="6BB9A935"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2</w:t>
            </w:r>
          </w:p>
        </w:tc>
        <w:tc>
          <w:tcPr>
            <w:tcW w:w="8759" w:type="dxa"/>
            <w:shd w:val="clear" w:color="auto" w:fill="auto"/>
          </w:tcPr>
          <w:p w14:paraId="4C9D3CFB"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for which label No. 2.1 is required in column (5) of Table A of Chapter 3.2: total</w:t>
            </w:r>
          </w:p>
        </w:tc>
        <w:tc>
          <w:tcPr>
            <w:tcW w:w="448" w:type="dxa"/>
            <w:shd w:val="clear" w:color="auto" w:fill="auto"/>
          </w:tcPr>
          <w:p w14:paraId="4739443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AFB0CC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C2638D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15F3E0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DDBC65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35601F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7595C68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6198847A" w14:textId="77777777" w:rsidTr="006C090E">
        <w:tc>
          <w:tcPr>
            <w:tcW w:w="573" w:type="dxa"/>
            <w:shd w:val="clear" w:color="auto" w:fill="auto"/>
          </w:tcPr>
          <w:p w14:paraId="5EE59AF1"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2976063D"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for which label No. 2.3 is required in column (5) of Table A of Chapter 3.2: total</w:t>
            </w:r>
          </w:p>
        </w:tc>
        <w:tc>
          <w:tcPr>
            <w:tcW w:w="448" w:type="dxa"/>
            <w:shd w:val="clear" w:color="auto" w:fill="auto"/>
          </w:tcPr>
          <w:p w14:paraId="2FDA213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E38E04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701889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0E2FA6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EAD159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11210E7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C353E0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00D8B307" w14:textId="77777777" w:rsidTr="006C090E">
        <w:tc>
          <w:tcPr>
            <w:tcW w:w="573" w:type="dxa"/>
            <w:shd w:val="clear" w:color="auto" w:fill="auto"/>
          </w:tcPr>
          <w:p w14:paraId="331F2D8A"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4E22CC37"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shd w:val="clear" w:color="auto" w:fill="auto"/>
          </w:tcPr>
          <w:p w14:paraId="280145F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3E571A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446604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AE91FC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C74B27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3EE65C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BC35D2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0825BD83" w14:textId="77777777" w:rsidTr="006C090E">
        <w:tc>
          <w:tcPr>
            <w:tcW w:w="573" w:type="dxa"/>
            <w:tcBorders>
              <w:bottom w:val="nil"/>
            </w:tcBorders>
            <w:shd w:val="clear" w:color="auto" w:fill="auto"/>
          </w:tcPr>
          <w:p w14:paraId="1458C692"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3</w:t>
            </w:r>
          </w:p>
        </w:tc>
        <w:tc>
          <w:tcPr>
            <w:tcW w:w="8759" w:type="dxa"/>
            <w:tcBorders>
              <w:bottom w:val="nil"/>
            </w:tcBorders>
            <w:shd w:val="clear" w:color="auto" w:fill="auto"/>
          </w:tcPr>
          <w:p w14:paraId="2CC69D44"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groups I or II for which, in addition to a label of model No. 3, a label of model No. 6.1 is required in column (5) of Table A of Chapter 3.2: total</w:t>
            </w:r>
          </w:p>
        </w:tc>
        <w:tc>
          <w:tcPr>
            <w:tcW w:w="448" w:type="dxa"/>
            <w:tcBorders>
              <w:bottom w:val="nil"/>
            </w:tcBorders>
            <w:shd w:val="clear" w:color="auto" w:fill="auto"/>
          </w:tcPr>
          <w:p w14:paraId="5A8C10F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4A7361A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47753EB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77F4F66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0B9CF50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bottom w:val="nil"/>
            </w:tcBorders>
            <w:shd w:val="clear" w:color="auto" w:fill="auto"/>
          </w:tcPr>
          <w:p w14:paraId="1F6FF45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24FC8FC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04D2BB34" w14:textId="77777777" w:rsidTr="006C090E">
        <w:tc>
          <w:tcPr>
            <w:tcW w:w="573" w:type="dxa"/>
            <w:tcBorders>
              <w:top w:val="nil"/>
              <w:bottom w:val="nil"/>
            </w:tcBorders>
            <w:shd w:val="clear" w:color="auto" w:fill="auto"/>
          </w:tcPr>
          <w:p w14:paraId="2AE3FEBE"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tcBorders>
              <w:top w:val="nil"/>
              <w:bottom w:val="nil"/>
            </w:tcBorders>
            <w:shd w:val="clear" w:color="auto" w:fill="auto"/>
          </w:tcPr>
          <w:p w14:paraId="07B082B0"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groups I or II: total</w:t>
            </w:r>
          </w:p>
        </w:tc>
        <w:tc>
          <w:tcPr>
            <w:tcW w:w="448" w:type="dxa"/>
            <w:tcBorders>
              <w:top w:val="nil"/>
              <w:bottom w:val="nil"/>
            </w:tcBorders>
            <w:shd w:val="clear" w:color="auto" w:fill="auto"/>
          </w:tcPr>
          <w:p w14:paraId="19924E3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1CD04BC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7DF723E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0D2900E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7914695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1F1B37F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top w:val="nil"/>
              <w:bottom w:val="nil"/>
            </w:tcBorders>
            <w:shd w:val="clear" w:color="auto" w:fill="auto"/>
          </w:tcPr>
          <w:p w14:paraId="723F635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1B3CB6FD" w14:textId="77777777" w:rsidTr="006C090E">
        <w:tc>
          <w:tcPr>
            <w:tcW w:w="573" w:type="dxa"/>
            <w:tcBorders>
              <w:top w:val="nil"/>
              <w:bottom w:val="nil"/>
            </w:tcBorders>
            <w:shd w:val="clear" w:color="auto" w:fill="auto"/>
          </w:tcPr>
          <w:p w14:paraId="23646F2B"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4.1</w:t>
            </w:r>
          </w:p>
        </w:tc>
        <w:tc>
          <w:tcPr>
            <w:tcW w:w="8759" w:type="dxa"/>
            <w:tcBorders>
              <w:top w:val="nil"/>
              <w:bottom w:val="nil"/>
            </w:tcBorders>
            <w:shd w:val="clear" w:color="auto" w:fill="auto"/>
          </w:tcPr>
          <w:p w14:paraId="5F097DB7"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UN Nos. 3221, 3222, 3231 and 3232: total</w:t>
            </w:r>
          </w:p>
        </w:tc>
        <w:tc>
          <w:tcPr>
            <w:tcW w:w="448" w:type="dxa"/>
            <w:tcBorders>
              <w:top w:val="nil"/>
              <w:bottom w:val="nil"/>
            </w:tcBorders>
            <w:shd w:val="clear" w:color="auto" w:fill="auto"/>
          </w:tcPr>
          <w:p w14:paraId="0A28BF0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5836534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37269B4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top w:val="nil"/>
              <w:bottom w:val="nil"/>
            </w:tcBorders>
            <w:shd w:val="clear" w:color="auto" w:fill="auto"/>
          </w:tcPr>
          <w:p w14:paraId="5F2082C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7D461A2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05655E4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1CDE67B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5558AA97" w14:textId="77777777" w:rsidTr="00400E65">
        <w:tc>
          <w:tcPr>
            <w:tcW w:w="573" w:type="dxa"/>
            <w:tcBorders>
              <w:top w:val="nil"/>
              <w:bottom w:val="nil"/>
            </w:tcBorders>
            <w:shd w:val="clear" w:color="auto" w:fill="auto"/>
          </w:tcPr>
          <w:p w14:paraId="0344B88B"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tcBorders>
              <w:top w:val="nil"/>
              <w:bottom w:val="nil"/>
            </w:tcBorders>
            <w:shd w:val="clear" w:color="auto" w:fill="auto"/>
          </w:tcPr>
          <w:p w14:paraId="7E685B8C"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rFonts w:eastAsia="Calibri"/>
                <w:sz w:val="18"/>
                <w:szCs w:val="18"/>
                <w:lang w:val="en-GB"/>
              </w:rPr>
            </w:pPr>
            <w:r w:rsidRPr="00B563FD">
              <w:rPr>
                <w:sz w:val="18"/>
                <w:szCs w:val="18"/>
                <w:lang w:val="en-GB"/>
              </w:rPr>
              <w:t>All goods of packing group I;</w:t>
            </w:r>
          </w:p>
          <w:p w14:paraId="048D0CC4"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rFonts w:eastAsia="Calibri"/>
                <w:sz w:val="18"/>
                <w:szCs w:val="18"/>
                <w:lang w:val="en-GB"/>
              </w:rPr>
            </w:pPr>
            <w:r w:rsidRPr="00B563FD">
              <w:rPr>
                <w:sz w:val="18"/>
                <w:szCs w:val="18"/>
                <w:lang w:val="en-GB"/>
              </w:rPr>
              <w:t>All goods of packing group II for which, in addition to a label of model No. 4.1, a label of model No. 6.1 is required in column (5) of Table A of Chapter 3.2;</w:t>
            </w:r>
          </w:p>
          <w:p w14:paraId="322F6BD5"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rFonts w:eastAsia="Calibri"/>
                <w:sz w:val="18"/>
                <w:szCs w:val="18"/>
                <w:lang w:val="en-GB"/>
              </w:rPr>
            </w:pPr>
            <w:r w:rsidRPr="00B563FD">
              <w:rPr>
                <w:sz w:val="18"/>
                <w:szCs w:val="18"/>
                <w:lang w:val="en-GB"/>
              </w:rPr>
              <w:lastRenderedPageBreak/>
              <w:t xml:space="preserve">Self-reactive substances of types C, D, E and F (UN Nos. 3223 to 3230 and 3233 to 3240); </w:t>
            </w:r>
          </w:p>
          <w:p w14:paraId="60489FCC"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rFonts w:eastAsia="Calibri"/>
                <w:sz w:val="18"/>
                <w:szCs w:val="18"/>
                <w:lang w:val="en-GB"/>
              </w:rPr>
            </w:pPr>
            <w:r w:rsidRPr="00B563FD">
              <w:rPr>
                <w:sz w:val="18"/>
                <w:szCs w:val="18"/>
                <w:lang w:val="en-GB"/>
              </w:rPr>
              <w:t>All other substances of classification code SR1 or SR2 (UN Nos. 2956, 3241, 3242 and 3251);</w:t>
            </w:r>
          </w:p>
          <w:p w14:paraId="5D2731A5"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 xml:space="preserve">and desensitized explosive substances of packing group II (UN Nos. 2907, 3319 and 3344): total </w:t>
            </w:r>
          </w:p>
        </w:tc>
        <w:tc>
          <w:tcPr>
            <w:tcW w:w="448" w:type="dxa"/>
            <w:tcBorders>
              <w:top w:val="nil"/>
              <w:bottom w:val="nil"/>
            </w:tcBorders>
            <w:shd w:val="clear" w:color="auto" w:fill="auto"/>
          </w:tcPr>
          <w:p w14:paraId="43A86D4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2F75B4B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51A345A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7FB3B15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vAlign w:val="bottom"/>
          </w:tcPr>
          <w:p w14:paraId="26323571" w14:textId="77777777" w:rsidR="008F1A72" w:rsidRDefault="008F1A72" w:rsidP="00400E65">
            <w:pPr>
              <w:tabs>
                <w:tab w:val="clear" w:pos="425"/>
                <w:tab w:val="clear" w:pos="851"/>
                <w:tab w:val="clear" w:pos="1276"/>
              </w:tabs>
              <w:suppressAutoHyphens w:val="0"/>
              <w:spacing w:before="40" w:after="120" w:line="220" w:lineRule="exact"/>
              <w:ind w:right="113"/>
              <w:jc w:val="right"/>
              <w:rPr>
                <w:sz w:val="18"/>
                <w:szCs w:val="18"/>
                <w:lang w:val="en-GB"/>
              </w:rPr>
            </w:pPr>
          </w:p>
          <w:p w14:paraId="75D39452" w14:textId="77777777" w:rsidR="008F1A72" w:rsidRDefault="008F1A72" w:rsidP="00400E65">
            <w:pPr>
              <w:tabs>
                <w:tab w:val="clear" w:pos="425"/>
                <w:tab w:val="clear" w:pos="851"/>
                <w:tab w:val="clear" w:pos="1276"/>
              </w:tabs>
              <w:suppressAutoHyphens w:val="0"/>
              <w:spacing w:before="40" w:after="120" w:line="220" w:lineRule="exact"/>
              <w:ind w:right="113"/>
              <w:jc w:val="right"/>
              <w:rPr>
                <w:sz w:val="18"/>
                <w:szCs w:val="18"/>
                <w:lang w:val="en-GB"/>
              </w:rPr>
            </w:pPr>
          </w:p>
          <w:p w14:paraId="58CC4D4F" w14:textId="77777777" w:rsidR="008F1A72" w:rsidRDefault="008F1A72" w:rsidP="00400E65">
            <w:pPr>
              <w:tabs>
                <w:tab w:val="clear" w:pos="425"/>
                <w:tab w:val="clear" w:pos="851"/>
                <w:tab w:val="clear" w:pos="1276"/>
              </w:tabs>
              <w:suppressAutoHyphens w:val="0"/>
              <w:spacing w:before="40" w:after="120" w:line="220" w:lineRule="exact"/>
              <w:ind w:right="113"/>
              <w:jc w:val="right"/>
              <w:rPr>
                <w:sz w:val="18"/>
                <w:szCs w:val="18"/>
                <w:lang w:val="en-GB"/>
              </w:rPr>
            </w:pPr>
          </w:p>
          <w:p w14:paraId="21FB90F2" w14:textId="77777777" w:rsidR="008F1A72" w:rsidRDefault="008F1A72" w:rsidP="00400E65">
            <w:pPr>
              <w:tabs>
                <w:tab w:val="clear" w:pos="425"/>
                <w:tab w:val="clear" w:pos="851"/>
                <w:tab w:val="clear" w:pos="1276"/>
              </w:tabs>
              <w:suppressAutoHyphens w:val="0"/>
              <w:spacing w:before="40" w:after="120" w:line="220" w:lineRule="exact"/>
              <w:ind w:right="113"/>
              <w:jc w:val="right"/>
              <w:rPr>
                <w:sz w:val="18"/>
                <w:szCs w:val="18"/>
                <w:lang w:val="en-GB"/>
              </w:rPr>
            </w:pPr>
          </w:p>
          <w:p w14:paraId="1DA1FC9B" w14:textId="77777777" w:rsidR="008F1A72" w:rsidRDefault="008F1A72" w:rsidP="00400E65">
            <w:pPr>
              <w:tabs>
                <w:tab w:val="clear" w:pos="425"/>
                <w:tab w:val="clear" w:pos="851"/>
                <w:tab w:val="clear" w:pos="1276"/>
              </w:tabs>
              <w:suppressAutoHyphens w:val="0"/>
              <w:spacing w:before="40" w:after="120" w:line="220" w:lineRule="exact"/>
              <w:ind w:right="113"/>
              <w:jc w:val="right"/>
              <w:rPr>
                <w:sz w:val="18"/>
                <w:szCs w:val="18"/>
                <w:lang w:val="en-GB"/>
              </w:rPr>
            </w:pPr>
          </w:p>
          <w:p w14:paraId="71F613AF" w14:textId="4AF46A62" w:rsidR="006A429A" w:rsidRPr="00B563FD" w:rsidRDefault="006A429A" w:rsidP="00400E65">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top w:val="nil"/>
              <w:bottom w:val="nil"/>
            </w:tcBorders>
            <w:shd w:val="clear" w:color="auto" w:fill="auto"/>
          </w:tcPr>
          <w:p w14:paraId="085E155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1C6477E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3005DCBD" w14:textId="77777777" w:rsidTr="006C090E">
        <w:tc>
          <w:tcPr>
            <w:tcW w:w="573" w:type="dxa"/>
            <w:tcBorders>
              <w:top w:val="nil"/>
            </w:tcBorders>
            <w:shd w:val="clear" w:color="auto" w:fill="auto"/>
          </w:tcPr>
          <w:p w14:paraId="45953C3F"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tcBorders>
              <w:top w:val="nil"/>
            </w:tcBorders>
            <w:shd w:val="clear" w:color="auto" w:fill="auto"/>
          </w:tcPr>
          <w:p w14:paraId="09350B1E"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tcBorders>
              <w:top w:val="nil"/>
            </w:tcBorders>
            <w:shd w:val="clear" w:color="auto" w:fill="auto"/>
          </w:tcPr>
          <w:p w14:paraId="52F8234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146E99D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72116DC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21AE4C5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36B414B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358B087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31D0BD9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543047A3" w14:textId="77777777" w:rsidTr="006C090E">
        <w:tc>
          <w:tcPr>
            <w:tcW w:w="573" w:type="dxa"/>
            <w:shd w:val="clear" w:color="auto" w:fill="auto"/>
          </w:tcPr>
          <w:p w14:paraId="6BF20FCE"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4.2</w:t>
            </w:r>
          </w:p>
        </w:tc>
        <w:tc>
          <w:tcPr>
            <w:tcW w:w="8759" w:type="dxa"/>
            <w:shd w:val="clear" w:color="auto" w:fill="auto"/>
          </w:tcPr>
          <w:p w14:paraId="4055472D"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groups I or II for which, in addition to a label of model No. 4.2, a label of model No. 6.1 is required in column (5) of Table A of Chapter 3.2: total</w:t>
            </w:r>
          </w:p>
        </w:tc>
        <w:tc>
          <w:tcPr>
            <w:tcW w:w="448" w:type="dxa"/>
            <w:shd w:val="clear" w:color="auto" w:fill="auto"/>
          </w:tcPr>
          <w:p w14:paraId="22984E3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7FD1E5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4810C2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5BCF2C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CBA099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80DDAB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068C6CA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55365F73" w14:textId="77777777" w:rsidTr="006C090E">
        <w:tc>
          <w:tcPr>
            <w:tcW w:w="573" w:type="dxa"/>
            <w:shd w:val="clear" w:color="auto" w:fill="auto"/>
          </w:tcPr>
          <w:p w14:paraId="5B390850"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3600C592"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shd w:val="clear" w:color="auto" w:fill="auto"/>
          </w:tcPr>
          <w:p w14:paraId="56A84A1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12ECB8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B42502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A09FA2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BCD978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93B2A8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DDC3DA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61DFE703" w14:textId="77777777" w:rsidTr="006C090E">
        <w:tc>
          <w:tcPr>
            <w:tcW w:w="573" w:type="dxa"/>
            <w:shd w:val="clear" w:color="auto" w:fill="auto"/>
          </w:tcPr>
          <w:p w14:paraId="21F89D90"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4.3</w:t>
            </w:r>
          </w:p>
        </w:tc>
        <w:tc>
          <w:tcPr>
            <w:tcW w:w="8759" w:type="dxa"/>
            <w:shd w:val="clear" w:color="auto" w:fill="auto"/>
          </w:tcPr>
          <w:p w14:paraId="59C16E89"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groups I or II for which, in addition to a label of model No. 4.3, a label of model No. 3, 4.1 or 6.1 is required in column (5) of Table A of Chapter 3.2: total</w:t>
            </w:r>
          </w:p>
        </w:tc>
        <w:tc>
          <w:tcPr>
            <w:tcW w:w="448" w:type="dxa"/>
            <w:shd w:val="clear" w:color="auto" w:fill="auto"/>
          </w:tcPr>
          <w:p w14:paraId="6CBA53B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32A541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9E8003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45C46D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316ADA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810A9B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124AFD3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48D8DF86" w14:textId="77777777" w:rsidTr="006C090E">
        <w:tc>
          <w:tcPr>
            <w:tcW w:w="573" w:type="dxa"/>
            <w:shd w:val="clear" w:color="auto" w:fill="auto"/>
          </w:tcPr>
          <w:p w14:paraId="65AE505A"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6B4D8CF8"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shd w:val="clear" w:color="auto" w:fill="auto"/>
          </w:tcPr>
          <w:p w14:paraId="1926051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29E656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1A5DC2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2FC21B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DA6E11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617221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08426F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546979DE" w14:textId="77777777" w:rsidTr="006C090E">
        <w:tc>
          <w:tcPr>
            <w:tcW w:w="573" w:type="dxa"/>
            <w:shd w:val="clear" w:color="auto" w:fill="auto"/>
          </w:tcPr>
          <w:p w14:paraId="4303FE2F"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5.1</w:t>
            </w:r>
          </w:p>
        </w:tc>
        <w:tc>
          <w:tcPr>
            <w:tcW w:w="8759" w:type="dxa"/>
            <w:shd w:val="clear" w:color="auto" w:fill="auto"/>
          </w:tcPr>
          <w:p w14:paraId="0B3B1723"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groups I or II for which, in addition to a label of model No. 5.1, a label of model No. 6.1 is required in column (5) of Table A of Chapter 3.2: total</w:t>
            </w:r>
          </w:p>
        </w:tc>
        <w:tc>
          <w:tcPr>
            <w:tcW w:w="448" w:type="dxa"/>
            <w:shd w:val="clear" w:color="auto" w:fill="auto"/>
          </w:tcPr>
          <w:p w14:paraId="74F346D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3F0CD7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8072CB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64B443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083F23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0F0808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157F6C4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23D3ADFA" w14:textId="77777777" w:rsidTr="006C090E">
        <w:tc>
          <w:tcPr>
            <w:tcW w:w="573" w:type="dxa"/>
            <w:shd w:val="clear" w:color="auto" w:fill="auto"/>
          </w:tcPr>
          <w:p w14:paraId="6D751B94"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40AFE61D"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shd w:val="clear" w:color="auto" w:fill="auto"/>
          </w:tcPr>
          <w:p w14:paraId="371BCF5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0EEDAA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648326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AC1A60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20B3EE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477D32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3ECF08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107C3758" w14:textId="77777777" w:rsidTr="006C090E">
        <w:tc>
          <w:tcPr>
            <w:tcW w:w="573" w:type="dxa"/>
            <w:shd w:val="clear" w:color="auto" w:fill="auto"/>
          </w:tcPr>
          <w:p w14:paraId="0AC6283D"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5.2</w:t>
            </w:r>
          </w:p>
        </w:tc>
        <w:tc>
          <w:tcPr>
            <w:tcW w:w="8759" w:type="dxa"/>
            <w:shd w:val="clear" w:color="auto" w:fill="auto"/>
          </w:tcPr>
          <w:p w14:paraId="6F026C85"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UN Nos. 3101, 3102, 3111 and 3112: total</w:t>
            </w:r>
          </w:p>
        </w:tc>
        <w:tc>
          <w:tcPr>
            <w:tcW w:w="448" w:type="dxa"/>
            <w:shd w:val="clear" w:color="auto" w:fill="auto"/>
          </w:tcPr>
          <w:p w14:paraId="4B0A2BA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039203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A95146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143C7F0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FE1C73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3A4987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C7A077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124C682B" w14:textId="77777777" w:rsidTr="006C090E">
        <w:tc>
          <w:tcPr>
            <w:tcW w:w="573" w:type="dxa"/>
            <w:shd w:val="clear" w:color="auto" w:fill="auto"/>
          </w:tcPr>
          <w:p w14:paraId="0863F4C7"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7DB2268B"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shd w:val="clear" w:color="auto" w:fill="auto"/>
          </w:tcPr>
          <w:p w14:paraId="367DA1C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CB5005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6DA5B9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1F8E88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4FE5F9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3DA6BD3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0B59CC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40046E60" w14:textId="77777777" w:rsidTr="006C090E">
        <w:tc>
          <w:tcPr>
            <w:tcW w:w="573" w:type="dxa"/>
            <w:tcBorders>
              <w:bottom w:val="nil"/>
            </w:tcBorders>
            <w:shd w:val="clear" w:color="auto" w:fill="auto"/>
          </w:tcPr>
          <w:p w14:paraId="1845065A"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6.1</w:t>
            </w:r>
          </w:p>
        </w:tc>
        <w:tc>
          <w:tcPr>
            <w:tcW w:w="8759" w:type="dxa"/>
            <w:tcBorders>
              <w:bottom w:val="nil"/>
            </w:tcBorders>
            <w:shd w:val="clear" w:color="auto" w:fill="auto"/>
          </w:tcPr>
          <w:p w14:paraId="2B115E2C"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 I: total</w:t>
            </w:r>
          </w:p>
        </w:tc>
        <w:tc>
          <w:tcPr>
            <w:tcW w:w="448" w:type="dxa"/>
            <w:tcBorders>
              <w:bottom w:val="nil"/>
            </w:tcBorders>
            <w:shd w:val="clear" w:color="auto" w:fill="auto"/>
          </w:tcPr>
          <w:p w14:paraId="54568FA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17D1F96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6D5A727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41E5E49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2B8073D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bottom w:val="nil"/>
            </w:tcBorders>
            <w:shd w:val="clear" w:color="auto" w:fill="auto"/>
          </w:tcPr>
          <w:p w14:paraId="79E7DA6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4EB2E4E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50D6D10A" w14:textId="77777777" w:rsidTr="006C090E">
        <w:tc>
          <w:tcPr>
            <w:tcW w:w="573" w:type="dxa"/>
            <w:tcBorders>
              <w:top w:val="nil"/>
              <w:bottom w:val="nil"/>
            </w:tcBorders>
            <w:shd w:val="clear" w:color="auto" w:fill="auto"/>
          </w:tcPr>
          <w:p w14:paraId="050B2767"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tcBorders>
              <w:top w:val="nil"/>
              <w:bottom w:val="nil"/>
            </w:tcBorders>
            <w:shd w:val="clear" w:color="auto" w:fill="auto"/>
          </w:tcPr>
          <w:p w14:paraId="17F35BAF"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 II: total</w:t>
            </w:r>
          </w:p>
        </w:tc>
        <w:tc>
          <w:tcPr>
            <w:tcW w:w="448" w:type="dxa"/>
            <w:tcBorders>
              <w:top w:val="nil"/>
              <w:bottom w:val="nil"/>
            </w:tcBorders>
            <w:shd w:val="clear" w:color="auto" w:fill="auto"/>
          </w:tcPr>
          <w:p w14:paraId="6E11041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1DD5E28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31614E7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7D0BB56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453BBEA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200F204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top w:val="nil"/>
              <w:bottom w:val="nil"/>
            </w:tcBorders>
            <w:shd w:val="clear" w:color="auto" w:fill="auto"/>
          </w:tcPr>
          <w:p w14:paraId="7F573D4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590FB679" w14:textId="77777777" w:rsidTr="006C090E">
        <w:tc>
          <w:tcPr>
            <w:tcW w:w="573" w:type="dxa"/>
            <w:tcBorders>
              <w:top w:val="nil"/>
            </w:tcBorders>
            <w:shd w:val="clear" w:color="auto" w:fill="auto"/>
          </w:tcPr>
          <w:p w14:paraId="5C1E5D66"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tcBorders>
              <w:top w:val="nil"/>
            </w:tcBorders>
            <w:shd w:val="clear" w:color="auto" w:fill="auto"/>
          </w:tcPr>
          <w:p w14:paraId="13F1FA0F"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carried in bulk</w:t>
            </w:r>
          </w:p>
        </w:tc>
        <w:tc>
          <w:tcPr>
            <w:tcW w:w="448" w:type="dxa"/>
            <w:tcBorders>
              <w:top w:val="nil"/>
            </w:tcBorders>
            <w:shd w:val="clear" w:color="auto" w:fill="auto"/>
          </w:tcPr>
          <w:p w14:paraId="4512C96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top w:val="nil"/>
            </w:tcBorders>
            <w:shd w:val="clear" w:color="auto" w:fill="auto"/>
          </w:tcPr>
          <w:p w14:paraId="7CC6020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5347F56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0A9E087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6BB7C93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04AE68B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31F32CF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098460DD" w14:textId="77777777" w:rsidTr="006C090E">
        <w:tc>
          <w:tcPr>
            <w:tcW w:w="573" w:type="dxa"/>
            <w:shd w:val="clear" w:color="auto" w:fill="auto"/>
          </w:tcPr>
          <w:p w14:paraId="4AD81E24"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60093147"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shd w:val="clear" w:color="auto" w:fill="auto"/>
          </w:tcPr>
          <w:p w14:paraId="5BB467B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2FB485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D133DA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630CF7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992D62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12D6CA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6AF2E0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2E70602C" w14:textId="77777777" w:rsidTr="006C090E">
        <w:tc>
          <w:tcPr>
            <w:tcW w:w="573" w:type="dxa"/>
            <w:shd w:val="clear" w:color="auto" w:fill="auto"/>
          </w:tcPr>
          <w:p w14:paraId="3684ADDE"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7</w:t>
            </w:r>
          </w:p>
        </w:tc>
        <w:tc>
          <w:tcPr>
            <w:tcW w:w="8759" w:type="dxa"/>
            <w:shd w:val="clear" w:color="auto" w:fill="auto"/>
          </w:tcPr>
          <w:p w14:paraId="1B0EDE3D"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UN Nos. 2912, 2913, 2915, 2916, 2917, 2919, 2977, 2978 and 3321 to 3333</w:t>
            </w:r>
          </w:p>
        </w:tc>
        <w:tc>
          <w:tcPr>
            <w:tcW w:w="448" w:type="dxa"/>
            <w:shd w:val="clear" w:color="auto" w:fill="auto"/>
          </w:tcPr>
          <w:p w14:paraId="247093A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0DDDC1D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F6324B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984236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D4ECC4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2FECF67"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24676A9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0E869805" w14:textId="77777777" w:rsidTr="006C090E">
        <w:tc>
          <w:tcPr>
            <w:tcW w:w="573" w:type="dxa"/>
            <w:tcBorders>
              <w:bottom w:val="nil"/>
            </w:tcBorders>
            <w:shd w:val="clear" w:color="auto" w:fill="auto"/>
          </w:tcPr>
          <w:p w14:paraId="28263880"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tcBorders>
              <w:bottom w:val="nil"/>
            </w:tcBorders>
            <w:shd w:val="clear" w:color="auto" w:fill="auto"/>
          </w:tcPr>
          <w:p w14:paraId="5D524909"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tcBorders>
              <w:bottom w:val="nil"/>
            </w:tcBorders>
            <w:shd w:val="clear" w:color="auto" w:fill="auto"/>
          </w:tcPr>
          <w:p w14:paraId="38C8C38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0900C83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7E0CA63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465252F8"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5F45C1A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1222B0B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bottom w:val="nil"/>
            </w:tcBorders>
            <w:shd w:val="clear" w:color="auto" w:fill="auto"/>
          </w:tcPr>
          <w:p w14:paraId="57E1DA7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2844339F" w14:textId="77777777" w:rsidTr="006C090E">
        <w:tc>
          <w:tcPr>
            <w:tcW w:w="573" w:type="dxa"/>
            <w:tcBorders>
              <w:top w:val="nil"/>
              <w:bottom w:val="nil"/>
            </w:tcBorders>
            <w:shd w:val="clear" w:color="auto" w:fill="auto"/>
          </w:tcPr>
          <w:p w14:paraId="5C829F4D"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8</w:t>
            </w:r>
          </w:p>
        </w:tc>
        <w:tc>
          <w:tcPr>
            <w:tcW w:w="8759" w:type="dxa"/>
            <w:tcBorders>
              <w:top w:val="nil"/>
              <w:bottom w:val="nil"/>
            </w:tcBorders>
            <w:shd w:val="clear" w:color="auto" w:fill="auto"/>
          </w:tcPr>
          <w:p w14:paraId="1A26429D"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rFonts w:eastAsia="Calibri"/>
                <w:sz w:val="18"/>
                <w:szCs w:val="18"/>
                <w:lang w:val="en-GB"/>
              </w:rPr>
            </w:pPr>
            <w:r w:rsidRPr="00B563FD">
              <w:rPr>
                <w:sz w:val="18"/>
                <w:szCs w:val="18"/>
                <w:lang w:val="en-GB"/>
              </w:rPr>
              <w:t>All goods of packing group I;</w:t>
            </w:r>
          </w:p>
          <w:p w14:paraId="48D63B41"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 II for which, in addition to a label of model No. 8, a label of model No. 3 or 6.1 is required in column (5) of Table A of Chapter 3.2: total</w:t>
            </w:r>
          </w:p>
        </w:tc>
        <w:tc>
          <w:tcPr>
            <w:tcW w:w="448" w:type="dxa"/>
            <w:tcBorders>
              <w:top w:val="nil"/>
              <w:bottom w:val="nil"/>
            </w:tcBorders>
            <w:shd w:val="clear" w:color="auto" w:fill="auto"/>
          </w:tcPr>
          <w:p w14:paraId="5DAC0B9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2C46B8E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302FCC6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34C199DC"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02384BD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bottom w:val="nil"/>
            </w:tcBorders>
            <w:shd w:val="clear" w:color="auto" w:fill="auto"/>
          </w:tcPr>
          <w:p w14:paraId="44C326F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tcBorders>
              <w:top w:val="nil"/>
              <w:bottom w:val="nil"/>
            </w:tcBorders>
            <w:shd w:val="clear" w:color="auto" w:fill="auto"/>
          </w:tcPr>
          <w:p w14:paraId="0DB9B43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1ED3AFEE" w14:textId="77777777" w:rsidTr="006C090E">
        <w:tc>
          <w:tcPr>
            <w:tcW w:w="573" w:type="dxa"/>
            <w:tcBorders>
              <w:top w:val="nil"/>
            </w:tcBorders>
            <w:shd w:val="clear" w:color="auto" w:fill="auto"/>
          </w:tcPr>
          <w:p w14:paraId="5B7D1BB9"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tcBorders>
              <w:top w:val="nil"/>
            </w:tcBorders>
            <w:shd w:val="clear" w:color="auto" w:fill="auto"/>
          </w:tcPr>
          <w:p w14:paraId="699D748D"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tcBorders>
              <w:top w:val="nil"/>
            </w:tcBorders>
            <w:shd w:val="clear" w:color="auto" w:fill="auto"/>
          </w:tcPr>
          <w:p w14:paraId="588D3816"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3CAD8F4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695EE7E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78F3FAA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42E3180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1D1CC1A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tcBorders>
              <w:top w:val="nil"/>
            </w:tcBorders>
            <w:shd w:val="clear" w:color="auto" w:fill="auto"/>
          </w:tcPr>
          <w:p w14:paraId="733DA44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r w:rsidR="006A429A" w:rsidRPr="00B563FD" w14:paraId="2A10C708" w14:textId="77777777" w:rsidTr="006C090E">
        <w:tc>
          <w:tcPr>
            <w:tcW w:w="573" w:type="dxa"/>
            <w:shd w:val="clear" w:color="auto" w:fill="auto"/>
          </w:tcPr>
          <w:p w14:paraId="3A10EE3D"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5649C6">
              <w:rPr>
                <w:sz w:val="18"/>
                <w:szCs w:val="18"/>
                <w:lang w:val="en-GB"/>
              </w:rPr>
              <w:t>9</w:t>
            </w:r>
          </w:p>
        </w:tc>
        <w:tc>
          <w:tcPr>
            <w:tcW w:w="8759" w:type="dxa"/>
            <w:shd w:val="clear" w:color="auto" w:fill="auto"/>
          </w:tcPr>
          <w:p w14:paraId="36907D84"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All goods of packing group II: total</w:t>
            </w:r>
          </w:p>
        </w:tc>
        <w:tc>
          <w:tcPr>
            <w:tcW w:w="448" w:type="dxa"/>
            <w:shd w:val="clear" w:color="auto" w:fill="auto"/>
          </w:tcPr>
          <w:p w14:paraId="602C053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3D228FE"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07B495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4B9DA9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9028A20"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179BB5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2615B6C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52B181BF" w14:textId="77777777" w:rsidTr="006C090E">
        <w:tc>
          <w:tcPr>
            <w:tcW w:w="573" w:type="dxa"/>
            <w:shd w:val="clear" w:color="auto" w:fill="auto"/>
          </w:tcPr>
          <w:p w14:paraId="60B04B3B"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664301A7"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 xml:space="preserve">UN No. 3077, goods carried in bulk and classified as hazardous to the aquatic environment, categories Acute 1 or Chronic 1, in accordance with 2.4.3  </w:t>
            </w:r>
          </w:p>
        </w:tc>
        <w:tc>
          <w:tcPr>
            <w:tcW w:w="448" w:type="dxa"/>
            <w:shd w:val="clear" w:color="auto" w:fill="auto"/>
          </w:tcPr>
          <w:p w14:paraId="33A3611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c>
          <w:tcPr>
            <w:tcW w:w="449" w:type="dxa"/>
            <w:shd w:val="clear" w:color="auto" w:fill="auto"/>
          </w:tcPr>
          <w:p w14:paraId="1DD0D879"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700D4C02"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4929CF74"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6408702D"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2C462CA"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30E9D3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r>
      <w:tr w:rsidR="006A429A" w:rsidRPr="00B563FD" w14:paraId="76D650C6" w14:textId="77777777" w:rsidTr="006C090E">
        <w:tc>
          <w:tcPr>
            <w:tcW w:w="573" w:type="dxa"/>
            <w:shd w:val="clear" w:color="auto" w:fill="auto"/>
          </w:tcPr>
          <w:p w14:paraId="7ECB5C84" w14:textId="77777777" w:rsidR="006A429A" w:rsidRPr="005649C6"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p>
        </w:tc>
        <w:tc>
          <w:tcPr>
            <w:tcW w:w="8759" w:type="dxa"/>
            <w:shd w:val="clear" w:color="auto" w:fill="auto"/>
          </w:tcPr>
          <w:p w14:paraId="5AA935E1" w14:textId="77777777" w:rsidR="006A429A" w:rsidRPr="00B563FD" w:rsidRDefault="006A429A" w:rsidP="006A429A">
            <w:pPr>
              <w:tabs>
                <w:tab w:val="clear" w:pos="425"/>
                <w:tab w:val="clear" w:pos="851"/>
                <w:tab w:val="clear" w:pos="1276"/>
              </w:tabs>
              <w:suppressAutoHyphens w:val="0"/>
              <w:spacing w:before="40" w:after="120" w:line="220" w:lineRule="exact"/>
              <w:ind w:right="113"/>
              <w:jc w:val="left"/>
              <w:rPr>
                <w:sz w:val="18"/>
                <w:szCs w:val="18"/>
                <w:lang w:val="en-GB"/>
              </w:rPr>
            </w:pPr>
            <w:r w:rsidRPr="00B563FD">
              <w:rPr>
                <w:sz w:val="18"/>
                <w:szCs w:val="18"/>
                <w:lang w:val="en-GB"/>
              </w:rPr>
              <w:t>Other goods</w:t>
            </w:r>
          </w:p>
        </w:tc>
        <w:tc>
          <w:tcPr>
            <w:tcW w:w="448" w:type="dxa"/>
            <w:shd w:val="clear" w:color="auto" w:fill="auto"/>
          </w:tcPr>
          <w:p w14:paraId="2884D161"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0A614B8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519A88D3"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07FF53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7F04F9F"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192B6985"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p>
        </w:tc>
        <w:tc>
          <w:tcPr>
            <w:tcW w:w="449" w:type="dxa"/>
            <w:shd w:val="clear" w:color="auto" w:fill="auto"/>
          </w:tcPr>
          <w:p w14:paraId="317BD63B" w14:textId="77777777" w:rsidR="006A429A" w:rsidRPr="00B563FD" w:rsidRDefault="006A429A" w:rsidP="001C4E0D">
            <w:pPr>
              <w:tabs>
                <w:tab w:val="clear" w:pos="425"/>
                <w:tab w:val="clear" w:pos="851"/>
                <w:tab w:val="clear" w:pos="1276"/>
              </w:tabs>
              <w:suppressAutoHyphens w:val="0"/>
              <w:spacing w:before="40" w:after="120" w:line="220" w:lineRule="exact"/>
              <w:ind w:right="113"/>
              <w:jc w:val="right"/>
              <w:rPr>
                <w:sz w:val="18"/>
                <w:szCs w:val="18"/>
                <w:lang w:val="en-GB"/>
              </w:rPr>
            </w:pPr>
            <w:r w:rsidRPr="00B563FD">
              <w:rPr>
                <w:sz w:val="18"/>
                <w:szCs w:val="18"/>
                <w:lang w:val="en-GB"/>
              </w:rPr>
              <w:t>X</w:t>
            </w:r>
          </w:p>
        </w:tc>
      </w:tr>
    </w:tbl>
    <w:p w14:paraId="16E5B6BD" w14:textId="77777777" w:rsidR="00652A34" w:rsidRDefault="00AA0654" w:rsidP="00AA0654">
      <w:pPr>
        <w:suppressAutoHyphens w:val="0"/>
        <w:spacing w:after="200" w:line="276" w:lineRule="auto"/>
        <w:jc w:val="right"/>
      </w:pPr>
      <w:r>
        <w:t>”</w:t>
      </w:r>
    </w:p>
    <w:p w14:paraId="05A03F6A" w14:textId="77777777" w:rsidR="00AA0654" w:rsidRDefault="00AA0654" w:rsidP="0018703E">
      <w:pPr>
        <w:suppressAutoHyphens w:val="0"/>
        <w:spacing w:after="200" w:line="276" w:lineRule="auto"/>
      </w:pPr>
    </w:p>
    <w:p w14:paraId="6FAD754F" w14:textId="77777777" w:rsidR="00AA0654" w:rsidRDefault="00AA0654" w:rsidP="0018703E">
      <w:pPr>
        <w:suppressAutoHyphens w:val="0"/>
        <w:spacing w:after="200" w:line="276" w:lineRule="auto"/>
        <w:sectPr w:rsidR="00AA0654" w:rsidSect="0018703E">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6C7A538E" w14:textId="77777777" w:rsidR="007C033B" w:rsidRPr="002055DE" w:rsidRDefault="007C033B" w:rsidP="00D40974">
      <w:pPr>
        <w:pStyle w:val="SingleTxtG"/>
        <w:ind w:left="1701"/>
      </w:pPr>
      <w:r w:rsidRPr="002055DE">
        <w:lastRenderedPageBreak/>
        <w:t>7.1.4.1.4</w:t>
      </w:r>
      <w:r w:rsidRPr="002055DE">
        <w:tab/>
        <w:t>In 7.1.4.1.4, the reference to 7.1.4.1.1 becomes 7.1.4.1.3.</w:t>
      </w:r>
    </w:p>
    <w:p w14:paraId="2BE4522B" w14:textId="77777777" w:rsidR="007C033B" w:rsidRPr="002055DE" w:rsidRDefault="00D40974" w:rsidP="00D40974">
      <w:pPr>
        <w:pStyle w:val="HChG"/>
      </w:pPr>
      <w:r>
        <w:tab/>
      </w:r>
      <w:r w:rsidR="007C033B" w:rsidRPr="002055DE">
        <w:t>II.</w:t>
      </w:r>
      <w:r w:rsidR="007C033B" w:rsidRPr="002055DE">
        <w:tab/>
        <w:t>Justification</w:t>
      </w:r>
    </w:p>
    <w:p w14:paraId="7130FE88" w14:textId="77777777" w:rsidR="007C033B" w:rsidRDefault="007C033B" w:rsidP="007C033B">
      <w:pPr>
        <w:pStyle w:val="SingleTxtG"/>
      </w:pPr>
      <w:r w:rsidRPr="002055DE">
        <w:t>The text will be significantly easier to read thanks to the restructured content, which clearly sets out limitations of quantities and provides clarification regarding mixed cargos.</w:t>
      </w:r>
    </w:p>
    <w:p w14:paraId="7FA1891C" w14:textId="77777777" w:rsidR="00D40974" w:rsidRPr="00D40974" w:rsidRDefault="00D40974" w:rsidP="00D40974">
      <w:pPr>
        <w:pStyle w:val="SingleTxtG"/>
        <w:spacing w:before="240"/>
        <w:jc w:val="center"/>
        <w:rPr>
          <w:u w:val="single"/>
        </w:rPr>
      </w:pPr>
      <w:r>
        <w:rPr>
          <w:u w:val="single"/>
        </w:rPr>
        <w:tab/>
      </w:r>
      <w:r>
        <w:rPr>
          <w:u w:val="single"/>
        </w:rPr>
        <w:tab/>
      </w:r>
      <w:r>
        <w:rPr>
          <w:u w:val="single"/>
        </w:rPr>
        <w:tab/>
      </w:r>
    </w:p>
    <w:sectPr w:rsidR="00D40974" w:rsidRPr="00D40974" w:rsidSect="00652A34">
      <w:headerReference w:type="even" r:id="rId18"/>
      <w:headerReference w:type="default" r:id="rId19"/>
      <w:footerReference w:type="even" r:id="rId20"/>
      <w:footerReference w:type="default" r:id="rId21"/>
      <w:endnotePr>
        <w:numFmt w:val="decimal"/>
      </w:endnotePr>
      <w:pgSz w:w="11907" w:h="16840"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A434" w14:textId="77777777" w:rsidR="006259AF" w:rsidRPr="00FB1744" w:rsidRDefault="006259AF" w:rsidP="00FB1744">
      <w:pPr>
        <w:pStyle w:val="Footer"/>
      </w:pPr>
    </w:p>
  </w:endnote>
  <w:endnote w:type="continuationSeparator" w:id="0">
    <w:p w14:paraId="75D15E37" w14:textId="77777777" w:rsidR="006259AF" w:rsidRPr="00FB1744" w:rsidRDefault="006259A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4575" w14:textId="77777777" w:rsidR="00E177BC" w:rsidRDefault="00E177BC" w:rsidP="00E177BC">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sidR="00C04BBE">
      <w:rPr>
        <w:b/>
        <w:bCs/>
        <w:noProof/>
        <w:sz w:val="18"/>
      </w:rPr>
      <w:t>2</w:t>
    </w:r>
    <w:r w:rsidRPr="00E177BC">
      <w:rPr>
        <w:b/>
        <w:bCs/>
        <w:sz w:val="18"/>
      </w:rPr>
      <w:fldChar w:fldCharType="end"/>
    </w:r>
    <w:r>
      <w:tab/>
      <w:t>GE.19-19512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1B76" w14:textId="77777777" w:rsidR="00E177BC" w:rsidRDefault="00E177BC" w:rsidP="00E177BC">
    <w:pPr>
      <w:pStyle w:val="Footer"/>
      <w:tabs>
        <w:tab w:val="right" w:pos="9638"/>
      </w:tabs>
    </w:pPr>
    <w:r>
      <w:t>GE.19-19512</w:t>
    </w: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sidR="0018703E">
      <w:rPr>
        <w:b/>
        <w:bCs/>
        <w:noProof/>
        <w:sz w:val="18"/>
      </w:rPr>
      <w:t>5</w:t>
    </w:r>
    <w:r w:rsidRPr="00E177B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1CA2" w14:textId="77777777" w:rsidR="00E177BC" w:rsidRDefault="00E177BC">
    <w:pPr>
      <w:pStyle w:val="Footer"/>
      <w:rPr>
        <w:sz w:val="20"/>
      </w:rPr>
    </w:pPr>
    <w:r>
      <w:rPr>
        <w:noProof/>
      </w:rPr>
      <w:drawing>
        <wp:anchor distT="0" distB="0" distL="114300" distR="114300" simplePos="0" relativeHeight="251623424" behindDoc="1" locked="1" layoutInCell="1" allowOverlap="1" wp14:anchorId="5129C3E5" wp14:editId="4A4D0C25">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9B4187" w14:textId="77777777" w:rsidR="00E177BC" w:rsidRDefault="00E177BC" w:rsidP="00E177BC">
    <w:pPr>
      <w:pStyle w:val="Footer"/>
      <w:rPr>
        <w:sz w:val="20"/>
      </w:rPr>
    </w:pPr>
    <w:r>
      <w:rPr>
        <w:sz w:val="20"/>
      </w:rPr>
      <w:t>GE.19-</w:t>
    </w:r>
    <w:proofErr w:type="gramStart"/>
    <w:r>
      <w:rPr>
        <w:sz w:val="20"/>
      </w:rPr>
      <w:t>19512  (</w:t>
    </w:r>
    <w:proofErr w:type="gramEnd"/>
    <w:r>
      <w:rPr>
        <w:sz w:val="20"/>
      </w:rPr>
      <w:t>E)</w:t>
    </w:r>
    <w:r w:rsidR="00D26F88">
      <w:rPr>
        <w:sz w:val="20"/>
      </w:rPr>
      <w:t xml:space="preserve">    201119    201119</w:t>
    </w:r>
  </w:p>
  <w:p w14:paraId="642DA73E" w14:textId="77777777" w:rsidR="00E177BC" w:rsidRPr="00E177BC" w:rsidRDefault="00E177BC" w:rsidP="00E177BC">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24448" behindDoc="0" locked="0" layoutInCell="1" allowOverlap="1" wp14:anchorId="08D7CD1F" wp14:editId="59E4E465">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7162" w14:textId="77777777" w:rsidR="0018703E" w:rsidRPr="0018703E" w:rsidRDefault="0018703E" w:rsidP="0018703E">
    <w:pPr>
      <w:pStyle w:val="Footer"/>
    </w:pPr>
    <w:r>
      <w:rPr>
        <w:noProof/>
      </w:rPr>
      <mc:AlternateContent>
        <mc:Choice Requires="wps">
          <w:drawing>
            <wp:anchor distT="0" distB="0" distL="114300" distR="114300" simplePos="0" relativeHeight="251678720" behindDoc="0" locked="1" layoutInCell="1" allowOverlap="1" wp14:anchorId="538152C1" wp14:editId="23509DF7">
              <wp:simplePos x="0" y="0"/>
              <wp:positionH relativeFrom="page">
                <wp:posOffset>276860</wp:posOffset>
              </wp:positionH>
              <wp:positionV relativeFrom="page">
                <wp:posOffset>719455</wp:posOffset>
              </wp:positionV>
              <wp:extent cx="222885" cy="6159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CB915CD" w14:textId="77777777" w:rsidR="0018703E" w:rsidRDefault="0018703E" w:rsidP="0018703E">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sidR="00C04BBE">
                            <w:rPr>
                              <w:b/>
                              <w:bCs/>
                              <w:noProof/>
                              <w:sz w:val="18"/>
                            </w:rPr>
                            <w:t>4</w:t>
                          </w:r>
                          <w:r w:rsidRPr="00E177BC">
                            <w:rPr>
                              <w:b/>
                              <w:bCs/>
                              <w:sz w:val="18"/>
                            </w:rPr>
                            <w:fldChar w:fldCharType="end"/>
                          </w:r>
                          <w:r>
                            <w:tab/>
                            <w:t>GE.19-19512</w:t>
                          </w:r>
                        </w:p>
                        <w:p w14:paraId="53862646" w14:textId="77777777" w:rsidR="0018703E" w:rsidRDefault="001870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152C1" id="_x0000_t202" coordsize="21600,21600" o:spt="202" path="m,l,21600r21600,l21600,xe">
              <v:stroke joinstyle="miter"/>
              <v:path gradientshapeok="t" o:connecttype="rect"/>
            </v:shapetype>
            <v:shape id="Text Box 4" o:spid="_x0000_s1028" type="#_x0000_t202" style="position:absolute;margin-left:21.8pt;margin-top:56.65pt;width:17.55pt;height:4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" fillcolor="#4f81bd [3204]" stroked="f">
              <v:fill opacity="0"/>
              <v:stroke joinstyle="round"/>
              <v:path arrowok="t"/>
              <v:textbox style="layout-flow:vertical" inset="0,0,0,0">
                <w:txbxContent>
                  <w:p w14:paraId="2CB915CD" w14:textId="77777777" w:rsidR="0018703E" w:rsidRDefault="0018703E" w:rsidP="0018703E">
                    <w:pPr>
                      <w:pStyle w:val="Footer"/>
                      <w:tabs>
                        <w:tab w:val="right" w:pos="9638"/>
                      </w:tabs>
                    </w:pPr>
                    <w:r w:rsidRPr="00E177BC">
                      <w:rPr>
                        <w:b/>
                        <w:bCs/>
                        <w:sz w:val="18"/>
                      </w:rPr>
                      <w:fldChar w:fldCharType="begin"/>
                    </w:r>
                    <w:r w:rsidRPr="00E177BC">
                      <w:rPr>
                        <w:b/>
                        <w:bCs/>
                        <w:sz w:val="18"/>
                      </w:rPr>
                      <w:instrText xml:space="preserve"> PAGE  \* MERGEFORMAT </w:instrText>
                    </w:r>
                    <w:r w:rsidRPr="00E177BC">
                      <w:rPr>
                        <w:b/>
                        <w:bCs/>
                        <w:sz w:val="18"/>
                      </w:rPr>
                      <w:fldChar w:fldCharType="separate"/>
                    </w:r>
                    <w:r w:rsidR="00C04BBE">
                      <w:rPr>
                        <w:b/>
                        <w:bCs/>
                        <w:noProof/>
                        <w:sz w:val="18"/>
                      </w:rPr>
                      <w:t>4</w:t>
                    </w:r>
                    <w:r w:rsidRPr="00E177BC">
                      <w:rPr>
                        <w:b/>
                        <w:bCs/>
                        <w:sz w:val="18"/>
                      </w:rPr>
                      <w:fldChar w:fldCharType="end"/>
                    </w:r>
                    <w:r>
                      <w:tab/>
                      <w:t>GE.19-19512</w:t>
                    </w:r>
                  </w:p>
                  <w:p w14:paraId="53862646" w14:textId="77777777" w:rsidR="0018703E" w:rsidRDefault="0018703E"/>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DC44" w14:textId="77777777" w:rsidR="0018703E" w:rsidRPr="0018703E" w:rsidRDefault="0018703E" w:rsidP="0018703E">
    <w:pPr>
      <w:pStyle w:val="Footer"/>
    </w:pPr>
    <w:r>
      <w:rPr>
        <w:noProof/>
      </w:rPr>
      <mc:AlternateContent>
        <mc:Choice Requires="wps">
          <w:drawing>
            <wp:anchor distT="0" distB="0" distL="114300" distR="114300" simplePos="0" relativeHeight="251692032" behindDoc="0" locked="1" layoutInCell="1" allowOverlap="1" wp14:anchorId="66C8DD20" wp14:editId="42D81102">
              <wp:simplePos x="0" y="0"/>
              <wp:positionH relativeFrom="page">
                <wp:posOffset>276860</wp:posOffset>
              </wp:positionH>
              <wp:positionV relativeFrom="page">
                <wp:posOffset>719455</wp:posOffset>
              </wp:positionV>
              <wp:extent cx="222885" cy="6159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2E8EDB6" w14:textId="77777777" w:rsidR="0018703E" w:rsidRDefault="0018703E" w:rsidP="0018703E">
                          <w:pPr>
                            <w:pStyle w:val="Footer"/>
                            <w:tabs>
                              <w:tab w:val="right" w:pos="9638"/>
                            </w:tabs>
                          </w:pPr>
                          <w:r>
                            <w:t>GE.19-19512</w:t>
                          </w: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sidR="00C04BBE">
                            <w:rPr>
                              <w:b/>
                              <w:bCs/>
                              <w:noProof/>
                              <w:sz w:val="18"/>
                            </w:rPr>
                            <w:t>5</w:t>
                          </w:r>
                          <w:r w:rsidRPr="00E177BC">
                            <w:rPr>
                              <w:b/>
                              <w:bCs/>
                              <w:sz w:val="18"/>
                            </w:rPr>
                            <w:fldChar w:fldCharType="end"/>
                          </w:r>
                        </w:p>
                        <w:p w14:paraId="1CF438E2" w14:textId="77777777" w:rsidR="0018703E" w:rsidRDefault="001870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8DD20" id="_x0000_t202" coordsize="21600,21600" o:spt="202" path="m,l,21600r21600,l21600,xe">
              <v:stroke joinstyle="miter"/>
              <v:path gradientshapeok="t" o:connecttype="rect"/>
            </v:shapetype>
            <v:shape id="Text Box 7" o:spid="_x0000_s1029" type="#_x0000_t202" style="position:absolute;margin-left:21.8pt;margin-top:56.65pt;width:17.55pt;height:4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" fillcolor="#4f81bd [3204]" stroked="f">
              <v:fill opacity="0"/>
              <v:stroke joinstyle="round"/>
              <v:path arrowok="t"/>
              <v:textbox style="layout-flow:vertical" inset="0,0,0,0">
                <w:txbxContent>
                  <w:p w14:paraId="62E8EDB6" w14:textId="77777777" w:rsidR="0018703E" w:rsidRDefault="0018703E" w:rsidP="0018703E">
                    <w:pPr>
                      <w:pStyle w:val="Footer"/>
                      <w:tabs>
                        <w:tab w:val="right" w:pos="9638"/>
                      </w:tabs>
                    </w:pPr>
                    <w:r>
                      <w:t>GE.19-19512</w:t>
                    </w:r>
                    <w:r>
                      <w:tab/>
                    </w:r>
                    <w:r w:rsidRPr="00E177BC">
                      <w:rPr>
                        <w:b/>
                        <w:bCs/>
                        <w:sz w:val="18"/>
                      </w:rPr>
                      <w:fldChar w:fldCharType="begin"/>
                    </w:r>
                    <w:r w:rsidRPr="00E177BC">
                      <w:rPr>
                        <w:b/>
                        <w:bCs/>
                        <w:sz w:val="18"/>
                      </w:rPr>
                      <w:instrText xml:space="preserve"> PAGE  \* MERGEFORMAT </w:instrText>
                    </w:r>
                    <w:r w:rsidRPr="00E177BC">
                      <w:rPr>
                        <w:b/>
                        <w:bCs/>
                        <w:sz w:val="18"/>
                      </w:rPr>
                      <w:fldChar w:fldCharType="separate"/>
                    </w:r>
                    <w:r w:rsidR="00C04BBE">
                      <w:rPr>
                        <w:b/>
                        <w:bCs/>
                        <w:noProof/>
                        <w:sz w:val="18"/>
                      </w:rPr>
                      <w:t>5</w:t>
                    </w:r>
                    <w:r w:rsidRPr="00E177BC">
                      <w:rPr>
                        <w:b/>
                        <w:bCs/>
                        <w:sz w:val="18"/>
                      </w:rPr>
                      <w:fldChar w:fldCharType="end"/>
                    </w:r>
                  </w:p>
                  <w:p w14:paraId="1CF438E2" w14:textId="77777777" w:rsidR="0018703E" w:rsidRDefault="0018703E"/>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D3937" w14:textId="77777777" w:rsidR="00652A34" w:rsidRPr="00652A34" w:rsidRDefault="00652A34" w:rsidP="005369CA">
    <w:pPr>
      <w:pStyle w:val="Footer"/>
      <w:tabs>
        <w:tab w:val="right" w:pos="9638"/>
      </w:tabs>
      <w:rPr>
        <w:b/>
        <w:sz w:val="18"/>
      </w:rPr>
    </w:pPr>
    <w:r>
      <w:t>GE.</w:t>
    </w:r>
    <w:r w:rsidRPr="00652A34">
      <w:t>19</w:t>
    </w:r>
    <w:r>
      <w:t>-</w:t>
    </w:r>
    <w:r w:rsidRPr="00652A34">
      <w:t>19512</w:t>
    </w:r>
    <w:r>
      <w:tab/>
    </w:r>
    <w:r w:rsidRPr="00652A34">
      <w:rPr>
        <w:b/>
        <w:sz w:val="18"/>
      </w:rPr>
      <w:fldChar w:fldCharType="begin"/>
    </w:r>
    <w:r w:rsidRPr="00652A34">
      <w:rPr>
        <w:b/>
        <w:sz w:val="18"/>
      </w:rPr>
      <w:instrText xml:space="preserve"> PAGE  \* MERGEFORMAT </w:instrText>
    </w:r>
    <w:r w:rsidRPr="00652A34">
      <w:rPr>
        <w:b/>
        <w:sz w:val="18"/>
      </w:rPr>
      <w:fldChar w:fldCharType="separate"/>
    </w:r>
    <w:r w:rsidR="00C04BBE">
      <w:rPr>
        <w:b/>
        <w:noProof/>
        <w:sz w:val="18"/>
      </w:rPr>
      <w:t>6</w:t>
    </w:r>
    <w:r w:rsidRPr="00652A34">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0EE2" w14:textId="77777777" w:rsidR="00652A34" w:rsidRPr="00652A34" w:rsidRDefault="00652A34" w:rsidP="00652A34">
    <w:pPr>
      <w:pStyle w:val="Footer"/>
      <w:tabs>
        <w:tab w:val="right" w:pos="9638"/>
      </w:tabs>
      <w:rPr>
        <w:sz w:val="18"/>
      </w:rPr>
    </w:pPr>
    <w:r w:rsidRPr="00652A34">
      <w:rPr>
        <w:b/>
        <w:sz w:val="18"/>
      </w:rPr>
      <w:fldChar w:fldCharType="begin"/>
    </w:r>
    <w:r w:rsidRPr="00652A34">
      <w:rPr>
        <w:b/>
        <w:sz w:val="18"/>
      </w:rPr>
      <w:instrText xml:space="preserve"> PAGE  \* MERGEFORMAT </w:instrText>
    </w:r>
    <w:r w:rsidRPr="00652A34">
      <w:rPr>
        <w:b/>
        <w:sz w:val="18"/>
      </w:rPr>
      <w:fldChar w:fldCharType="separate"/>
    </w:r>
    <w:r w:rsidR="000A7245">
      <w:rPr>
        <w:b/>
        <w:noProof/>
        <w:sz w:val="18"/>
      </w:rPr>
      <w:t>7</w:t>
    </w:r>
    <w:r w:rsidRPr="00652A34">
      <w:rPr>
        <w:b/>
        <w:sz w:val="18"/>
      </w:rPr>
      <w:fldChar w:fldCharType="end"/>
    </w:r>
    <w:r>
      <w:rPr>
        <w:b/>
        <w:sz w:val="18"/>
      </w:rPr>
      <w:tab/>
    </w:r>
    <w:r w:rsidRPr="00652A34">
      <w:t>GE.19-19512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6A4D" w14:textId="77777777" w:rsidR="006259AF" w:rsidRPr="00FB1744" w:rsidRDefault="006259AF" w:rsidP="00FB1744">
      <w:pPr>
        <w:tabs>
          <w:tab w:val="right" w:pos="2155"/>
        </w:tabs>
        <w:spacing w:after="80" w:line="240" w:lineRule="auto"/>
        <w:ind w:left="680"/>
      </w:pPr>
      <w:r>
        <w:rPr>
          <w:u w:val="single"/>
        </w:rPr>
        <w:tab/>
      </w:r>
    </w:p>
  </w:footnote>
  <w:footnote w:type="continuationSeparator" w:id="0">
    <w:p w14:paraId="74BCBB2A" w14:textId="77777777" w:rsidR="006259AF" w:rsidRPr="00FB1744" w:rsidRDefault="006259AF" w:rsidP="00FB1744">
      <w:pPr>
        <w:tabs>
          <w:tab w:val="right" w:pos="2155"/>
        </w:tabs>
        <w:spacing w:after="80" w:line="240" w:lineRule="auto"/>
        <w:ind w:left="680"/>
      </w:pPr>
      <w:r>
        <w:rPr>
          <w:u w:val="single"/>
        </w:rPr>
        <w:tab/>
      </w:r>
    </w:p>
  </w:footnote>
  <w:footnote w:id="1">
    <w:p w14:paraId="3609D857" w14:textId="77777777" w:rsidR="00E177BC" w:rsidRPr="005A7966" w:rsidRDefault="00E177BC" w:rsidP="00114BEA">
      <w:pPr>
        <w:pStyle w:val="FootnoteText"/>
      </w:pPr>
      <w:r>
        <w:tab/>
      </w:r>
      <w:r w:rsidRPr="00114BEA">
        <w:rPr>
          <w:sz w:val="20"/>
          <w:szCs w:val="22"/>
        </w:rPr>
        <w:t>*</w:t>
      </w:r>
      <w:r>
        <w:tab/>
        <w:t>Distributed in German by the Central Commission for the Navigation of the Rhine under the symbol CCNR-ZKR/ADN/WP.15/AC.2/2020/13</w:t>
      </w:r>
      <w:r w:rsidR="0013398F">
        <w:t>.</w:t>
      </w:r>
    </w:p>
  </w:footnote>
  <w:footnote w:id="2">
    <w:p w14:paraId="32BD4AE3" w14:textId="77777777" w:rsidR="00E177BC" w:rsidRPr="005A7966" w:rsidRDefault="00E177BC" w:rsidP="00114BEA">
      <w:pPr>
        <w:pStyle w:val="FootnoteText"/>
      </w:pPr>
      <w:r>
        <w:tab/>
      </w:r>
      <w:r w:rsidRPr="00114BEA">
        <w:rPr>
          <w:sz w:val="20"/>
          <w:szCs w:val="22"/>
        </w:rPr>
        <w:t>**</w:t>
      </w:r>
      <w:r>
        <w:tab/>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0857" w14:textId="77777777" w:rsidR="00E177BC" w:rsidRDefault="00E177BC" w:rsidP="00E177BC">
    <w:pPr>
      <w:pStyle w:val="Header"/>
    </w:pPr>
    <w:r>
      <w:t>ECE/TRANS/WP.15/AC.2/2020/13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2591" w14:textId="77777777" w:rsidR="00E177BC" w:rsidRDefault="00E177BC" w:rsidP="00E177BC">
    <w:pPr>
      <w:pStyle w:val="Header"/>
      <w:jc w:val="right"/>
    </w:pPr>
    <w:r>
      <w:t>ECE/TRANS/WP.15/AC.2/2020/13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54D9" w14:textId="77777777" w:rsidR="0018703E" w:rsidRPr="0018703E" w:rsidRDefault="0018703E" w:rsidP="0018703E">
    <w:pPr>
      <w:pStyle w:val="Header"/>
      <w:pBdr>
        <w:bottom w:val="none" w:sz="0" w:space="0" w:color="auto"/>
      </w:pBdr>
    </w:pPr>
    <w:r>
      <w:rPr>
        <w:noProof/>
      </w:rPr>
      <mc:AlternateContent>
        <mc:Choice Requires="wps">
          <w:drawing>
            <wp:anchor distT="0" distB="0" distL="114300" distR="114300" simplePos="0" relativeHeight="251639808" behindDoc="0" locked="1" layoutInCell="1" allowOverlap="1" wp14:anchorId="52F05BE6" wp14:editId="6A0276F2">
              <wp:simplePos x="0" y="0"/>
              <wp:positionH relativeFrom="page">
                <wp:posOffset>9935845</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A49198C" w14:textId="77777777" w:rsidR="0018703E" w:rsidRDefault="0018703E" w:rsidP="0018703E">
                          <w:pPr>
                            <w:pStyle w:val="Header"/>
                          </w:pPr>
                          <w:r>
                            <w:t>ECE/TRANS/WP.15/AC.2/2020/13</w:t>
                          </w:r>
                        </w:p>
                        <w:p w14:paraId="2165D804" w14:textId="77777777" w:rsidR="0018703E" w:rsidRDefault="001870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05BE6" id="_x0000_t202" coordsize="21600,21600" o:spt="202" path="m,l,21600r21600,l21600,xe">
              <v:stroke joinstyle="miter"/>
              <v:path gradientshapeok="t" o:connecttype="rect"/>
            </v:shapetype>
            <v:shape id="Text Box 3" o:spid="_x0000_s1026" type="#_x0000_t202" style="position:absolute;margin-left:782.35pt;margin-top:56.65pt;width:23pt;height:481.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" fillcolor="#4f81bd [3204]" stroked="f">
              <v:fill opacity="0"/>
              <v:stroke joinstyle="round"/>
              <v:path arrowok="t"/>
              <v:textbox style="layout-flow:vertical" inset="0,0,0,0">
                <w:txbxContent>
                  <w:p w14:paraId="3A49198C" w14:textId="77777777" w:rsidR="0018703E" w:rsidRDefault="0018703E" w:rsidP="0018703E">
                    <w:pPr>
                      <w:pStyle w:val="Header"/>
                    </w:pPr>
                    <w:r>
                      <w:t>ECE/TRANS/WP.15/AC.2/2020/13</w:t>
                    </w:r>
                  </w:p>
                  <w:p w14:paraId="2165D804" w14:textId="77777777" w:rsidR="0018703E" w:rsidRDefault="0018703E"/>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FFCE" w14:textId="77777777" w:rsidR="0018703E" w:rsidRPr="0018703E" w:rsidRDefault="0018703E" w:rsidP="0018703E">
    <w:pPr>
      <w:pStyle w:val="Header"/>
      <w:pBdr>
        <w:bottom w:val="none" w:sz="0" w:space="0" w:color="auto"/>
      </w:pBdr>
    </w:pPr>
    <w:r>
      <w:rPr>
        <w:noProof/>
      </w:rPr>
      <mc:AlternateContent>
        <mc:Choice Requires="wps">
          <w:drawing>
            <wp:anchor distT="0" distB="0" distL="114300" distR="114300" simplePos="0" relativeHeight="251685888" behindDoc="0" locked="1" layoutInCell="1" allowOverlap="1" wp14:anchorId="7B9A0D6F" wp14:editId="60024E43">
              <wp:simplePos x="0" y="0"/>
              <wp:positionH relativeFrom="page">
                <wp:posOffset>9935845</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F059337" w14:textId="77777777" w:rsidR="0018703E" w:rsidRDefault="0018703E" w:rsidP="0018703E">
                          <w:pPr>
                            <w:pStyle w:val="Header"/>
                            <w:jc w:val="right"/>
                          </w:pPr>
                          <w:r>
                            <w:t>ECE/TRANS/WP.15/AC.2/2020/13</w:t>
                          </w:r>
                        </w:p>
                        <w:p w14:paraId="13EDB43F" w14:textId="77777777" w:rsidR="0018703E" w:rsidRDefault="001870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9A0D6F" id="_x0000_t202" coordsize="21600,21600" o:spt="202" path="m,l,21600r21600,l21600,xe">
              <v:stroke joinstyle="miter"/>
              <v:path gradientshapeok="t" o:connecttype="rect"/>
            </v:shapetype>
            <v:shape id="Text Box 6" o:spid="_x0000_s1027" type="#_x0000_t202" style="position:absolute;margin-left:782.35pt;margin-top:56.65pt;width:23pt;height:481.9pt;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" fillcolor="#4f81bd [3204]" stroked="f">
              <v:fill opacity="0"/>
              <v:stroke joinstyle="round"/>
              <v:path arrowok="t"/>
              <v:textbox style="layout-flow:vertical" inset="0,0,0,0">
                <w:txbxContent>
                  <w:p w14:paraId="7F059337" w14:textId="77777777" w:rsidR="0018703E" w:rsidRDefault="0018703E" w:rsidP="0018703E">
                    <w:pPr>
                      <w:pStyle w:val="Header"/>
                      <w:jc w:val="right"/>
                    </w:pPr>
                    <w:r>
                      <w:t>ECE/TRANS/WP.15/AC.2/2020/13</w:t>
                    </w:r>
                  </w:p>
                  <w:p w14:paraId="13EDB43F" w14:textId="77777777" w:rsidR="0018703E" w:rsidRDefault="0018703E"/>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67A9" w14:textId="77777777" w:rsidR="00652A34" w:rsidRPr="00652A34" w:rsidRDefault="002C7B05" w:rsidP="00652A34">
    <w:pPr>
      <w:pStyle w:val="Header"/>
      <w:jc w:val="right"/>
    </w:pPr>
    <w:r>
      <w:t>ECE/TRANS/WP.15/AC.2/2020/13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2ED7" w14:textId="308F044A" w:rsidR="00652A34" w:rsidRPr="00652A34" w:rsidRDefault="00077C5E" w:rsidP="00652A34">
    <w:pPr>
      <w:pStyle w:val="Header"/>
    </w:pPr>
    <w:r>
      <w:fldChar w:fldCharType="begin"/>
    </w:r>
    <w:r>
      <w:instrText xml:space="preserve"> TITLE  \* MERGEFORMAT </w:instrText>
    </w:r>
    <w:r>
      <w:fldChar w:fldCharType="separate"/>
    </w:r>
    <w:r>
      <w:t>ECE/TRANS/WP.15/AC.2/2020/13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AF"/>
    <w:rsid w:val="00046E92"/>
    <w:rsid w:val="00077C5E"/>
    <w:rsid w:val="000A7245"/>
    <w:rsid w:val="000D1B89"/>
    <w:rsid w:val="00114BEA"/>
    <w:rsid w:val="001170DC"/>
    <w:rsid w:val="0013398F"/>
    <w:rsid w:val="00160D40"/>
    <w:rsid w:val="0018703E"/>
    <w:rsid w:val="001C4E0D"/>
    <w:rsid w:val="0023502D"/>
    <w:rsid w:val="00247E2C"/>
    <w:rsid w:val="00281681"/>
    <w:rsid w:val="002C7B05"/>
    <w:rsid w:val="002D6C53"/>
    <w:rsid w:val="002F5595"/>
    <w:rsid w:val="00327986"/>
    <w:rsid w:val="00334F6A"/>
    <w:rsid w:val="00342AC8"/>
    <w:rsid w:val="00364EDD"/>
    <w:rsid w:val="003B4550"/>
    <w:rsid w:val="004004A4"/>
    <w:rsid w:val="00400E65"/>
    <w:rsid w:val="00402E1D"/>
    <w:rsid w:val="00420639"/>
    <w:rsid w:val="0043448D"/>
    <w:rsid w:val="00461253"/>
    <w:rsid w:val="005042C2"/>
    <w:rsid w:val="00506C12"/>
    <w:rsid w:val="005369CA"/>
    <w:rsid w:val="005649C6"/>
    <w:rsid w:val="0056599A"/>
    <w:rsid w:val="00586E3B"/>
    <w:rsid w:val="00587690"/>
    <w:rsid w:val="006259AF"/>
    <w:rsid w:val="00630E00"/>
    <w:rsid w:val="00652A34"/>
    <w:rsid w:val="00671529"/>
    <w:rsid w:val="00690217"/>
    <w:rsid w:val="006A429A"/>
    <w:rsid w:val="006C090E"/>
    <w:rsid w:val="00714BE2"/>
    <w:rsid w:val="00717266"/>
    <w:rsid w:val="007268F9"/>
    <w:rsid w:val="007C033B"/>
    <w:rsid w:val="007C52B0"/>
    <w:rsid w:val="00897398"/>
    <w:rsid w:val="008C2F33"/>
    <w:rsid w:val="008F1A72"/>
    <w:rsid w:val="009411B4"/>
    <w:rsid w:val="0097694D"/>
    <w:rsid w:val="00995CA4"/>
    <w:rsid w:val="009D0139"/>
    <w:rsid w:val="009F5CDC"/>
    <w:rsid w:val="00A05B62"/>
    <w:rsid w:val="00A429CD"/>
    <w:rsid w:val="00A775CF"/>
    <w:rsid w:val="00A87E24"/>
    <w:rsid w:val="00A95901"/>
    <w:rsid w:val="00AA0654"/>
    <w:rsid w:val="00AB3C7E"/>
    <w:rsid w:val="00AD2FFA"/>
    <w:rsid w:val="00B06045"/>
    <w:rsid w:val="00B563FD"/>
    <w:rsid w:val="00BD7B11"/>
    <w:rsid w:val="00C04682"/>
    <w:rsid w:val="00C04BBE"/>
    <w:rsid w:val="00C35A27"/>
    <w:rsid w:val="00CA1076"/>
    <w:rsid w:val="00CA67BB"/>
    <w:rsid w:val="00D13896"/>
    <w:rsid w:val="00D26F88"/>
    <w:rsid w:val="00D40974"/>
    <w:rsid w:val="00DC549B"/>
    <w:rsid w:val="00E02C2B"/>
    <w:rsid w:val="00E177BC"/>
    <w:rsid w:val="00E21ED3"/>
    <w:rsid w:val="00E56796"/>
    <w:rsid w:val="00EA7FEE"/>
    <w:rsid w:val="00EB77A3"/>
    <w:rsid w:val="00ED6C48"/>
    <w:rsid w:val="00F46DCB"/>
    <w:rsid w:val="00F5221E"/>
    <w:rsid w:val="00F65F5D"/>
    <w:rsid w:val="00F86A3A"/>
    <w:rsid w:val="00F91964"/>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5C2946"/>
  <w15:docId w15:val="{B8E77730-6949-4474-84E2-AC85998A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1">
    <w:name w:val="Table Grid1"/>
    <w:basedOn w:val="TableNormal"/>
    <w:next w:val="TableGrid"/>
    <w:uiPriority w:val="39"/>
    <w:rsid w:val="0018703E"/>
    <w:pPr>
      <w:tabs>
        <w:tab w:val="left" w:pos="425"/>
        <w:tab w:val="left" w:pos="851"/>
        <w:tab w:val="left" w:pos="1276"/>
      </w:tabs>
      <w:spacing w:after="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2A9E-819D-49FD-A714-2EDBE501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ECE/TRANS/WP.15/AC.2/2020/13</vt:lpstr>
    </vt:vector>
  </TitlesOfParts>
  <Company>DCM</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ECE/TRANS/WP.15/AC.2/2020/13</dc:title>
  <dc:subject>1919512</dc:subject>
  <dc:creator>AVT</dc:creator>
  <cp:keywords/>
  <dc:description/>
  <cp:lastModifiedBy>Marie-Claude Collet</cp:lastModifiedBy>
  <cp:revision>3</cp:revision>
  <cp:lastPrinted>2019-12-02T13:57:00Z</cp:lastPrinted>
  <dcterms:created xsi:type="dcterms:W3CDTF">2019-12-02T13:57:00Z</dcterms:created>
  <dcterms:modified xsi:type="dcterms:W3CDTF">2019-12-02T13:57:00Z</dcterms:modified>
</cp:coreProperties>
</file>