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0FE9F6" w14:textId="77777777" w:rsidTr="00C97039">
        <w:trPr>
          <w:trHeight w:hRule="exact" w:val="851"/>
        </w:trPr>
        <w:tc>
          <w:tcPr>
            <w:tcW w:w="1276" w:type="dxa"/>
            <w:tcBorders>
              <w:bottom w:val="single" w:sz="4" w:space="0" w:color="auto"/>
            </w:tcBorders>
          </w:tcPr>
          <w:p w14:paraId="654BB9FA" w14:textId="77777777" w:rsidR="00F35BAF" w:rsidRPr="00DB58B5" w:rsidRDefault="00F35BAF" w:rsidP="008D5F43">
            <w:bookmarkStart w:id="0" w:name="_GoBack"/>
            <w:bookmarkEnd w:id="0"/>
          </w:p>
        </w:tc>
        <w:tc>
          <w:tcPr>
            <w:tcW w:w="2268" w:type="dxa"/>
            <w:tcBorders>
              <w:bottom w:val="single" w:sz="4" w:space="0" w:color="auto"/>
            </w:tcBorders>
            <w:vAlign w:val="bottom"/>
          </w:tcPr>
          <w:p w14:paraId="252A882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B551CC" w14:textId="77777777" w:rsidR="00F35BAF" w:rsidRPr="00DB58B5" w:rsidRDefault="008D5F43" w:rsidP="008D5F43">
            <w:pPr>
              <w:jc w:val="right"/>
            </w:pPr>
            <w:r w:rsidRPr="008D5F43">
              <w:rPr>
                <w:sz w:val="40"/>
              </w:rPr>
              <w:t>ECE</w:t>
            </w:r>
            <w:r>
              <w:t>/TRANS/WP.15/AC.2/2020/12</w:t>
            </w:r>
          </w:p>
        </w:tc>
      </w:tr>
      <w:tr w:rsidR="00F35BAF" w:rsidRPr="00DB58B5" w14:paraId="46BFCC31" w14:textId="77777777" w:rsidTr="00C97039">
        <w:trPr>
          <w:trHeight w:hRule="exact" w:val="2835"/>
        </w:trPr>
        <w:tc>
          <w:tcPr>
            <w:tcW w:w="1276" w:type="dxa"/>
            <w:tcBorders>
              <w:top w:val="single" w:sz="4" w:space="0" w:color="auto"/>
              <w:bottom w:val="single" w:sz="12" w:space="0" w:color="auto"/>
            </w:tcBorders>
          </w:tcPr>
          <w:p w14:paraId="4B8F36BE" w14:textId="77777777" w:rsidR="00F35BAF" w:rsidRPr="00DB58B5" w:rsidRDefault="00F35BAF" w:rsidP="00C97039">
            <w:pPr>
              <w:spacing w:before="120"/>
              <w:jc w:val="center"/>
            </w:pPr>
            <w:r>
              <w:rPr>
                <w:noProof/>
                <w:lang w:eastAsia="fr-CH"/>
              </w:rPr>
              <w:drawing>
                <wp:inline distT="0" distB="0" distL="0" distR="0" wp14:anchorId="0C1348E5" wp14:editId="5AE037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33EF9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7B4227" w14:textId="77777777" w:rsidR="00F35BAF" w:rsidRDefault="008D5F43" w:rsidP="00C97039">
            <w:pPr>
              <w:spacing w:before="240"/>
            </w:pPr>
            <w:r>
              <w:t xml:space="preserve">Distr. </w:t>
            </w:r>
            <w:proofErr w:type="gramStart"/>
            <w:r>
              <w:t>générale</w:t>
            </w:r>
            <w:proofErr w:type="gramEnd"/>
          </w:p>
          <w:p w14:paraId="5AA5CB40" w14:textId="77777777" w:rsidR="008D5F43" w:rsidRDefault="008D5F43" w:rsidP="008D5F43">
            <w:pPr>
              <w:spacing w:line="240" w:lineRule="exact"/>
            </w:pPr>
            <w:r>
              <w:t>12 novembre 2019</w:t>
            </w:r>
          </w:p>
          <w:p w14:paraId="25734479" w14:textId="77777777" w:rsidR="008D5F43" w:rsidRDefault="008D5F43" w:rsidP="008D5F43">
            <w:pPr>
              <w:spacing w:line="240" w:lineRule="exact"/>
            </w:pPr>
            <w:r>
              <w:t>Français</w:t>
            </w:r>
          </w:p>
          <w:p w14:paraId="521690DA" w14:textId="77777777" w:rsidR="008D5F43" w:rsidRPr="00DB58B5" w:rsidRDefault="008D5F43" w:rsidP="008D5F43">
            <w:pPr>
              <w:spacing w:line="240" w:lineRule="exact"/>
            </w:pPr>
            <w:r>
              <w:t>Original : anglais</w:t>
            </w:r>
          </w:p>
        </w:tc>
      </w:tr>
    </w:tbl>
    <w:p w14:paraId="47095B34" w14:textId="77777777" w:rsidR="007F20FA" w:rsidRPr="000312C0" w:rsidRDefault="007F20FA" w:rsidP="007F20FA">
      <w:pPr>
        <w:spacing w:before="120"/>
        <w:rPr>
          <w:b/>
          <w:sz w:val="28"/>
          <w:szCs w:val="28"/>
        </w:rPr>
      </w:pPr>
      <w:r w:rsidRPr="000312C0">
        <w:rPr>
          <w:b/>
          <w:sz w:val="28"/>
          <w:szCs w:val="28"/>
        </w:rPr>
        <w:t>Commission économique pour l</w:t>
      </w:r>
      <w:r w:rsidR="008D5F43">
        <w:rPr>
          <w:b/>
          <w:sz w:val="28"/>
          <w:szCs w:val="28"/>
        </w:rPr>
        <w:t>’</w:t>
      </w:r>
      <w:r w:rsidRPr="000312C0">
        <w:rPr>
          <w:b/>
          <w:sz w:val="28"/>
          <w:szCs w:val="28"/>
        </w:rPr>
        <w:t>Europe</w:t>
      </w:r>
    </w:p>
    <w:p w14:paraId="4CFCA6D7" w14:textId="77777777" w:rsidR="007F20FA" w:rsidRDefault="007F20FA" w:rsidP="007F20FA">
      <w:pPr>
        <w:spacing w:before="120"/>
        <w:rPr>
          <w:sz w:val="28"/>
          <w:szCs w:val="28"/>
        </w:rPr>
      </w:pPr>
      <w:r w:rsidRPr="00685843">
        <w:rPr>
          <w:sz w:val="28"/>
          <w:szCs w:val="28"/>
        </w:rPr>
        <w:t>Comité des transports intérieurs</w:t>
      </w:r>
    </w:p>
    <w:p w14:paraId="139974DA" w14:textId="77777777" w:rsidR="008D5F43" w:rsidRPr="009E01B8" w:rsidRDefault="008D5F43"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01249482" w14:textId="77777777" w:rsidR="008D5F43" w:rsidRPr="004812F5" w:rsidRDefault="008D5F43" w:rsidP="008D5F43">
      <w:pPr>
        <w:spacing w:before="120" w:after="120"/>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7361F360" w14:textId="77777777" w:rsidR="008D5F43" w:rsidRPr="008D5F43" w:rsidRDefault="008D5F43" w:rsidP="008D5F43">
      <w:pPr>
        <w:rPr>
          <w:b/>
          <w:lang w:val="fr-FR"/>
        </w:rPr>
      </w:pPr>
      <w:r w:rsidRPr="008D5F43">
        <w:rPr>
          <w:b/>
          <w:bCs/>
          <w:lang w:val="fr-FR"/>
        </w:rPr>
        <w:t>Trente-sixième session</w:t>
      </w:r>
    </w:p>
    <w:p w14:paraId="0FC293E7" w14:textId="77777777" w:rsidR="008D5F43" w:rsidRPr="008D5F43" w:rsidRDefault="008D5F43" w:rsidP="008D5F43">
      <w:pPr>
        <w:rPr>
          <w:lang w:val="fr-FR"/>
        </w:rPr>
      </w:pPr>
      <w:r w:rsidRPr="008D5F43">
        <w:rPr>
          <w:lang w:val="fr-FR"/>
        </w:rPr>
        <w:t>Genève, 27-31 janvier 2020</w:t>
      </w:r>
    </w:p>
    <w:p w14:paraId="36B0C4D5" w14:textId="77777777" w:rsidR="008D5F43" w:rsidRPr="008D5F43" w:rsidRDefault="008D5F43" w:rsidP="008D5F43">
      <w:pPr>
        <w:rPr>
          <w:lang w:val="fr-FR"/>
        </w:rPr>
      </w:pPr>
      <w:r w:rsidRPr="008D5F43">
        <w:rPr>
          <w:lang w:val="fr-FR"/>
        </w:rPr>
        <w:t>Point 5 b) de l</w:t>
      </w:r>
      <w:r>
        <w:rPr>
          <w:lang w:val="fr-FR"/>
        </w:rPr>
        <w:t>’</w:t>
      </w:r>
      <w:r w:rsidRPr="008D5F43">
        <w:rPr>
          <w:lang w:val="fr-FR"/>
        </w:rPr>
        <w:t>ordre du jour provisoire</w:t>
      </w:r>
    </w:p>
    <w:p w14:paraId="367BF6E5" w14:textId="77777777" w:rsidR="008D5F43" w:rsidRPr="008D5F43" w:rsidRDefault="008D5F43" w:rsidP="008D5F43">
      <w:pPr>
        <w:rPr>
          <w:b/>
          <w:bCs/>
          <w:lang w:val="fr-FR"/>
        </w:rPr>
      </w:pPr>
      <w:r w:rsidRPr="008D5F43">
        <w:rPr>
          <w:b/>
          <w:bCs/>
          <w:lang w:val="fr-FR"/>
        </w:rPr>
        <w:t>Propositions d</w:t>
      </w:r>
      <w:r>
        <w:rPr>
          <w:b/>
          <w:bCs/>
          <w:lang w:val="fr-FR"/>
        </w:rPr>
        <w:t>’</w:t>
      </w:r>
      <w:r w:rsidRPr="008D5F43">
        <w:rPr>
          <w:b/>
          <w:bCs/>
          <w:lang w:val="fr-FR"/>
        </w:rPr>
        <w:t>amendements au Règlement annexé à l</w:t>
      </w:r>
      <w:r>
        <w:rPr>
          <w:b/>
          <w:bCs/>
          <w:lang w:val="fr-FR"/>
        </w:rPr>
        <w:t>’</w:t>
      </w:r>
      <w:r w:rsidRPr="008D5F43">
        <w:rPr>
          <w:b/>
          <w:bCs/>
          <w:lang w:val="fr-FR"/>
        </w:rPr>
        <w:t>ADN :</w:t>
      </w:r>
    </w:p>
    <w:p w14:paraId="4CBB8F06" w14:textId="77777777" w:rsidR="008D5F43" w:rsidRDefault="008D5F43" w:rsidP="008D5F43">
      <w:r w:rsidRPr="008D5F43">
        <w:rPr>
          <w:b/>
          <w:bCs/>
          <w:lang w:val="fr-FR"/>
        </w:rPr>
        <w:t>Autres propositions</w:t>
      </w:r>
    </w:p>
    <w:p w14:paraId="526ABF3B" w14:textId="77777777" w:rsidR="008D5F43" w:rsidRPr="00603BA7" w:rsidRDefault="008D5F43" w:rsidP="008D5F43">
      <w:pPr>
        <w:pStyle w:val="HChG"/>
        <w:rPr>
          <w:lang w:val="fr-FR"/>
        </w:rPr>
      </w:pPr>
      <w:r>
        <w:rPr>
          <w:lang w:val="fr-FR"/>
        </w:rPr>
        <w:tab/>
      </w:r>
      <w:r>
        <w:rPr>
          <w:lang w:val="fr-FR"/>
        </w:rPr>
        <w:tab/>
        <w:t xml:space="preserve">Dispositions transitoires relatives aux systèmes </w:t>
      </w:r>
      <w:r>
        <w:rPr>
          <w:lang w:val="fr-FR"/>
        </w:rPr>
        <w:br/>
        <w:t xml:space="preserve">de </w:t>
      </w:r>
      <w:proofErr w:type="gramStart"/>
      <w:r>
        <w:rPr>
          <w:lang w:val="fr-FR"/>
        </w:rPr>
        <w:t>protection autonomes</w:t>
      </w:r>
      <w:proofErr w:type="gramEnd"/>
    </w:p>
    <w:p w14:paraId="64372368" w14:textId="77777777" w:rsidR="00F9573C" w:rsidRDefault="008D5F43" w:rsidP="008D5F43">
      <w:pPr>
        <w:pStyle w:val="H1G"/>
        <w:rPr>
          <w:b w:val="0"/>
          <w:sz w:val="20"/>
        </w:rPr>
      </w:pPr>
      <w:r>
        <w:rPr>
          <w:lang w:val="fr-FR"/>
        </w:rPr>
        <w:tab/>
      </w:r>
      <w:r>
        <w:rPr>
          <w:lang w:val="fr-FR"/>
        </w:rPr>
        <w:tab/>
      </w:r>
      <w:r w:rsidRPr="008D5F43">
        <w:rPr>
          <w:lang w:val="fr-FR"/>
        </w:rPr>
        <w:t>Communication du Gouvernement des Pays-Bas</w:t>
      </w:r>
      <w:r w:rsidRPr="008D5F43">
        <w:rPr>
          <w:b w:val="0"/>
          <w:sz w:val="20"/>
        </w:rPr>
        <w:footnoteReference w:customMarkFollows="1" w:id="2"/>
        <w:t>*</w:t>
      </w:r>
      <w:r w:rsidRPr="008D5F43">
        <w:rPr>
          <w:b w:val="0"/>
          <w:position w:val="6"/>
          <w:sz w:val="20"/>
        </w:rPr>
        <w:t>,</w:t>
      </w:r>
      <w:r>
        <w:rPr>
          <w:b w:val="0"/>
          <w:sz w:val="20"/>
        </w:rPr>
        <w:t xml:space="preserve"> </w:t>
      </w:r>
      <w:r w:rsidRPr="008D5F43">
        <w:rPr>
          <w:b w:val="0"/>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8D5F43" w14:paraId="30D4B3C0" w14:textId="77777777">
        <w:trPr>
          <w:jc w:val="center"/>
        </w:trPr>
        <w:tc>
          <w:tcPr>
            <w:tcW w:w="9637" w:type="dxa"/>
            <w:shd w:val="clear" w:color="auto" w:fill="auto"/>
          </w:tcPr>
          <w:p w14:paraId="325638FB" w14:textId="77777777" w:rsidR="008D5F43" w:rsidRDefault="008D5F43">
            <w:pPr>
              <w:spacing w:before="240" w:after="120"/>
              <w:ind w:left="255"/>
              <w:rPr>
                <w:i/>
                <w:sz w:val="24"/>
              </w:rPr>
            </w:pPr>
            <w:r>
              <w:rPr>
                <w:i/>
                <w:sz w:val="24"/>
              </w:rPr>
              <w:t>Résumé</w:t>
            </w:r>
          </w:p>
        </w:tc>
      </w:tr>
      <w:tr w:rsidR="008D5F43" w14:paraId="111DF663" w14:textId="77777777">
        <w:trPr>
          <w:jc w:val="center"/>
        </w:trPr>
        <w:tc>
          <w:tcPr>
            <w:tcW w:w="9637" w:type="dxa"/>
            <w:shd w:val="clear" w:color="auto" w:fill="auto"/>
          </w:tcPr>
          <w:p w14:paraId="6B0099ED" w14:textId="77777777" w:rsidR="008D5F43" w:rsidRDefault="008D5F43" w:rsidP="008D5F43">
            <w:pPr>
              <w:pStyle w:val="SingleTxtG"/>
              <w:ind w:left="3402" w:hanging="2268"/>
            </w:pPr>
            <w:r>
              <w:rPr>
                <w:b/>
                <w:bCs/>
                <w:lang w:val="fr-FR"/>
              </w:rPr>
              <w:t>Résumé analytique </w:t>
            </w:r>
            <w:r w:rsidRPr="008D5F43">
              <w:t>:</w:t>
            </w:r>
            <w:r>
              <w:rPr>
                <w:b/>
                <w:bCs/>
                <w:lang w:val="fr-FR"/>
              </w:rPr>
              <w:tab/>
            </w:r>
            <w:r>
              <w:rPr>
                <w:lang w:val="fr-FR"/>
              </w:rPr>
              <w:t>Le document contient une série d’amendements visant à résoudre la contradiction entre l’accord multilatéral M 018 et les dispositions transitoires actuelles relatives aux systèmes de protection autonomes figurant dans le Règlement annexé à l’ADN. Il est proposé de modifier les dispositions transitoires et d’abroger ensuite l’accord multilatéral M 018.</w:t>
            </w:r>
          </w:p>
        </w:tc>
      </w:tr>
      <w:tr w:rsidR="008D5F43" w14:paraId="246D6228" w14:textId="77777777">
        <w:trPr>
          <w:jc w:val="center"/>
        </w:trPr>
        <w:tc>
          <w:tcPr>
            <w:tcW w:w="9637" w:type="dxa"/>
            <w:shd w:val="clear" w:color="auto" w:fill="auto"/>
          </w:tcPr>
          <w:p w14:paraId="4581ECFC" w14:textId="77777777" w:rsidR="008D5F43" w:rsidRDefault="008D5F43" w:rsidP="008D5F43">
            <w:pPr>
              <w:pStyle w:val="SingleTxtG"/>
              <w:ind w:left="3402" w:hanging="2268"/>
              <w:rPr>
                <w:b/>
                <w:bCs/>
                <w:lang w:val="fr-FR"/>
              </w:rPr>
            </w:pPr>
            <w:r w:rsidRPr="008D5F43">
              <w:rPr>
                <w:b/>
                <w:bCs/>
                <w:lang w:val="fr-FR"/>
              </w:rPr>
              <w:t>Mesure à prendre</w:t>
            </w:r>
            <w:r>
              <w:rPr>
                <w:b/>
                <w:bCs/>
                <w:lang w:val="fr-FR"/>
              </w:rPr>
              <w:t> :</w:t>
            </w:r>
            <w:r>
              <w:rPr>
                <w:b/>
                <w:bCs/>
                <w:lang w:val="fr-FR"/>
              </w:rPr>
              <w:tab/>
            </w:r>
            <w:r>
              <w:rPr>
                <w:lang w:val="fr-FR"/>
              </w:rPr>
              <w:t>Le Comité de sécurité est invité à examiner et à adopter les amendements proposés au paragraphe 6.</w:t>
            </w:r>
          </w:p>
        </w:tc>
      </w:tr>
      <w:tr w:rsidR="008D5F43" w14:paraId="30B937D0" w14:textId="77777777">
        <w:trPr>
          <w:jc w:val="center"/>
        </w:trPr>
        <w:tc>
          <w:tcPr>
            <w:tcW w:w="9637" w:type="dxa"/>
            <w:shd w:val="clear" w:color="auto" w:fill="auto"/>
          </w:tcPr>
          <w:p w14:paraId="135B4D82" w14:textId="77777777" w:rsidR="008D5F43" w:rsidRDefault="008D5F43" w:rsidP="008D5F43">
            <w:pPr>
              <w:pStyle w:val="SingleTxtG"/>
              <w:ind w:left="3402" w:hanging="2268"/>
              <w:jc w:val="left"/>
              <w:rPr>
                <w:b/>
                <w:bCs/>
                <w:lang w:val="fr-FR"/>
              </w:rPr>
            </w:pPr>
            <w:r>
              <w:rPr>
                <w:b/>
                <w:bCs/>
                <w:lang w:val="fr-FR"/>
              </w:rPr>
              <w:t>Documents connexes :</w:t>
            </w:r>
            <w:r>
              <w:rPr>
                <w:b/>
                <w:bCs/>
                <w:lang w:val="fr-FR"/>
              </w:rPr>
              <w:tab/>
            </w:r>
            <w:r>
              <w:rPr>
                <w:lang w:val="fr-FR"/>
              </w:rPr>
              <w:t xml:space="preserve">Document informel INF.4 de la trente-quatrième session ; </w:t>
            </w:r>
            <w:r>
              <w:rPr>
                <w:lang w:val="fr-FR"/>
              </w:rPr>
              <w:tab/>
              <w:t>ECE/TRANS/WP.15/AC.2/70 (par. 29) ;</w:t>
            </w:r>
            <w:r>
              <w:rPr>
                <w:lang w:val="fr-FR"/>
              </w:rPr>
              <w:br/>
            </w:r>
            <w:r>
              <w:rPr>
                <w:lang w:val="fr-FR"/>
              </w:rPr>
              <w:tab/>
              <w:t>Document informel INF.24 de la trente-cinquième session ;</w:t>
            </w:r>
            <w:r>
              <w:rPr>
                <w:lang w:val="fr-FR"/>
              </w:rPr>
              <w:tab/>
              <w:t>ECE/TRANS/WP.15/AC.2/72 (par. 37)</w:t>
            </w:r>
          </w:p>
        </w:tc>
      </w:tr>
      <w:tr w:rsidR="008D5F43" w14:paraId="09F38BB3" w14:textId="77777777">
        <w:trPr>
          <w:jc w:val="center"/>
        </w:trPr>
        <w:tc>
          <w:tcPr>
            <w:tcW w:w="9637" w:type="dxa"/>
            <w:shd w:val="clear" w:color="auto" w:fill="auto"/>
          </w:tcPr>
          <w:p w14:paraId="4C9EFA42" w14:textId="77777777" w:rsidR="008D5F43" w:rsidRDefault="008D5F43"/>
        </w:tc>
      </w:tr>
    </w:tbl>
    <w:p w14:paraId="5F42FDB5" w14:textId="77777777" w:rsidR="008D5F43" w:rsidRDefault="008D5F43" w:rsidP="008D5F43">
      <w:r>
        <w:br/>
      </w:r>
    </w:p>
    <w:p w14:paraId="280C04FD" w14:textId="77777777" w:rsidR="008D5F43" w:rsidRPr="008D5F43" w:rsidRDefault="008D5F43" w:rsidP="008D5F43">
      <w:pPr>
        <w:pStyle w:val="HChG"/>
      </w:pPr>
      <w:r>
        <w:br w:type="page"/>
      </w:r>
      <w:r>
        <w:lastRenderedPageBreak/>
        <w:tab/>
      </w:r>
      <w:r>
        <w:tab/>
      </w:r>
      <w:r w:rsidRPr="008D5F43">
        <w:rPr>
          <w:lang w:val="fr-FR"/>
        </w:rPr>
        <w:t>Introduction</w:t>
      </w:r>
    </w:p>
    <w:p w14:paraId="70281787" w14:textId="77777777" w:rsidR="008D5F43" w:rsidRPr="008D5F43" w:rsidRDefault="008D5F43" w:rsidP="008D5F43">
      <w:pPr>
        <w:pStyle w:val="SingleTxtG"/>
        <w:rPr>
          <w:lang w:val="fr-FR"/>
        </w:rPr>
      </w:pPr>
      <w:r w:rsidRPr="008D5F43">
        <w:rPr>
          <w:lang w:val="fr-FR"/>
        </w:rPr>
        <w:t>1.</w:t>
      </w:r>
      <w:r w:rsidRPr="008D5F43">
        <w:rPr>
          <w:lang w:val="fr-FR"/>
        </w:rPr>
        <w:tab/>
        <w:t>Dans l</w:t>
      </w:r>
      <w:r>
        <w:rPr>
          <w:lang w:val="fr-FR"/>
        </w:rPr>
        <w:t>’</w:t>
      </w:r>
      <w:r w:rsidRPr="008D5F43">
        <w:rPr>
          <w:lang w:val="fr-FR"/>
        </w:rPr>
        <w:t>ADN 2019, les Parties contractantes ont adopté une nouvelle réglementation sur la protection contre les explosions. Celle-ci contenait également de nouvelles dispositions transitoires pour les bateaux-citernes (1.6.7.2.2.2 de l</w:t>
      </w:r>
      <w:r>
        <w:rPr>
          <w:lang w:val="fr-FR"/>
        </w:rPr>
        <w:t>’</w:t>
      </w:r>
      <w:r w:rsidRPr="008D5F43">
        <w:rPr>
          <w:lang w:val="fr-FR"/>
        </w:rPr>
        <w:t>ADN), dont certaines ont trait au groupe/sous-groupe d</w:t>
      </w:r>
      <w:r>
        <w:rPr>
          <w:lang w:val="fr-FR"/>
        </w:rPr>
        <w:t>’</w:t>
      </w:r>
      <w:r w:rsidRPr="008D5F43">
        <w:rPr>
          <w:lang w:val="fr-FR"/>
        </w:rPr>
        <w:t>explosion des systèmes de protection autonomes (9.3.2.20.4, 9.3.3.20.4, 9.3.2.21.1 g), 9.3.3.21.1 g), 9.3.2.22.4 e), 9.3.3.22.4 d), 9.3.2.26.2 et 9.3.3.26.2 b). Sur les bateaux existants, ces sous-groupes devront être appliqués après le 31 décembre 2024, au moment du renouvellement du certificat d</w:t>
      </w:r>
      <w:r>
        <w:rPr>
          <w:lang w:val="fr-FR"/>
        </w:rPr>
        <w:t>’</w:t>
      </w:r>
      <w:r w:rsidRPr="008D5F43">
        <w:rPr>
          <w:lang w:val="fr-FR"/>
        </w:rPr>
        <w:t>agrément.</w:t>
      </w:r>
    </w:p>
    <w:p w14:paraId="4D1B8A08" w14:textId="77777777" w:rsidR="008D5F43" w:rsidRPr="008D5F43" w:rsidRDefault="008D5F43" w:rsidP="008D5F43">
      <w:pPr>
        <w:pStyle w:val="SingleTxtG"/>
        <w:rPr>
          <w:lang w:val="fr-FR"/>
        </w:rPr>
      </w:pPr>
      <w:r w:rsidRPr="008D5F43">
        <w:rPr>
          <w:lang w:val="fr-FR"/>
        </w:rPr>
        <w:t>2.</w:t>
      </w:r>
      <w:r w:rsidRPr="008D5F43">
        <w:rPr>
          <w:lang w:val="fr-FR"/>
        </w:rPr>
        <w:tab/>
        <w:t>Lors de l</w:t>
      </w:r>
      <w:r>
        <w:rPr>
          <w:lang w:val="fr-FR"/>
        </w:rPr>
        <w:t>’</w:t>
      </w:r>
      <w:r w:rsidRPr="008D5F43">
        <w:rPr>
          <w:lang w:val="fr-FR"/>
        </w:rPr>
        <w:t>élaboration de cette nouvelle réglementation sur la protection contre les explosions, huit Parties contractantes ont élaboré et signé en 2016 un accord multilatéral sur la subdivision du groupe d</w:t>
      </w:r>
      <w:r>
        <w:rPr>
          <w:lang w:val="fr-FR"/>
        </w:rPr>
        <w:t>’</w:t>
      </w:r>
      <w:r w:rsidRPr="008D5F43">
        <w:rPr>
          <w:lang w:val="fr-FR"/>
        </w:rPr>
        <w:t>explosion II B, à savoir l</w:t>
      </w:r>
      <w:r>
        <w:rPr>
          <w:lang w:val="fr-FR"/>
        </w:rPr>
        <w:t>’</w:t>
      </w:r>
      <w:r w:rsidRPr="008D5F43">
        <w:rPr>
          <w:lang w:val="fr-FR"/>
        </w:rPr>
        <w:t>accord multilatéral M 018. Cet accord exigeait que les armateurs appliquent la nouvelle subdivision des groupes d</w:t>
      </w:r>
      <w:r>
        <w:rPr>
          <w:lang w:val="fr-FR"/>
        </w:rPr>
        <w:t>’</w:t>
      </w:r>
      <w:r w:rsidRPr="008D5F43">
        <w:rPr>
          <w:lang w:val="fr-FR"/>
        </w:rPr>
        <w:t>explosion lorsqu</w:t>
      </w:r>
      <w:r>
        <w:rPr>
          <w:lang w:val="fr-FR"/>
        </w:rPr>
        <w:t>’</w:t>
      </w:r>
      <w:r w:rsidRPr="008D5F43">
        <w:rPr>
          <w:lang w:val="fr-FR"/>
        </w:rPr>
        <w:t>ils renouvelleraient leur certificat d</w:t>
      </w:r>
      <w:r>
        <w:rPr>
          <w:lang w:val="fr-FR"/>
        </w:rPr>
        <w:t>’</w:t>
      </w:r>
      <w:r w:rsidRPr="008D5F43">
        <w:rPr>
          <w:lang w:val="fr-FR"/>
        </w:rPr>
        <w:t>agrément après le 31 décembre 2018.</w:t>
      </w:r>
    </w:p>
    <w:p w14:paraId="348B35A4" w14:textId="77777777" w:rsidR="008D5F43" w:rsidRPr="008D5F43" w:rsidRDefault="008D5F43" w:rsidP="008D5F43">
      <w:pPr>
        <w:pStyle w:val="SingleTxtG"/>
        <w:rPr>
          <w:lang w:val="fr-FR"/>
        </w:rPr>
      </w:pPr>
      <w:r w:rsidRPr="008D5F43">
        <w:rPr>
          <w:lang w:val="fr-FR"/>
        </w:rPr>
        <w:t>3.</w:t>
      </w:r>
      <w:r w:rsidRPr="008D5F43">
        <w:rPr>
          <w:lang w:val="fr-FR"/>
        </w:rPr>
        <w:tab/>
        <w:t>Cette contradiction entre l</w:t>
      </w:r>
      <w:r>
        <w:rPr>
          <w:lang w:val="fr-FR"/>
        </w:rPr>
        <w:t>’</w:t>
      </w:r>
      <w:r w:rsidRPr="008D5F43">
        <w:rPr>
          <w:lang w:val="fr-FR"/>
        </w:rPr>
        <w:t xml:space="preserve">accord multilatéral M 018 et les dispositions transitoires adoptées a été constatée et examinée aux trente-quatrième et </w:t>
      </w:r>
      <w:proofErr w:type="gramStart"/>
      <w:r w:rsidRPr="008D5F43">
        <w:rPr>
          <w:lang w:val="fr-FR"/>
        </w:rPr>
        <w:t>trente-cinquième sessions</w:t>
      </w:r>
      <w:proofErr w:type="gramEnd"/>
      <w:r w:rsidRPr="008D5F43">
        <w:rPr>
          <w:lang w:val="fr-FR"/>
        </w:rPr>
        <w:t xml:space="preserve"> du Comité de sécurité de l</w:t>
      </w:r>
      <w:r>
        <w:rPr>
          <w:lang w:val="fr-FR"/>
        </w:rPr>
        <w:t>’</w:t>
      </w:r>
      <w:r w:rsidRPr="008D5F43">
        <w:rPr>
          <w:lang w:val="fr-FR"/>
        </w:rPr>
        <w:t>ADN. On a fait observer que les sociétés de classification reconnues avaient indiqué qu</w:t>
      </w:r>
      <w:r>
        <w:rPr>
          <w:lang w:val="fr-FR"/>
        </w:rPr>
        <w:t>’</w:t>
      </w:r>
      <w:r w:rsidRPr="008D5F43">
        <w:rPr>
          <w:lang w:val="fr-FR"/>
        </w:rPr>
        <w:t>elles appliquaient actuellement toutes l</w:t>
      </w:r>
      <w:r>
        <w:rPr>
          <w:lang w:val="fr-FR"/>
        </w:rPr>
        <w:t>’</w:t>
      </w:r>
      <w:r w:rsidRPr="008D5F43">
        <w:rPr>
          <w:lang w:val="fr-FR"/>
        </w:rPr>
        <w:t>accord multilatéral M 018 lors du renouvellement du certificat d</w:t>
      </w:r>
      <w:r>
        <w:rPr>
          <w:lang w:val="fr-FR"/>
        </w:rPr>
        <w:t>’</w:t>
      </w:r>
      <w:r w:rsidRPr="008D5F43">
        <w:rPr>
          <w:lang w:val="fr-FR"/>
        </w:rPr>
        <w:t>agrément. Sur la base de ces informations, la délégation néerlandaise s</w:t>
      </w:r>
      <w:r>
        <w:rPr>
          <w:lang w:val="fr-FR"/>
        </w:rPr>
        <w:t>’</w:t>
      </w:r>
      <w:r w:rsidRPr="008D5F43">
        <w:rPr>
          <w:lang w:val="fr-FR"/>
        </w:rPr>
        <w:t>est portée volontaire pour proposer une solution permettant de résoudre la contradiction entre l</w:t>
      </w:r>
      <w:r>
        <w:rPr>
          <w:lang w:val="fr-FR"/>
        </w:rPr>
        <w:t>’</w:t>
      </w:r>
      <w:r w:rsidRPr="008D5F43">
        <w:rPr>
          <w:lang w:val="fr-FR"/>
        </w:rPr>
        <w:t>accord multilatéral M 018 et les dispositions transitoires, que l</w:t>
      </w:r>
      <w:r>
        <w:rPr>
          <w:lang w:val="fr-FR"/>
        </w:rPr>
        <w:t>’</w:t>
      </w:r>
      <w:r w:rsidRPr="008D5F43">
        <w:rPr>
          <w:lang w:val="fr-FR"/>
        </w:rPr>
        <w:t>on trouvera ci-dessous.</w:t>
      </w:r>
    </w:p>
    <w:p w14:paraId="5B959B29" w14:textId="77777777" w:rsidR="008D5F43" w:rsidRPr="008D5F43" w:rsidRDefault="008D5F43" w:rsidP="008D5F43">
      <w:pPr>
        <w:pStyle w:val="HChG"/>
        <w:rPr>
          <w:lang w:val="fr-FR"/>
        </w:rPr>
      </w:pPr>
      <w:r w:rsidRPr="008D5F43">
        <w:rPr>
          <w:lang w:val="fr-FR"/>
        </w:rPr>
        <w:tab/>
        <w:t>I.</w:t>
      </w:r>
      <w:r w:rsidRPr="008D5F43">
        <w:rPr>
          <w:lang w:val="fr-FR"/>
        </w:rPr>
        <w:tab/>
        <w:t>Amendements à débattre</w:t>
      </w:r>
    </w:p>
    <w:p w14:paraId="156E51C8" w14:textId="77777777" w:rsidR="008D5F43" w:rsidRPr="008D5F43" w:rsidRDefault="008D5F43" w:rsidP="008D5F43">
      <w:pPr>
        <w:pStyle w:val="SingleTxtG"/>
        <w:rPr>
          <w:lang w:val="fr-FR"/>
        </w:rPr>
      </w:pPr>
      <w:r w:rsidRPr="008D5F43">
        <w:rPr>
          <w:lang w:val="fr-FR"/>
        </w:rPr>
        <w:t>4.</w:t>
      </w:r>
      <w:r w:rsidRPr="008D5F43">
        <w:rPr>
          <w:lang w:val="fr-FR"/>
        </w:rPr>
        <w:tab/>
        <w:t>Bien que l</w:t>
      </w:r>
      <w:r>
        <w:rPr>
          <w:lang w:val="fr-FR"/>
        </w:rPr>
        <w:t>’</w:t>
      </w:r>
      <w:r w:rsidRPr="008D5F43">
        <w:rPr>
          <w:lang w:val="fr-FR"/>
        </w:rPr>
        <w:t>idée initiale du Comité de sécurité de l</w:t>
      </w:r>
      <w:r>
        <w:rPr>
          <w:lang w:val="fr-FR"/>
        </w:rPr>
        <w:t>’</w:t>
      </w:r>
      <w:r w:rsidRPr="008D5F43">
        <w:rPr>
          <w:lang w:val="fr-FR"/>
        </w:rPr>
        <w:t>ADN ait été de proroger l</w:t>
      </w:r>
      <w:r>
        <w:rPr>
          <w:lang w:val="fr-FR"/>
        </w:rPr>
        <w:t>’</w:t>
      </w:r>
      <w:r w:rsidRPr="008D5F43">
        <w:rPr>
          <w:lang w:val="fr-FR"/>
        </w:rPr>
        <w:t>accord multilatéral M 018 et de supprimer les dispositions transitoires correspondantes, la délégation néerlandaise a jugé plus approprié de modifier les dispositions transitoires et de révoquer l</w:t>
      </w:r>
      <w:r>
        <w:rPr>
          <w:lang w:val="fr-FR"/>
        </w:rPr>
        <w:t>’</w:t>
      </w:r>
      <w:r w:rsidRPr="008D5F43">
        <w:rPr>
          <w:lang w:val="fr-FR"/>
        </w:rPr>
        <w:t>accord multilatéral M 018, puisque les dispositions transitoires font partie intégrante du Règlement annexé à l</w:t>
      </w:r>
      <w:r>
        <w:rPr>
          <w:lang w:val="fr-FR"/>
        </w:rPr>
        <w:t>’</w:t>
      </w:r>
      <w:r w:rsidRPr="008D5F43">
        <w:rPr>
          <w:lang w:val="fr-FR"/>
        </w:rPr>
        <w:t>ADN, contrairement aux accords multilatéraux.</w:t>
      </w:r>
    </w:p>
    <w:p w14:paraId="44442FFC" w14:textId="77777777" w:rsidR="008D5F43" w:rsidRPr="008D5F43" w:rsidRDefault="008D5F43" w:rsidP="008D5F43">
      <w:pPr>
        <w:pStyle w:val="SingleTxtG"/>
        <w:rPr>
          <w:lang w:val="fr-FR"/>
        </w:rPr>
      </w:pPr>
      <w:r w:rsidRPr="008D5F43">
        <w:rPr>
          <w:lang w:val="fr-FR"/>
        </w:rPr>
        <w:t>5.</w:t>
      </w:r>
      <w:r w:rsidRPr="008D5F43">
        <w:rPr>
          <w:lang w:val="fr-FR"/>
        </w:rPr>
        <w:tab/>
        <w:t>Lors de l</w:t>
      </w:r>
      <w:r>
        <w:rPr>
          <w:lang w:val="fr-FR"/>
        </w:rPr>
        <w:t>’</w:t>
      </w:r>
      <w:r w:rsidRPr="008D5F43">
        <w:rPr>
          <w:lang w:val="fr-FR"/>
        </w:rPr>
        <w:t>examen des amendements, il est apparu clairement que, bien que l</w:t>
      </w:r>
      <w:r>
        <w:rPr>
          <w:lang w:val="fr-FR"/>
        </w:rPr>
        <w:t>’</w:t>
      </w:r>
      <w:r w:rsidRPr="008D5F43">
        <w:rPr>
          <w:lang w:val="fr-FR"/>
        </w:rPr>
        <w:t>accord multilatéral M 018 ne se réfère qu</w:t>
      </w:r>
      <w:r>
        <w:rPr>
          <w:lang w:val="fr-FR"/>
        </w:rPr>
        <w:t>’</w:t>
      </w:r>
      <w:r w:rsidRPr="008D5F43">
        <w:rPr>
          <w:lang w:val="fr-FR"/>
        </w:rPr>
        <w:t>aux coupe-flammes, la subdivision du groupe d</w:t>
      </w:r>
      <w:r>
        <w:rPr>
          <w:lang w:val="fr-FR"/>
        </w:rPr>
        <w:t>’</w:t>
      </w:r>
      <w:r w:rsidRPr="008D5F43">
        <w:rPr>
          <w:lang w:val="fr-FR"/>
        </w:rPr>
        <w:t>explosion s</w:t>
      </w:r>
      <w:r>
        <w:rPr>
          <w:lang w:val="fr-FR"/>
        </w:rPr>
        <w:t>’</w:t>
      </w:r>
      <w:r w:rsidRPr="008D5F43">
        <w:rPr>
          <w:lang w:val="fr-FR"/>
        </w:rPr>
        <w:t>appliquait à tous les systèmes de protection autonomes. Selon la délégation néerlandaise, il n</w:t>
      </w:r>
      <w:r>
        <w:rPr>
          <w:lang w:val="fr-FR"/>
        </w:rPr>
        <w:t>’</w:t>
      </w:r>
      <w:r w:rsidRPr="008D5F43">
        <w:rPr>
          <w:lang w:val="fr-FR"/>
        </w:rPr>
        <w:t>est pas souhaitable, du point de vue de la sécurité, d</w:t>
      </w:r>
      <w:r>
        <w:rPr>
          <w:lang w:val="fr-FR"/>
        </w:rPr>
        <w:t>’</w:t>
      </w:r>
      <w:r w:rsidRPr="008D5F43">
        <w:rPr>
          <w:lang w:val="fr-FR"/>
        </w:rPr>
        <w:t>introduire séparément des sous-groupes pour les différents systèmes de protection autonomes. L</w:t>
      </w:r>
      <w:proofErr w:type="gramStart"/>
      <w:r>
        <w:rPr>
          <w:lang w:val="fr-FR"/>
        </w:rPr>
        <w:t>’</w:t>
      </w:r>
      <w:r w:rsidRPr="008D5F43">
        <w:rPr>
          <w:lang w:val="fr-FR"/>
        </w:rPr>
        <w:t>«</w:t>
      </w:r>
      <w:proofErr w:type="gramEnd"/>
      <w:r w:rsidRPr="008D5F43">
        <w:rPr>
          <w:lang w:val="fr-FR"/>
        </w:rPr>
        <w:t> intégration » de l</w:t>
      </w:r>
      <w:r>
        <w:rPr>
          <w:lang w:val="fr-FR"/>
        </w:rPr>
        <w:t>’</w:t>
      </w:r>
      <w:r w:rsidRPr="008D5F43">
        <w:rPr>
          <w:lang w:val="fr-FR"/>
        </w:rPr>
        <w:t>accord multilatéral M 018 dans les dispositions transitoires du Règlement annexé à l</w:t>
      </w:r>
      <w:r>
        <w:rPr>
          <w:lang w:val="fr-FR"/>
        </w:rPr>
        <w:t>’</w:t>
      </w:r>
      <w:r w:rsidRPr="008D5F43">
        <w:rPr>
          <w:lang w:val="fr-FR"/>
        </w:rPr>
        <w:t>ADN nécessite donc de modifier toutes les dispositions transitoires concernant le groupe/sous-groupe des systèmes de protection autonomes.</w:t>
      </w:r>
    </w:p>
    <w:p w14:paraId="06F1B795" w14:textId="77777777" w:rsidR="008D5F43" w:rsidRPr="008D5F43" w:rsidRDefault="008D5F43" w:rsidP="008D5F43">
      <w:pPr>
        <w:pStyle w:val="SingleTxtG"/>
        <w:rPr>
          <w:lang w:val="fr-FR"/>
        </w:rPr>
      </w:pPr>
      <w:r w:rsidRPr="008D5F43">
        <w:rPr>
          <w:lang w:val="fr-FR"/>
        </w:rPr>
        <w:t>6.</w:t>
      </w:r>
      <w:r w:rsidRPr="008D5F43">
        <w:rPr>
          <w:lang w:val="fr-FR"/>
        </w:rPr>
        <w:tab/>
        <w:t>Cette approche conduit à apporter les amendements suivants au 1.6.7.2.2.2 de l</w:t>
      </w:r>
      <w:r>
        <w:rPr>
          <w:lang w:val="fr-FR"/>
        </w:rPr>
        <w:t>’</w:t>
      </w:r>
      <w:r w:rsidRPr="008D5F43">
        <w:rPr>
          <w:lang w:val="fr-FR"/>
        </w:rPr>
        <w:t>ADN :</w:t>
      </w:r>
    </w:p>
    <w:p w14:paraId="021C8B3A" w14:textId="77777777" w:rsidR="008D5F43" w:rsidRPr="008D5F43" w:rsidRDefault="008D5F43" w:rsidP="008D5F43">
      <w:pPr>
        <w:pStyle w:val="SingleTxtG"/>
        <w:rPr>
          <w:b/>
          <w:u w:val="single"/>
          <w:lang w:val="fr-FR"/>
        </w:rPr>
      </w:pPr>
      <w:r w:rsidRPr="008D5F43">
        <w:rPr>
          <w:strike/>
          <w:lang w:val="fr-FR"/>
        </w:rPr>
        <w:t>Les suppressions figurent en caractères biffés,</w:t>
      </w:r>
      <w:r w:rsidRPr="008D5F43">
        <w:rPr>
          <w:lang w:val="fr-FR"/>
        </w:rPr>
        <w:t xml:space="preserve"> </w:t>
      </w:r>
      <w:r w:rsidRPr="008D5F43">
        <w:rPr>
          <w:b/>
          <w:bCs/>
          <w:u w:val="single"/>
          <w:lang w:val="fr-FR"/>
        </w:rPr>
        <w:t>les ajouts en caractères gras soulignés.</w:t>
      </w:r>
    </w:p>
    <w:p w14:paraId="1C15D71C" w14:textId="77777777" w:rsidR="008D5F43" w:rsidRPr="008D5F43" w:rsidRDefault="008D5F43" w:rsidP="008D5F43">
      <w:pPr>
        <w:pStyle w:val="SingleTxtG"/>
        <w:rPr>
          <w:lang w:val="fr-FR"/>
        </w:rPr>
      </w:pPr>
      <w:r w:rsidRPr="008D5F43">
        <w:rPr>
          <w:lang w:val="fr-FR"/>
        </w:rPr>
        <w:t xml:space="preserve">« 1.6.7.2.2.2 </w:t>
      </w:r>
      <w:r w:rsidRPr="008D5F43">
        <w:rPr>
          <w:lang w:val="fr-FR"/>
        </w:rPr>
        <w:tab/>
        <w:t xml:space="preserve">Tableau des dispositions transitoires générales </w:t>
      </w:r>
      <w:r>
        <w:rPr>
          <w:lang w:val="fr-FR"/>
        </w:rPr>
        <w:t>− </w:t>
      </w:r>
      <w:r w:rsidRPr="008D5F43">
        <w:rPr>
          <w:lang w:val="fr-FR"/>
        </w:rPr>
        <w:t>Bateaux-citernes</w:t>
      </w:r>
    </w:p>
    <w:tbl>
      <w:tblPr>
        <w:tblStyle w:val="TableGrid"/>
        <w:tblW w:w="7370" w:type="dxa"/>
        <w:tblInd w:w="1134" w:type="dxa"/>
        <w:tblLayout w:type="fixed"/>
        <w:tblLook w:val="04A0" w:firstRow="1" w:lastRow="0" w:firstColumn="1" w:lastColumn="0" w:noHBand="0" w:noVBand="1"/>
      </w:tblPr>
      <w:tblGrid>
        <w:gridCol w:w="1388"/>
        <w:gridCol w:w="2643"/>
        <w:gridCol w:w="3339"/>
      </w:tblGrid>
      <w:tr w:rsidR="008D5F43" w:rsidRPr="008D5F43" w14:paraId="2665BD2D" w14:textId="77777777" w:rsidTr="00EB27EA">
        <w:tc>
          <w:tcPr>
            <w:tcW w:w="1388" w:type="dxa"/>
            <w:shd w:val="clear" w:color="auto" w:fill="auto"/>
          </w:tcPr>
          <w:p w14:paraId="0CEA1901" w14:textId="77777777" w:rsidR="008D5F43" w:rsidRPr="008D5F43" w:rsidRDefault="008D5F43" w:rsidP="008D5F43">
            <w:pPr>
              <w:pStyle w:val="SingleTxtG"/>
              <w:spacing w:before="80" w:after="80"/>
              <w:ind w:left="57" w:right="57"/>
              <w:rPr>
                <w:i/>
                <w:iCs/>
                <w:sz w:val="16"/>
                <w:szCs w:val="16"/>
              </w:rPr>
            </w:pPr>
            <w:r w:rsidRPr="008D5F43">
              <w:rPr>
                <w:i/>
                <w:iCs/>
                <w:sz w:val="16"/>
                <w:szCs w:val="16"/>
                <w:lang w:val="fr-FR"/>
              </w:rPr>
              <w:t>Paragraphes</w:t>
            </w:r>
          </w:p>
        </w:tc>
        <w:tc>
          <w:tcPr>
            <w:tcW w:w="2643" w:type="dxa"/>
            <w:shd w:val="clear" w:color="auto" w:fill="auto"/>
          </w:tcPr>
          <w:p w14:paraId="0BCDFEF4" w14:textId="77777777" w:rsidR="008D5F43" w:rsidRPr="008D5F43" w:rsidRDefault="008D5F43" w:rsidP="008D5F43">
            <w:pPr>
              <w:pStyle w:val="SingleTxtG"/>
              <w:spacing w:before="80" w:after="80"/>
              <w:ind w:left="57" w:right="57"/>
              <w:rPr>
                <w:i/>
                <w:iCs/>
                <w:sz w:val="16"/>
                <w:szCs w:val="16"/>
              </w:rPr>
            </w:pPr>
            <w:r w:rsidRPr="008D5F43">
              <w:rPr>
                <w:i/>
                <w:iCs/>
                <w:sz w:val="16"/>
                <w:szCs w:val="16"/>
                <w:lang w:val="fr-FR"/>
              </w:rPr>
              <w:t>Objet</w:t>
            </w:r>
          </w:p>
        </w:tc>
        <w:tc>
          <w:tcPr>
            <w:tcW w:w="3339" w:type="dxa"/>
            <w:shd w:val="clear" w:color="auto" w:fill="auto"/>
          </w:tcPr>
          <w:p w14:paraId="78BA83F8" w14:textId="77777777" w:rsidR="008D5F43" w:rsidRPr="008D5F43" w:rsidRDefault="008D5F43" w:rsidP="00365D33">
            <w:pPr>
              <w:pStyle w:val="SingleTxtG"/>
              <w:spacing w:before="80" w:after="80"/>
              <w:ind w:left="57" w:right="57"/>
              <w:jc w:val="left"/>
              <w:rPr>
                <w:i/>
                <w:iCs/>
                <w:sz w:val="16"/>
                <w:szCs w:val="16"/>
              </w:rPr>
            </w:pPr>
            <w:r w:rsidRPr="008D5F43">
              <w:rPr>
                <w:i/>
                <w:iCs/>
                <w:sz w:val="16"/>
                <w:szCs w:val="16"/>
                <w:lang w:val="fr-FR"/>
              </w:rPr>
              <w:t>Délai et observations</w:t>
            </w:r>
          </w:p>
        </w:tc>
      </w:tr>
      <w:tr w:rsidR="008D5F43" w:rsidRPr="008D5F43" w14:paraId="6D1E6C73" w14:textId="77777777" w:rsidTr="00EB27EA">
        <w:tc>
          <w:tcPr>
            <w:tcW w:w="1388" w:type="dxa"/>
            <w:shd w:val="clear" w:color="auto" w:fill="auto"/>
          </w:tcPr>
          <w:p w14:paraId="28173965" w14:textId="77777777" w:rsidR="008D5F43" w:rsidRPr="008D5F43" w:rsidRDefault="008D5F43" w:rsidP="008D5F43">
            <w:pPr>
              <w:pStyle w:val="SingleTxtG"/>
              <w:spacing w:before="60" w:after="60"/>
              <w:ind w:left="57" w:right="57"/>
            </w:pPr>
            <w:r w:rsidRPr="008D5F43">
              <w:t>…</w:t>
            </w:r>
          </w:p>
        </w:tc>
        <w:tc>
          <w:tcPr>
            <w:tcW w:w="2643" w:type="dxa"/>
            <w:shd w:val="clear" w:color="auto" w:fill="auto"/>
          </w:tcPr>
          <w:p w14:paraId="1E01AD90" w14:textId="77777777" w:rsidR="008D5F43" w:rsidRPr="008D5F43" w:rsidRDefault="008D5F43" w:rsidP="008D5F43">
            <w:pPr>
              <w:pStyle w:val="SingleTxtG"/>
              <w:spacing w:before="60" w:after="60"/>
              <w:ind w:left="57" w:right="57"/>
            </w:pPr>
            <w:r w:rsidRPr="008D5F43">
              <w:t>…</w:t>
            </w:r>
          </w:p>
        </w:tc>
        <w:tc>
          <w:tcPr>
            <w:tcW w:w="3339" w:type="dxa"/>
            <w:shd w:val="clear" w:color="auto" w:fill="auto"/>
          </w:tcPr>
          <w:p w14:paraId="416C26EF" w14:textId="77777777" w:rsidR="008D5F43" w:rsidRPr="008D5F43" w:rsidRDefault="008D5F43" w:rsidP="00365D33">
            <w:pPr>
              <w:pStyle w:val="SingleTxtG"/>
              <w:spacing w:before="60" w:after="60"/>
              <w:ind w:left="57" w:right="57"/>
              <w:jc w:val="left"/>
            </w:pPr>
            <w:r w:rsidRPr="008D5F43">
              <w:t>…</w:t>
            </w:r>
          </w:p>
        </w:tc>
      </w:tr>
      <w:tr w:rsidR="008D5F43" w:rsidRPr="008D5F43" w14:paraId="66936F0A" w14:textId="77777777" w:rsidTr="00EB27EA">
        <w:tc>
          <w:tcPr>
            <w:tcW w:w="1388" w:type="dxa"/>
            <w:shd w:val="clear" w:color="auto" w:fill="auto"/>
          </w:tcPr>
          <w:p w14:paraId="43335883" w14:textId="77777777" w:rsidR="008D5F43" w:rsidRPr="008D5F43" w:rsidRDefault="008D5F43" w:rsidP="008D5F43">
            <w:pPr>
              <w:pStyle w:val="SingleTxtG"/>
              <w:spacing w:before="60" w:after="60"/>
              <w:ind w:left="57" w:right="57"/>
            </w:pPr>
            <w:r w:rsidRPr="008D5F43">
              <w:rPr>
                <w:lang w:val="fr-FR"/>
              </w:rPr>
              <w:t>9.3.2.20.4</w:t>
            </w:r>
          </w:p>
          <w:p w14:paraId="23D76040" w14:textId="77777777" w:rsidR="008D5F43" w:rsidRPr="008D5F43" w:rsidRDefault="008D5F43" w:rsidP="008D5F43">
            <w:pPr>
              <w:pStyle w:val="SingleTxtG"/>
              <w:spacing w:before="60" w:after="60"/>
              <w:ind w:left="57" w:right="57"/>
            </w:pPr>
            <w:r w:rsidRPr="008D5F43">
              <w:rPr>
                <w:lang w:val="fr-FR"/>
              </w:rPr>
              <w:t>9.3.3.20.4</w:t>
            </w:r>
          </w:p>
        </w:tc>
        <w:tc>
          <w:tcPr>
            <w:tcW w:w="2643" w:type="dxa"/>
            <w:shd w:val="clear" w:color="auto" w:fill="auto"/>
          </w:tcPr>
          <w:p w14:paraId="189435BE" w14:textId="77777777" w:rsidR="008D5F43" w:rsidRPr="008D5F43" w:rsidRDefault="008D5F43" w:rsidP="008D5F43">
            <w:pPr>
              <w:pStyle w:val="SingleTxtG"/>
              <w:spacing w:before="60" w:after="60"/>
              <w:ind w:left="57" w:right="57"/>
            </w:pPr>
            <w:r w:rsidRPr="008D5F43">
              <w:rPr>
                <w:lang w:val="fr-FR"/>
              </w:rPr>
              <w:t>Groupe/sous-groupe d</w:t>
            </w:r>
            <w:r>
              <w:rPr>
                <w:lang w:val="fr-FR"/>
              </w:rPr>
              <w:t>’</w:t>
            </w:r>
            <w:r w:rsidRPr="008D5F43">
              <w:rPr>
                <w:lang w:val="fr-FR"/>
              </w:rPr>
              <w:t>explosion</w:t>
            </w:r>
          </w:p>
        </w:tc>
        <w:tc>
          <w:tcPr>
            <w:tcW w:w="3339" w:type="dxa"/>
            <w:shd w:val="clear" w:color="auto" w:fill="auto"/>
          </w:tcPr>
          <w:p w14:paraId="08DE803C" w14:textId="77777777" w:rsidR="008D5F43" w:rsidRPr="008D5F43" w:rsidRDefault="008D5F43" w:rsidP="00365D33">
            <w:pPr>
              <w:pStyle w:val="SingleTxtG"/>
              <w:spacing w:before="60" w:after="60"/>
              <w:ind w:left="57" w:right="57"/>
              <w:jc w:val="left"/>
              <w:rPr>
                <w:lang w:val="fr-FR"/>
              </w:rPr>
            </w:pPr>
            <w:r w:rsidRPr="008D5F43">
              <w:rPr>
                <w:lang w:val="fr-FR"/>
              </w:rPr>
              <w:t>N.</w:t>
            </w:r>
            <w:r>
              <w:rPr>
                <w:lang w:val="fr-FR"/>
              </w:rPr>
              <w:t> </w:t>
            </w:r>
            <w:r w:rsidRPr="008D5F43">
              <w:rPr>
                <w:lang w:val="fr-FR"/>
              </w:rPr>
              <w:t>R.</w:t>
            </w:r>
            <w:r>
              <w:rPr>
                <w:lang w:val="fr-FR"/>
              </w:rPr>
              <w:t> </w:t>
            </w:r>
            <w:r w:rsidRPr="008D5F43">
              <w:rPr>
                <w:lang w:val="fr-FR"/>
              </w:rPr>
              <w:t>T. à partir du 1</w:t>
            </w:r>
            <w:r w:rsidRPr="008D5F43">
              <w:rPr>
                <w:vertAlign w:val="superscript"/>
                <w:lang w:val="fr-FR"/>
              </w:rPr>
              <w:t>er</w:t>
            </w:r>
            <w:r w:rsidRPr="008D5F43">
              <w:rPr>
                <w:lang w:val="fr-FR"/>
              </w:rPr>
              <w:t xml:space="preserve"> janvier 2019</w:t>
            </w:r>
          </w:p>
          <w:p w14:paraId="5AEA38D7" w14:textId="77777777" w:rsidR="008D5F43" w:rsidRPr="008D5F43" w:rsidRDefault="008D5F43" w:rsidP="00365D33">
            <w:pPr>
              <w:pStyle w:val="SingleTxtG"/>
              <w:spacing w:before="60" w:after="60"/>
              <w:ind w:left="57" w:right="57"/>
              <w:jc w:val="left"/>
              <w:rPr>
                <w:lang w:val="fr-FR"/>
              </w:rPr>
            </w:pPr>
            <w:r w:rsidRPr="008D5F43">
              <w:rPr>
                <w:lang w:val="fr-FR"/>
              </w:rPr>
              <w:t>Renouvellement du certificat d</w:t>
            </w:r>
            <w:r>
              <w:rPr>
                <w:lang w:val="fr-FR"/>
              </w:rPr>
              <w:t>’</w:t>
            </w:r>
            <w:r w:rsidRPr="008D5F43">
              <w:rPr>
                <w:lang w:val="fr-FR"/>
              </w:rPr>
              <w:t xml:space="preserve">agrément après le 31 décembre </w:t>
            </w:r>
            <w:r w:rsidRPr="008D5F43">
              <w:rPr>
                <w:strike/>
                <w:lang w:val="fr-FR"/>
              </w:rPr>
              <w:t>2024</w:t>
            </w:r>
            <w:r w:rsidRPr="008D5F43">
              <w:rPr>
                <w:lang w:val="fr-FR"/>
              </w:rPr>
              <w:t xml:space="preserve"> </w:t>
            </w:r>
            <w:r w:rsidRPr="008D5F43">
              <w:rPr>
                <w:b/>
                <w:bCs/>
                <w:u w:val="single"/>
                <w:lang w:val="fr-FR"/>
              </w:rPr>
              <w:t>2018</w:t>
            </w:r>
          </w:p>
        </w:tc>
      </w:tr>
      <w:tr w:rsidR="008D5F43" w:rsidRPr="008D5F43" w14:paraId="5847605C" w14:textId="77777777" w:rsidTr="00EB27EA">
        <w:tc>
          <w:tcPr>
            <w:tcW w:w="1388" w:type="dxa"/>
            <w:shd w:val="clear" w:color="auto" w:fill="auto"/>
          </w:tcPr>
          <w:p w14:paraId="4117B1CB" w14:textId="77777777" w:rsidR="008D5F43" w:rsidRPr="008D5F43" w:rsidRDefault="008D5F43" w:rsidP="008D5F43">
            <w:pPr>
              <w:pStyle w:val="SingleTxtG"/>
              <w:spacing w:before="60" w:after="60"/>
              <w:ind w:left="57" w:right="57"/>
            </w:pPr>
            <w:r w:rsidRPr="008D5F43">
              <w:t>…</w:t>
            </w:r>
          </w:p>
        </w:tc>
        <w:tc>
          <w:tcPr>
            <w:tcW w:w="2643" w:type="dxa"/>
            <w:shd w:val="clear" w:color="auto" w:fill="auto"/>
          </w:tcPr>
          <w:p w14:paraId="450C8672" w14:textId="77777777" w:rsidR="008D5F43" w:rsidRPr="008D5F43" w:rsidRDefault="008D5F43" w:rsidP="008D5F43">
            <w:pPr>
              <w:pStyle w:val="SingleTxtG"/>
              <w:spacing w:before="60" w:after="60"/>
              <w:ind w:left="57" w:right="57"/>
            </w:pPr>
            <w:r w:rsidRPr="008D5F43">
              <w:t>…</w:t>
            </w:r>
          </w:p>
        </w:tc>
        <w:tc>
          <w:tcPr>
            <w:tcW w:w="3339" w:type="dxa"/>
            <w:shd w:val="clear" w:color="auto" w:fill="auto"/>
          </w:tcPr>
          <w:p w14:paraId="0C8EAB1E" w14:textId="77777777" w:rsidR="008D5F43" w:rsidRPr="008D5F43" w:rsidRDefault="008D5F43" w:rsidP="00365D33">
            <w:pPr>
              <w:pStyle w:val="SingleTxtG"/>
              <w:spacing w:before="60" w:after="60"/>
              <w:ind w:left="57" w:right="57"/>
              <w:jc w:val="left"/>
            </w:pPr>
            <w:r w:rsidRPr="008D5F43">
              <w:t>…</w:t>
            </w:r>
          </w:p>
        </w:tc>
      </w:tr>
      <w:tr w:rsidR="008D5F43" w:rsidRPr="008D5F43" w14:paraId="2C00F976" w14:textId="77777777" w:rsidTr="00EB27EA">
        <w:tc>
          <w:tcPr>
            <w:tcW w:w="1388" w:type="dxa"/>
            <w:shd w:val="clear" w:color="auto" w:fill="auto"/>
          </w:tcPr>
          <w:p w14:paraId="454887AF" w14:textId="77777777" w:rsidR="008D5F43" w:rsidRPr="008D5F43" w:rsidRDefault="008D5F43" w:rsidP="00F67532">
            <w:pPr>
              <w:pStyle w:val="SingleTxtG"/>
              <w:keepNext/>
              <w:keepLines/>
              <w:spacing w:before="60" w:after="60"/>
              <w:ind w:left="57" w:right="57"/>
            </w:pPr>
            <w:r w:rsidRPr="008D5F43">
              <w:rPr>
                <w:lang w:val="fr-FR"/>
              </w:rPr>
              <w:lastRenderedPageBreak/>
              <w:t>9.3.2.21.1 g)</w:t>
            </w:r>
          </w:p>
          <w:p w14:paraId="0A8A0B63" w14:textId="77777777" w:rsidR="008D5F43" w:rsidRPr="008D5F43" w:rsidRDefault="008D5F43" w:rsidP="00F67532">
            <w:pPr>
              <w:pStyle w:val="SingleTxtG"/>
              <w:keepNext/>
              <w:keepLines/>
              <w:spacing w:before="60" w:after="60"/>
              <w:ind w:left="57" w:right="57"/>
            </w:pPr>
            <w:r w:rsidRPr="008D5F43">
              <w:rPr>
                <w:lang w:val="fr-FR"/>
              </w:rPr>
              <w:t>9.3.3.21.1 g)</w:t>
            </w:r>
          </w:p>
        </w:tc>
        <w:tc>
          <w:tcPr>
            <w:tcW w:w="2643" w:type="dxa"/>
            <w:shd w:val="clear" w:color="auto" w:fill="auto"/>
          </w:tcPr>
          <w:p w14:paraId="6CE37B07" w14:textId="77777777" w:rsidR="008D5F43" w:rsidRPr="008D5F43" w:rsidRDefault="008D5F43" w:rsidP="00F67532">
            <w:pPr>
              <w:pStyle w:val="SingleTxtG"/>
              <w:keepNext/>
              <w:keepLines/>
              <w:spacing w:before="60" w:after="60"/>
              <w:ind w:left="57" w:right="57"/>
            </w:pPr>
            <w:r w:rsidRPr="008D5F43">
              <w:rPr>
                <w:lang w:val="fr-FR"/>
              </w:rPr>
              <w:t>Groupe/sous-groupe d</w:t>
            </w:r>
            <w:r>
              <w:rPr>
                <w:lang w:val="fr-FR"/>
              </w:rPr>
              <w:t>’</w:t>
            </w:r>
            <w:r w:rsidRPr="008D5F43">
              <w:rPr>
                <w:lang w:val="fr-FR"/>
              </w:rPr>
              <w:t>explosion</w:t>
            </w:r>
          </w:p>
        </w:tc>
        <w:tc>
          <w:tcPr>
            <w:tcW w:w="3339" w:type="dxa"/>
            <w:shd w:val="clear" w:color="auto" w:fill="auto"/>
          </w:tcPr>
          <w:p w14:paraId="6DF39FDF" w14:textId="77777777" w:rsidR="008D5F43" w:rsidRPr="008D5F43" w:rsidRDefault="008D5F43" w:rsidP="00365D33">
            <w:pPr>
              <w:pStyle w:val="SingleTxtG"/>
              <w:keepNext/>
              <w:keepLines/>
              <w:spacing w:before="60" w:after="60"/>
              <w:ind w:left="57" w:right="57"/>
              <w:jc w:val="left"/>
              <w:rPr>
                <w:lang w:val="fr-FR"/>
              </w:rPr>
            </w:pPr>
            <w:r w:rsidRPr="008D5F43">
              <w:rPr>
                <w:lang w:val="fr-FR"/>
              </w:rPr>
              <w:t>N.</w:t>
            </w:r>
            <w:r>
              <w:rPr>
                <w:lang w:val="fr-FR"/>
              </w:rPr>
              <w:t> </w:t>
            </w:r>
            <w:r w:rsidRPr="008D5F43">
              <w:rPr>
                <w:lang w:val="fr-FR"/>
              </w:rPr>
              <w:t>R.</w:t>
            </w:r>
            <w:r>
              <w:rPr>
                <w:lang w:val="fr-FR"/>
              </w:rPr>
              <w:t> </w:t>
            </w:r>
            <w:r w:rsidRPr="008D5F43">
              <w:rPr>
                <w:lang w:val="fr-FR"/>
              </w:rPr>
              <w:t>T. à partir du 1</w:t>
            </w:r>
            <w:r w:rsidRPr="008D5F43">
              <w:rPr>
                <w:vertAlign w:val="superscript"/>
                <w:lang w:val="fr-FR"/>
              </w:rPr>
              <w:t>er</w:t>
            </w:r>
            <w:r>
              <w:rPr>
                <w:lang w:val="fr-FR"/>
              </w:rPr>
              <w:t> </w:t>
            </w:r>
            <w:r w:rsidRPr="008D5F43">
              <w:rPr>
                <w:lang w:val="fr-FR"/>
              </w:rPr>
              <w:t>janvier 2019</w:t>
            </w:r>
          </w:p>
          <w:p w14:paraId="3649103E" w14:textId="77777777" w:rsidR="008D5F43" w:rsidRPr="008D5F43" w:rsidRDefault="008D5F43" w:rsidP="00365D33">
            <w:pPr>
              <w:pStyle w:val="SingleTxtG"/>
              <w:keepNext/>
              <w:keepLines/>
              <w:spacing w:before="60" w:after="60"/>
              <w:ind w:left="57" w:right="57"/>
              <w:jc w:val="left"/>
              <w:rPr>
                <w:lang w:val="fr-FR"/>
              </w:rPr>
            </w:pPr>
            <w:r w:rsidRPr="008D5F43">
              <w:rPr>
                <w:lang w:val="fr-FR"/>
              </w:rPr>
              <w:t>Renouvellement du certificat d</w:t>
            </w:r>
            <w:r>
              <w:rPr>
                <w:lang w:val="fr-FR"/>
              </w:rPr>
              <w:t>’</w:t>
            </w:r>
            <w:r w:rsidRPr="008D5F43">
              <w:rPr>
                <w:lang w:val="fr-FR"/>
              </w:rPr>
              <w:t xml:space="preserve">agrément après le 31 décembre </w:t>
            </w:r>
            <w:r w:rsidRPr="008D5F43">
              <w:rPr>
                <w:strike/>
                <w:lang w:val="fr-FR"/>
              </w:rPr>
              <w:t>2024</w:t>
            </w:r>
            <w:r w:rsidRPr="008D5F43">
              <w:rPr>
                <w:lang w:val="fr-FR"/>
              </w:rPr>
              <w:t xml:space="preserve"> </w:t>
            </w:r>
            <w:r w:rsidRPr="008D5F43">
              <w:rPr>
                <w:b/>
                <w:bCs/>
                <w:u w:val="single"/>
                <w:lang w:val="fr-FR"/>
              </w:rPr>
              <w:t>2018</w:t>
            </w:r>
          </w:p>
        </w:tc>
      </w:tr>
      <w:tr w:rsidR="008D5F43" w:rsidRPr="008D5F43" w14:paraId="24466EB8" w14:textId="77777777" w:rsidTr="00EB27EA">
        <w:tc>
          <w:tcPr>
            <w:tcW w:w="1388" w:type="dxa"/>
            <w:shd w:val="clear" w:color="auto" w:fill="auto"/>
          </w:tcPr>
          <w:p w14:paraId="3C6EDCAA" w14:textId="77777777" w:rsidR="008D5F43" w:rsidRPr="008D5F43" w:rsidRDefault="008D5F43" w:rsidP="008D5F43">
            <w:pPr>
              <w:pStyle w:val="SingleTxtG"/>
              <w:spacing w:before="60" w:after="60"/>
              <w:ind w:left="57" w:right="57"/>
            </w:pPr>
            <w:r w:rsidRPr="008D5F43">
              <w:t>…</w:t>
            </w:r>
          </w:p>
        </w:tc>
        <w:tc>
          <w:tcPr>
            <w:tcW w:w="2643" w:type="dxa"/>
            <w:shd w:val="clear" w:color="auto" w:fill="auto"/>
          </w:tcPr>
          <w:p w14:paraId="04143376" w14:textId="77777777" w:rsidR="008D5F43" w:rsidRPr="008D5F43" w:rsidRDefault="008D5F43" w:rsidP="008D5F43">
            <w:pPr>
              <w:pStyle w:val="SingleTxtG"/>
              <w:spacing w:before="60" w:after="60"/>
              <w:ind w:left="57" w:right="57"/>
            </w:pPr>
            <w:r w:rsidRPr="008D5F43">
              <w:t>…</w:t>
            </w:r>
          </w:p>
        </w:tc>
        <w:tc>
          <w:tcPr>
            <w:tcW w:w="3339" w:type="dxa"/>
            <w:shd w:val="clear" w:color="auto" w:fill="auto"/>
          </w:tcPr>
          <w:p w14:paraId="1606F735" w14:textId="77777777" w:rsidR="008D5F43" w:rsidRPr="008D5F43" w:rsidRDefault="008D5F43" w:rsidP="00365D33">
            <w:pPr>
              <w:pStyle w:val="SingleTxtG"/>
              <w:spacing w:before="60" w:after="60"/>
              <w:ind w:left="57" w:right="57"/>
              <w:jc w:val="left"/>
            </w:pPr>
            <w:r w:rsidRPr="008D5F43">
              <w:t>…</w:t>
            </w:r>
          </w:p>
        </w:tc>
      </w:tr>
      <w:tr w:rsidR="008D5F43" w:rsidRPr="008D5F43" w14:paraId="4EFF5791" w14:textId="77777777" w:rsidTr="00EB27EA">
        <w:tc>
          <w:tcPr>
            <w:tcW w:w="1388" w:type="dxa"/>
            <w:shd w:val="clear" w:color="auto" w:fill="auto"/>
          </w:tcPr>
          <w:p w14:paraId="3D1240BE" w14:textId="77777777" w:rsidR="008D5F43" w:rsidRPr="008D5F43" w:rsidRDefault="008D5F43" w:rsidP="008D5F43">
            <w:pPr>
              <w:pStyle w:val="SingleTxtG"/>
              <w:spacing w:before="60" w:after="60"/>
              <w:ind w:left="57" w:right="57"/>
            </w:pPr>
            <w:r w:rsidRPr="008D5F43">
              <w:rPr>
                <w:lang w:val="fr-FR"/>
              </w:rPr>
              <w:t>9.3.2.22.4 e)</w:t>
            </w:r>
          </w:p>
          <w:p w14:paraId="004A7FD6" w14:textId="77777777" w:rsidR="008D5F43" w:rsidRPr="008D5F43" w:rsidRDefault="008D5F43" w:rsidP="008D5F43">
            <w:pPr>
              <w:pStyle w:val="SingleTxtG"/>
              <w:spacing w:before="60" w:after="60"/>
              <w:ind w:left="57" w:right="57"/>
            </w:pPr>
            <w:r w:rsidRPr="008D5F43">
              <w:rPr>
                <w:lang w:val="fr-FR"/>
              </w:rPr>
              <w:t>9.3.3.22.4 d)</w:t>
            </w:r>
          </w:p>
        </w:tc>
        <w:tc>
          <w:tcPr>
            <w:tcW w:w="2643" w:type="dxa"/>
            <w:shd w:val="clear" w:color="auto" w:fill="auto"/>
          </w:tcPr>
          <w:p w14:paraId="4516DACE" w14:textId="77777777" w:rsidR="008D5F43" w:rsidRPr="008D5F43" w:rsidRDefault="008D5F43" w:rsidP="008D5F43">
            <w:pPr>
              <w:pStyle w:val="SingleTxtG"/>
              <w:spacing w:before="60" w:after="60"/>
              <w:ind w:left="57" w:right="57"/>
            </w:pPr>
            <w:r w:rsidRPr="008D5F43">
              <w:rPr>
                <w:lang w:val="fr-FR"/>
              </w:rPr>
              <w:t>Groupe/sous-groupe d</w:t>
            </w:r>
            <w:r>
              <w:rPr>
                <w:lang w:val="fr-FR"/>
              </w:rPr>
              <w:t>’</w:t>
            </w:r>
            <w:r w:rsidRPr="008D5F43">
              <w:rPr>
                <w:lang w:val="fr-FR"/>
              </w:rPr>
              <w:t>explosion</w:t>
            </w:r>
          </w:p>
        </w:tc>
        <w:tc>
          <w:tcPr>
            <w:tcW w:w="3339" w:type="dxa"/>
            <w:shd w:val="clear" w:color="auto" w:fill="auto"/>
          </w:tcPr>
          <w:p w14:paraId="18D4F52B" w14:textId="77777777" w:rsidR="008D5F43" w:rsidRPr="008D5F43" w:rsidRDefault="008D5F43" w:rsidP="00365D33">
            <w:pPr>
              <w:pStyle w:val="SingleTxtG"/>
              <w:spacing w:before="60" w:after="60"/>
              <w:ind w:left="57" w:right="57"/>
              <w:jc w:val="left"/>
              <w:rPr>
                <w:lang w:val="fr-FR"/>
              </w:rPr>
            </w:pPr>
            <w:r w:rsidRPr="008D5F43">
              <w:rPr>
                <w:lang w:val="fr-FR"/>
              </w:rPr>
              <w:t>N.</w:t>
            </w:r>
            <w:r>
              <w:rPr>
                <w:lang w:val="fr-FR"/>
              </w:rPr>
              <w:t> </w:t>
            </w:r>
            <w:r w:rsidRPr="008D5F43">
              <w:rPr>
                <w:lang w:val="fr-FR"/>
              </w:rPr>
              <w:t>R.</w:t>
            </w:r>
            <w:r>
              <w:rPr>
                <w:lang w:val="fr-FR"/>
              </w:rPr>
              <w:t> </w:t>
            </w:r>
            <w:r w:rsidRPr="008D5F43">
              <w:rPr>
                <w:lang w:val="fr-FR"/>
              </w:rPr>
              <w:t>T. à partir du 1</w:t>
            </w:r>
            <w:r w:rsidRPr="008D5F43">
              <w:rPr>
                <w:vertAlign w:val="superscript"/>
                <w:lang w:val="fr-FR"/>
              </w:rPr>
              <w:t>er</w:t>
            </w:r>
            <w:r w:rsidRPr="008D5F43">
              <w:rPr>
                <w:lang w:val="fr-FR"/>
              </w:rPr>
              <w:t xml:space="preserve"> janvier 2019</w:t>
            </w:r>
          </w:p>
          <w:p w14:paraId="3CCE3CCD" w14:textId="77777777" w:rsidR="008D5F43" w:rsidRPr="008D5F43" w:rsidRDefault="008D5F43" w:rsidP="00365D33">
            <w:pPr>
              <w:pStyle w:val="SingleTxtG"/>
              <w:spacing w:before="60" w:after="60"/>
              <w:ind w:left="57" w:right="57"/>
              <w:jc w:val="left"/>
              <w:rPr>
                <w:b/>
                <w:u w:val="single"/>
                <w:lang w:val="fr-FR"/>
              </w:rPr>
            </w:pPr>
            <w:r w:rsidRPr="008D5F43">
              <w:rPr>
                <w:lang w:val="fr-FR"/>
              </w:rPr>
              <w:t>Renouvellement du certificat d</w:t>
            </w:r>
            <w:r>
              <w:rPr>
                <w:lang w:val="fr-FR"/>
              </w:rPr>
              <w:t>’</w:t>
            </w:r>
            <w:r w:rsidRPr="008D5F43">
              <w:rPr>
                <w:lang w:val="fr-FR"/>
              </w:rPr>
              <w:t xml:space="preserve">agrément après le 31 décembre </w:t>
            </w:r>
            <w:r w:rsidRPr="008D5F43">
              <w:rPr>
                <w:strike/>
                <w:lang w:val="fr-FR"/>
              </w:rPr>
              <w:t>2024</w:t>
            </w:r>
            <w:r w:rsidRPr="008D5F43">
              <w:rPr>
                <w:lang w:val="fr-FR"/>
              </w:rPr>
              <w:t xml:space="preserve"> </w:t>
            </w:r>
            <w:r w:rsidRPr="008D5F43">
              <w:rPr>
                <w:b/>
                <w:bCs/>
                <w:u w:val="single"/>
                <w:lang w:val="fr-FR"/>
              </w:rPr>
              <w:t>2018</w:t>
            </w:r>
          </w:p>
        </w:tc>
      </w:tr>
      <w:tr w:rsidR="008D5F43" w:rsidRPr="008D5F43" w14:paraId="7B36C6CC" w14:textId="77777777" w:rsidTr="00EB27EA">
        <w:tc>
          <w:tcPr>
            <w:tcW w:w="1388" w:type="dxa"/>
            <w:shd w:val="clear" w:color="auto" w:fill="auto"/>
          </w:tcPr>
          <w:p w14:paraId="34CF4060" w14:textId="77777777" w:rsidR="008D5F43" w:rsidRPr="008D5F43" w:rsidRDefault="008D5F43" w:rsidP="008D5F43">
            <w:pPr>
              <w:pStyle w:val="SingleTxtG"/>
              <w:spacing w:before="60" w:after="60"/>
              <w:ind w:left="57" w:right="57"/>
            </w:pPr>
            <w:r w:rsidRPr="008D5F43">
              <w:t>...</w:t>
            </w:r>
          </w:p>
        </w:tc>
        <w:tc>
          <w:tcPr>
            <w:tcW w:w="2643" w:type="dxa"/>
            <w:shd w:val="clear" w:color="auto" w:fill="auto"/>
          </w:tcPr>
          <w:p w14:paraId="0DE56F88" w14:textId="77777777" w:rsidR="008D5F43" w:rsidRPr="008D5F43" w:rsidRDefault="008D5F43" w:rsidP="008D5F43">
            <w:pPr>
              <w:pStyle w:val="SingleTxtG"/>
              <w:spacing w:before="60" w:after="60"/>
              <w:ind w:left="57" w:right="57"/>
            </w:pPr>
            <w:r w:rsidRPr="008D5F43">
              <w:t>…</w:t>
            </w:r>
          </w:p>
        </w:tc>
        <w:tc>
          <w:tcPr>
            <w:tcW w:w="3339" w:type="dxa"/>
            <w:shd w:val="clear" w:color="auto" w:fill="auto"/>
          </w:tcPr>
          <w:p w14:paraId="35F460EA" w14:textId="77777777" w:rsidR="008D5F43" w:rsidRPr="008D5F43" w:rsidRDefault="008D5F43" w:rsidP="00365D33">
            <w:pPr>
              <w:pStyle w:val="SingleTxtG"/>
              <w:spacing w:before="60" w:after="60"/>
              <w:ind w:left="57" w:right="57"/>
              <w:jc w:val="left"/>
            </w:pPr>
            <w:r w:rsidRPr="008D5F43">
              <w:t>…</w:t>
            </w:r>
          </w:p>
        </w:tc>
      </w:tr>
      <w:tr w:rsidR="008D5F43" w:rsidRPr="008D5F43" w14:paraId="14A5EF60" w14:textId="77777777" w:rsidTr="00EB27EA">
        <w:tc>
          <w:tcPr>
            <w:tcW w:w="1388" w:type="dxa"/>
            <w:shd w:val="clear" w:color="auto" w:fill="auto"/>
          </w:tcPr>
          <w:p w14:paraId="7F757F7C" w14:textId="77777777" w:rsidR="008D5F43" w:rsidRPr="008D5F43" w:rsidRDefault="008D5F43" w:rsidP="008D5F43">
            <w:pPr>
              <w:pStyle w:val="SingleTxtG"/>
              <w:spacing w:before="60" w:after="60"/>
              <w:ind w:left="57" w:right="57"/>
            </w:pPr>
            <w:r w:rsidRPr="008D5F43">
              <w:rPr>
                <w:lang w:val="fr-FR"/>
              </w:rPr>
              <w:t>9.3.2.26.2</w:t>
            </w:r>
          </w:p>
          <w:p w14:paraId="59A8B028" w14:textId="77777777" w:rsidR="008D5F43" w:rsidRPr="008D5F43" w:rsidRDefault="008D5F43" w:rsidP="008D5F43">
            <w:pPr>
              <w:pStyle w:val="SingleTxtG"/>
              <w:spacing w:before="60" w:after="60"/>
              <w:ind w:left="57" w:right="57"/>
            </w:pPr>
            <w:r w:rsidRPr="008D5F43">
              <w:rPr>
                <w:lang w:val="fr-FR"/>
              </w:rPr>
              <w:t>9.3.3.26.2 b)</w:t>
            </w:r>
          </w:p>
        </w:tc>
        <w:tc>
          <w:tcPr>
            <w:tcW w:w="2643" w:type="dxa"/>
            <w:shd w:val="clear" w:color="auto" w:fill="auto"/>
          </w:tcPr>
          <w:p w14:paraId="377ACEF7" w14:textId="77777777" w:rsidR="008D5F43" w:rsidRPr="008D5F43" w:rsidRDefault="008D5F43" w:rsidP="008D5F43">
            <w:pPr>
              <w:pStyle w:val="SingleTxtG"/>
              <w:spacing w:before="60" w:after="60"/>
              <w:ind w:left="57" w:right="57"/>
            </w:pPr>
            <w:r w:rsidRPr="008D5F43">
              <w:rPr>
                <w:lang w:val="fr-FR"/>
              </w:rPr>
              <w:t>Groupe/sous-groupe d</w:t>
            </w:r>
            <w:r>
              <w:rPr>
                <w:lang w:val="fr-FR"/>
              </w:rPr>
              <w:t>’</w:t>
            </w:r>
            <w:r w:rsidRPr="008D5F43">
              <w:rPr>
                <w:lang w:val="fr-FR"/>
              </w:rPr>
              <w:t>explosion</w:t>
            </w:r>
          </w:p>
        </w:tc>
        <w:tc>
          <w:tcPr>
            <w:tcW w:w="3339" w:type="dxa"/>
            <w:shd w:val="clear" w:color="auto" w:fill="auto"/>
          </w:tcPr>
          <w:p w14:paraId="7D62AACD" w14:textId="77777777" w:rsidR="008D5F43" w:rsidRPr="008D5F43" w:rsidRDefault="008D5F43" w:rsidP="00365D33">
            <w:pPr>
              <w:pStyle w:val="SingleTxtG"/>
              <w:spacing w:before="60" w:after="60"/>
              <w:ind w:left="57" w:right="57"/>
              <w:jc w:val="left"/>
              <w:rPr>
                <w:lang w:val="fr-FR"/>
              </w:rPr>
            </w:pPr>
            <w:r w:rsidRPr="008D5F43">
              <w:rPr>
                <w:lang w:val="fr-FR"/>
              </w:rPr>
              <w:t>N.R.T. à partir du 1</w:t>
            </w:r>
            <w:r w:rsidRPr="008D5F43">
              <w:rPr>
                <w:vertAlign w:val="superscript"/>
                <w:lang w:val="fr-FR"/>
              </w:rPr>
              <w:t xml:space="preserve">er </w:t>
            </w:r>
            <w:r w:rsidRPr="008D5F43">
              <w:rPr>
                <w:lang w:val="fr-FR"/>
              </w:rPr>
              <w:t>janvier 2019</w:t>
            </w:r>
          </w:p>
          <w:p w14:paraId="4D3F68D7" w14:textId="77777777" w:rsidR="008D5F43" w:rsidRPr="008D5F43" w:rsidRDefault="008D5F43" w:rsidP="00365D33">
            <w:pPr>
              <w:pStyle w:val="SingleTxtG"/>
              <w:spacing w:before="60" w:after="60"/>
              <w:ind w:left="57" w:right="57"/>
              <w:jc w:val="left"/>
              <w:rPr>
                <w:lang w:val="fr-FR"/>
              </w:rPr>
            </w:pPr>
            <w:r w:rsidRPr="008D5F43">
              <w:rPr>
                <w:lang w:val="fr-FR"/>
              </w:rPr>
              <w:t>Renouvellement du certificat d</w:t>
            </w:r>
            <w:r>
              <w:rPr>
                <w:lang w:val="fr-FR"/>
              </w:rPr>
              <w:t>’</w:t>
            </w:r>
            <w:r w:rsidRPr="008D5F43">
              <w:rPr>
                <w:lang w:val="fr-FR"/>
              </w:rPr>
              <w:t xml:space="preserve">agrément après le 31 décembre </w:t>
            </w:r>
            <w:r w:rsidRPr="008D5F43">
              <w:rPr>
                <w:strike/>
                <w:lang w:val="fr-FR"/>
              </w:rPr>
              <w:t>2024</w:t>
            </w:r>
            <w:r w:rsidRPr="008D5F43">
              <w:rPr>
                <w:lang w:val="fr-FR"/>
              </w:rPr>
              <w:t xml:space="preserve"> </w:t>
            </w:r>
            <w:r w:rsidRPr="008D5F43">
              <w:rPr>
                <w:b/>
                <w:bCs/>
                <w:u w:val="single"/>
                <w:lang w:val="fr-FR"/>
              </w:rPr>
              <w:t>2018</w:t>
            </w:r>
          </w:p>
        </w:tc>
      </w:tr>
      <w:tr w:rsidR="008D5F43" w:rsidRPr="008D5F43" w14:paraId="055C36CE" w14:textId="77777777" w:rsidTr="00EB27EA">
        <w:tc>
          <w:tcPr>
            <w:tcW w:w="1388" w:type="dxa"/>
            <w:shd w:val="clear" w:color="auto" w:fill="auto"/>
          </w:tcPr>
          <w:p w14:paraId="3CDD0599" w14:textId="77777777" w:rsidR="008D5F43" w:rsidRPr="008D5F43" w:rsidRDefault="008D5F43" w:rsidP="008D5F43">
            <w:pPr>
              <w:pStyle w:val="SingleTxtG"/>
              <w:spacing w:before="60" w:after="60"/>
              <w:ind w:left="57" w:right="57"/>
            </w:pPr>
            <w:r w:rsidRPr="008D5F43">
              <w:t>…</w:t>
            </w:r>
          </w:p>
        </w:tc>
        <w:tc>
          <w:tcPr>
            <w:tcW w:w="2643" w:type="dxa"/>
            <w:shd w:val="clear" w:color="auto" w:fill="auto"/>
          </w:tcPr>
          <w:p w14:paraId="062CA29D" w14:textId="77777777" w:rsidR="008D5F43" w:rsidRPr="008D5F43" w:rsidRDefault="008D5F43" w:rsidP="008D5F43">
            <w:pPr>
              <w:pStyle w:val="SingleTxtG"/>
              <w:spacing w:before="60" w:after="60"/>
              <w:ind w:left="57" w:right="57"/>
            </w:pPr>
            <w:r w:rsidRPr="008D5F43">
              <w:t>…</w:t>
            </w:r>
          </w:p>
        </w:tc>
        <w:tc>
          <w:tcPr>
            <w:tcW w:w="3339" w:type="dxa"/>
            <w:shd w:val="clear" w:color="auto" w:fill="auto"/>
          </w:tcPr>
          <w:p w14:paraId="79672751" w14:textId="77777777" w:rsidR="008D5F43" w:rsidRPr="008D5F43" w:rsidRDefault="008D5F43" w:rsidP="00365D33">
            <w:pPr>
              <w:pStyle w:val="SingleTxtG"/>
              <w:spacing w:before="60" w:after="60"/>
              <w:ind w:left="57" w:right="57"/>
              <w:jc w:val="left"/>
            </w:pPr>
            <w:r w:rsidRPr="008D5F43">
              <w:t>…</w:t>
            </w:r>
          </w:p>
        </w:tc>
      </w:tr>
    </w:tbl>
    <w:p w14:paraId="3DAF315C" w14:textId="77777777" w:rsidR="008D5F43" w:rsidRPr="008D5F43" w:rsidRDefault="008D5F43" w:rsidP="008D5F43">
      <w:pPr>
        <w:pStyle w:val="SingleTxtG"/>
        <w:spacing w:before="240"/>
        <w:jc w:val="right"/>
      </w:pPr>
      <w:r w:rsidRPr="008D5F43">
        <w:rPr>
          <w:lang w:val="fr-FR"/>
        </w:rPr>
        <w:t>»</w:t>
      </w:r>
    </w:p>
    <w:p w14:paraId="05057CED" w14:textId="77777777" w:rsidR="008D5F43" w:rsidRPr="008D5F43" w:rsidRDefault="008D5F43" w:rsidP="008D5F43">
      <w:pPr>
        <w:pStyle w:val="SingleTxtG"/>
        <w:rPr>
          <w:lang w:val="fr-FR"/>
        </w:rPr>
      </w:pPr>
      <w:r w:rsidRPr="008D5F43">
        <w:rPr>
          <w:lang w:val="fr-FR"/>
        </w:rPr>
        <w:t>7.</w:t>
      </w:r>
      <w:r w:rsidRPr="008D5F43">
        <w:rPr>
          <w:lang w:val="fr-FR"/>
        </w:rPr>
        <w:tab/>
        <w:t>Les dispositions transitoires de l</w:t>
      </w:r>
      <w:r>
        <w:rPr>
          <w:lang w:val="fr-FR"/>
        </w:rPr>
        <w:t>’</w:t>
      </w:r>
      <w:r w:rsidRPr="008D5F43">
        <w:rPr>
          <w:lang w:val="fr-FR"/>
        </w:rPr>
        <w:t>ADN actuel prévoient deux autres prescriptions relatives au groupe/sous-groupe d</w:t>
      </w:r>
      <w:r>
        <w:rPr>
          <w:lang w:val="fr-FR"/>
        </w:rPr>
        <w:t>’</w:t>
      </w:r>
      <w:r w:rsidRPr="008D5F43">
        <w:rPr>
          <w:lang w:val="fr-FR"/>
        </w:rPr>
        <w:t>explosion, qui concernent les installations et équipements non électriques et électriques (9.3.x.53.1). Si les systèmes de protection autonomes doivent être considérés comme des installations non électriques, il est souhaitable de clarifier cette disposition transitoire figurant au 1.6.7.2.2.2 du Règlement annexé à l</w:t>
      </w:r>
      <w:r>
        <w:rPr>
          <w:lang w:val="fr-FR"/>
        </w:rPr>
        <w:t>’</w:t>
      </w:r>
      <w:r w:rsidRPr="008D5F43">
        <w:rPr>
          <w:lang w:val="fr-FR"/>
        </w:rPr>
        <w:t>ADN. Selon la délégation néerlandaise, il est important de considérer les dispositions transitoires mentionnées au paragraphe 6 comme des dispositions transitoires spécifiques, qui devraient avoir la primauté sur la disposition transitoire générale relative aux installations et équipements non électriques (9.3.x.53.1).</w:t>
      </w:r>
    </w:p>
    <w:p w14:paraId="3E965628" w14:textId="77777777" w:rsidR="008D5F43" w:rsidRPr="008D5F43" w:rsidRDefault="008D5F43" w:rsidP="008D5F43">
      <w:pPr>
        <w:pStyle w:val="HChG"/>
        <w:rPr>
          <w:lang w:val="fr-FR"/>
        </w:rPr>
      </w:pPr>
      <w:r w:rsidRPr="008D5F43">
        <w:rPr>
          <w:lang w:val="fr-FR"/>
        </w:rPr>
        <w:tab/>
        <w:t>II.</w:t>
      </w:r>
      <w:r w:rsidRPr="008D5F43">
        <w:rPr>
          <w:lang w:val="fr-FR"/>
        </w:rPr>
        <w:tab/>
        <w:t>Accord multilatéral M 018</w:t>
      </w:r>
    </w:p>
    <w:p w14:paraId="28741001" w14:textId="77777777" w:rsidR="008D5F43" w:rsidRPr="008D5F43" w:rsidRDefault="008D5F43" w:rsidP="008D5F43">
      <w:pPr>
        <w:pStyle w:val="SingleTxtG"/>
        <w:rPr>
          <w:lang w:val="fr-FR"/>
        </w:rPr>
      </w:pPr>
      <w:r w:rsidRPr="008D5F43">
        <w:rPr>
          <w:lang w:val="fr-FR"/>
        </w:rPr>
        <w:t>8.</w:t>
      </w:r>
      <w:r w:rsidRPr="008D5F43">
        <w:rPr>
          <w:lang w:val="fr-FR"/>
        </w:rPr>
        <w:tab/>
        <w:t>Si les amendements proposés au paragraphe 6 sont adoptés, l</w:t>
      </w:r>
      <w:r>
        <w:rPr>
          <w:lang w:val="fr-FR"/>
        </w:rPr>
        <w:t>’</w:t>
      </w:r>
      <w:r w:rsidRPr="008D5F43">
        <w:rPr>
          <w:lang w:val="fr-FR"/>
        </w:rPr>
        <w:t>accord multilatéral M 018 deviendra superflu à partir du 1</w:t>
      </w:r>
      <w:r w:rsidRPr="008D5F43">
        <w:rPr>
          <w:vertAlign w:val="superscript"/>
          <w:lang w:val="fr-FR"/>
        </w:rPr>
        <w:t>er</w:t>
      </w:r>
      <w:r>
        <w:rPr>
          <w:lang w:val="fr-FR"/>
        </w:rPr>
        <w:t> </w:t>
      </w:r>
      <w:r w:rsidRPr="008D5F43">
        <w:rPr>
          <w:lang w:val="fr-FR"/>
        </w:rPr>
        <w:t>janvier 2021. Les huit parties contractantes signataires devraient dans ce cas préparer la révocation de l</w:t>
      </w:r>
      <w:r>
        <w:rPr>
          <w:lang w:val="fr-FR"/>
        </w:rPr>
        <w:t>’</w:t>
      </w:r>
      <w:r w:rsidRPr="008D5F43">
        <w:rPr>
          <w:lang w:val="fr-FR"/>
        </w:rPr>
        <w:t>accord multilatéral M 018 à compter de cette date.</w:t>
      </w:r>
    </w:p>
    <w:p w14:paraId="0796B72E" w14:textId="77777777" w:rsidR="008D5F43" w:rsidRPr="008D5F43" w:rsidRDefault="008D5F43" w:rsidP="008D5F43">
      <w:pPr>
        <w:pStyle w:val="HChG"/>
        <w:rPr>
          <w:lang w:val="fr-FR"/>
        </w:rPr>
      </w:pPr>
      <w:r w:rsidRPr="008D5F43">
        <w:rPr>
          <w:lang w:val="fr-FR"/>
        </w:rPr>
        <w:tab/>
        <w:t>III.</w:t>
      </w:r>
      <w:r w:rsidRPr="008D5F43">
        <w:rPr>
          <w:lang w:val="fr-FR"/>
        </w:rPr>
        <w:tab/>
        <w:t>Conclusion</w:t>
      </w:r>
    </w:p>
    <w:p w14:paraId="3BFE17C2" w14:textId="77777777" w:rsidR="008D5F43" w:rsidRPr="008D5F43" w:rsidRDefault="008D5F43" w:rsidP="008D5F43">
      <w:pPr>
        <w:pStyle w:val="SingleTxtG"/>
        <w:rPr>
          <w:lang w:val="fr-FR"/>
        </w:rPr>
      </w:pPr>
      <w:r w:rsidRPr="008D5F43">
        <w:rPr>
          <w:lang w:val="fr-FR"/>
        </w:rPr>
        <w:t>9.</w:t>
      </w:r>
      <w:r w:rsidRPr="008D5F43">
        <w:rPr>
          <w:lang w:val="fr-FR"/>
        </w:rPr>
        <w:tab/>
        <w:t>La délégation néerlandaise invite le Comité de sécurité de l</w:t>
      </w:r>
      <w:r>
        <w:rPr>
          <w:lang w:val="fr-FR"/>
        </w:rPr>
        <w:t>’</w:t>
      </w:r>
      <w:r w:rsidRPr="008D5F43">
        <w:rPr>
          <w:lang w:val="fr-FR"/>
        </w:rPr>
        <w:t>ADN à examiner et à adopter les propositions de modifications figurant au paragraphe 6 ; les Parties contractantes concernées seraient ensuite invitées à se retirer de l</w:t>
      </w:r>
      <w:r>
        <w:rPr>
          <w:lang w:val="fr-FR"/>
        </w:rPr>
        <w:t>’</w:t>
      </w:r>
      <w:r w:rsidRPr="008D5F43">
        <w:rPr>
          <w:lang w:val="fr-FR"/>
        </w:rPr>
        <w:t>accord multilatéral M 018 à compter du 1</w:t>
      </w:r>
      <w:r w:rsidRPr="008D5F43">
        <w:rPr>
          <w:vertAlign w:val="superscript"/>
          <w:lang w:val="fr-FR"/>
        </w:rPr>
        <w:t>er </w:t>
      </w:r>
      <w:r w:rsidRPr="008D5F43">
        <w:rPr>
          <w:lang w:val="fr-FR"/>
        </w:rPr>
        <w:t>janvier 2021.</w:t>
      </w:r>
    </w:p>
    <w:p w14:paraId="1DE24239" w14:textId="77777777" w:rsidR="008D5F43" w:rsidRPr="008D5F43" w:rsidRDefault="008D5F43" w:rsidP="008D5F43">
      <w:pPr>
        <w:pStyle w:val="SingleTxtG"/>
        <w:spacing w:before="240" w:after="0"/>
        <w:jc w:val="center"/>
        <w:rPr>
          <w:u w:val="single"/>
        </w:rPr>
      </w:pPr>
      <w:r>
        <w:rPr>
          <w:u w:val="single"/>
          <w:lang w:val="fr-FR"/>
        </w:rPr>
        <w:tab/>
      </w:r>
      <w:r>
        <w:rPr>
          <w:u w:val="single"/>
          <w:lang w:val="fr-FR"/>
        </w:rPr>
        <w:tab/>
      </w:r>
      <w:r>
        <w:rPr>
          <w:u w:val="single"/>
          <w:lang w:val="fr-FR"/>
        </w:rPr>
        <w:tab/>
      </w:r>
    </w:p>
    <w:sectPr w:rsidR="008D5F43" w:rsidRPr="008D5F43" w:rsidSect="008D5F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079A" w14:textId="77777777" w:rsidR="0004411B" w:rsidRDefault="0004411B" w:rsidP="00F95C08">
      <w:pPr>
        <w:spacing w:line="240" w:lineRule="auto"/>
      </w:pPr>
    </w:p>
  </w:endnote>
  <w:endnote w:type="continuationSeparator" w:id="0">
    <w:p w14:paraId="2ECD2F8C" w14:textId="77777777" w:rsidR="0004411B" w:rsidRPr="00AC3823" w:rsidRDefault="0004411B" w:rsidP="00AC3823">
      <w:pPr>
        <w:pStyle w:val="Footer"/>
      </w:pPr>
    </w:p>
  </w:endnote>
  <w:endnote w:type="continuationNotice" w:id="1">
    <w:p w14:paraId="45E204C7" w14:textId="77777777" w:rsidR="0004411B" w:rsidRDefault="000441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51C7" w14:textId="77777777" w:rsidR="008D5F43" w:rsidRPr="008D5F43" w:rsidRDefault="008D5F43" w:rsidP="008D5F43">
    <w:pPr>
      <w:pStyle w:val="Footer"/>
      <w:tabs>
        <w:tab w:val="right" w:pos="9638"/>
      </w:tabs>
    </w:pPr>
    <w:r w:rsidRPr="008D5F43">
      <w:rPr>
        <w:b/>
        <w:sz w:val="18"/>
      </w:rPr>
      <w:fldChar w:fldCharType="begin"/>
    </w:r>
    <w:r w:rsidRPr="008D5F43">
      <w:rPr>
        <w:b/>
        <w:sz w:val="18"/>
      </w:rPr>
      <w:instrText xml:space="preserve"> PAGE  \* MERGEFORMAT </w:instrText>
    </w:r>
    <w:r w:rsidRPr="008D5F43">
      <w:rPr>
        <w:b/>
        <w:sz w:val="18"/>
      </w:rPr>
      <w:fldChar w:fldCharType="separate"/>
    </w:r>
    <w:r w:rsidRPr="008D5F43">
      <w:rPr>
        <w:b/>
        <w:noProof/>
        <w:sz w:val="18"/>
      </w:rPr>
      <w:t>2</w:t>
    </w:r>
    <w:r w:rsidRPr="008D5F43">
      <w:rPr>
        <w:b/>
        <w:sz w:val="18"/>
      </w:rPr>
      <w:fldChar w:fldCharType="end"/>
    </w:r>
    <w:r>
      <w:rPr>
        <w:b/>
        <w:sz w:val="18"/>
      </w:rPr>
      <w:tab/>
    </w:r>
    <w:r>
      <w:t>GE.19-19510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5D" w14:textId="77777777" w:rsidR="008D5F43" w:rsidRPr="008D5F43" w:rsidRDefault="008D5F43" w:rsidP="008D5F43">
    <w:pPr>
      <w:pStyle w:val="Footer"/>
      <w:tabs>
        <w:tab w:val="right" w:pos="9638"/>
      </w:tabs>
      <w:rPr>
        <w:b/>
        <w:sz w:val="18"/>
      </w:rPr>
    </w:pPr>
    <w:r>
      <w:t>GE.19-19510</w:t>
    </w:r>
    <w:r>
      <w:tab/>
    </w:r>
    <w:r w:rsidRPr="008D5F43">
      <w:rPr>
        <w:b/>
        <w:sz w:val="18"/>
      </w:rPr>
      <w:fldChar w:fldCharType="begin"/>
    </w:r>
    <w:r w:rsidRPr="008D5F43">
      <w:rPr>
        <w:b/>
        <w:sz w:val="18"/>
      </w:rPr>
      <w:instrText xml:space="preserve"> PAGE  \* MERGEFORMAT </w:instrText>
    </w:r>
    <w:r w:rsidRPr="008D5F43">
      <w:rPr>
        <w:b/>
        <w:sz w:val="18"/>
      </w:rPr>
      <w:fldChar w:fldCharType="separate"/>
    </w:r>
    <w:r w:rsidRPr="008D5F43">
      <w:rPr>
        <w:b/>
        <w:noProof/>
        <w:sz w:val="18"/>
      </w:rPr>
      <w:t>3</w:t>
    </w:r>
    <w:r w:rsidRPr="008D5F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913F" w14:textId="77777777" w:rsidR="007F20FA" w:rsidRPr="008D5F43" w:rsidRDefault="008D5F43" w:rsidP="008D5F4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22D90D55" wp14:editId="7BE135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19510  (</w:t>
    </w:r>
    <w:proofErr w:type="gramEnd"/>
    <w:r>
      <w:rPr>
        <w:sz w:val="20"/>
      </w:rPr>
      <w:t>F)    191119    081219</w:t>
    </w:r>
    <w:r>
      <w:rPr>
        <w:sz w:val="20"/>
      </w:rPr>
      <w:br/>
    </w:r>
    <w:r w:rsidRPr="008D5F43">
      <w:rPr>
        <w:rFonts w:ascii="C39T30Lfz" w:hAnsi="C39T30Lfz"/>
        <w:sz w:val="56"/>
      </w:rPr>
      <w:t></w:t>
    </w:r>
    <w:r w:rsidRPr="008D5F43">
      <w:rPr>
        <w:rFonts w:ascii="C39T30Lfz" w:hAnsi="C39T30Lfz"/>
        <w:sz w:val="56"/>
      </w:rPr>
      <w:t></w:t>
    </w:r>
    <w:r w:rsidRPr="008D5F43">
      <w:rPr>
        <w:rFonts w:ascii="C39T30Lfz" w:hAnsi="C39T30Lfz"/>
        <w:sz w:val="56"/>
      </w:rPr>
      <w:t></w:t>
    </w:r>
    <w:r w:rsidRPr="008D5F43">
      <w:rPr>
        <w:rFonts w:ascii="C39T30Lfz" w:hAnsi="C39T30Lfz"/>
        <w:sz w:val="56"/>
      </w:rPr>
      <w:t></w:t>
    </w:r>
    <w:r w:rsidRPr="008D5F43">
      <w:rPr>
        <w:rFonts w:ascii="C39T30Lfz" w:hAnsi="C39T30Lfz"/>
        <w:sz w:val="56"/>
      </w:rPr>
      <w:t></w:t>
    </w:r>
    <w:r w:rsidRPr="008D5F43">
      <w:rPr>
        <w:rFonts w:ascii="C39T30Lfz" w:hAnsi="C39T30Lfz"/>
        <w:sz w:val="56"/>
      </w:rPr>
      <w:t></w:t>
    </w:r>
    <w:r w:rsidRPr="008D5F43">
      <w:rPr>
        <w:rFonts w:ascii="C39T30Lfz" w:hAnsi="C39T30Lfz"/>
        <w:sz w:val="56"/>
      </w:rPr>
      <w:t></w:t>
    </w:r>
    <w:r w:rsidRPr="008D5F43">
      <w:rPr>
        <w:rFonts w:ascii="C39T30Lfz" w:hAnsi="C39T30Lfz"/>
        <w:sz w:val="56"/>
      </w:rPr>
      <w:t></w:t>
    </w:r>
    <w:r w:rsidRPr="008D5F43">
      <w:rPr>
        <w:rFonts w:ascii="C39T30Lfz" w:hAnsi="C39T30Lfz"/>
        <w:sz w:val="56"/>
      </w:rPr>
      <w:t></w:t>
    </w:r>
    <w:r>
      <w:rPr>
        <w:noProof/>
        <w:sz w:val="20"/>
      </w:rPr>
      <w:drawing>
        <wp:anchor distT="0" distB="0" distL="114300" distR="114300" simplePos="0" relativeHeight="251658240" behindDoc="0" locked="0" layoutInCell="1" allowOverlap="1" wp14:anchorId="09D3C486" wp14:editId="1C270A8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9A64" w14:textId="77777777" w:rsidR="0004411B" w:rsidRPr="00AC3823" w:rsidRDefault="0004411B" w:rsidP="00AC3823">
      <w:pPr>
        <w:pStyle w:val="Footer"/>
        <w:tabs>
          <w:tab w:val="right" w:pos="2155"/>
        </w:tabs>
        <w:spacing w:after="80" w:line="240" w:lineRule="atLeast"/>
        <w:ind w:left="680"/>
        <w:rPr>
          <w:u w:val="single"/>
        </w:rPr>
      </w:pPr>
      <w:r>
        <w:rPr>
          <w:u w:val="single"/>
        </w:rPr>
        <w:tab/>
      </w:r>
    </w:p>
  </w:footnote>
  <w:footnote w:type="continuationSeparator" w:id="0">
    <w:p w14:paraId="031BB15C" w14:textId="77777777" w:rsidR="0004411B" w:rsidRPr="00AC3823" w:rsidRDefault="0004411B" w:rsidP="00AC3823">
      <w:pPr>
        <w:pStyle w:val="Footer"/>
        <w:tabs>
          <w:tab w:val="right" w:pos="2155"/>
        </w:tabs>
        <w:spacing w:after="80" w:line="240" w:lineRule="atLeast"/>
        <w:ind w:left="680"/>
        <w:rPr>
          <w:u w:val="single"/>
        </w:rPr>
      </w:pPr>
      <w:r>
        <w:rPr>
          <w:u w:val="single"/>
        </w:rPr>
        <w:tab/>
      </w:r>
    </w:p>
  </w:footnote>
  <w:footnote w:type="continuationNotice" w:id="1">
    <w:p w14:paraId="52DDD706" w14:textId="77777777" w:rsidR="0004411B" w:rsidRPr="00AC3823" w:rsidRDefault="0004411B">
      <w:pPr>
        <w:spacing w:line="240" w:lineRule="auto"/>
        <w:rPr>
          <w:sz w:val="2"/>
          <w:szCs w:val="2"/>
        </w:rPr>
      </w:pPr>
    </w:p>
  </w:footnote>
  <w:footnote w:id="2">
    <w:p w14:paraId="20CC4360" w14:textId="77777777" w:rsidR="008D5F43" w:rsidRPr="00603BA7" w:rsidRDefault="008D5F43" w:rsidP="008D5F43">
      <w:pPr>
        <w:pStyle w:val="FootnoteText"/>
        <w:rPr>
          <w:lang w:val="fr-FR"/>
        </w:rPr>
      </w:pPr>
      <w:r>
        <w:rPr>
          <w:lang w:val="fr-FR"/>
        </w:rPr>
        <w:tab/>
        <w:t>*</w:t>
      </w:r>
      <w:r>
        <w:rPr>
          <w:lang w:val="fr-FR"/>
        </w:rPr>
        <w:tab/>
        <w:t>Diffusé en allemand par la Commission centrale pour la navigation du Rhin sous la cote CCNR/ZKR/ADN/WP.15/AC.2/2020/12.</w:t>
      </w:r>
    </w:p>
  </w:footnote>
  <w:footnote w:id="3">
    <w:p w14:paraId="57417B49" w14:textId="77777777" w:rsidR="008D5F43" w:rsidRPr="00603BA7" w:rsidRDefault="008D5F43" w:rsidP="008D5F43">
      <w:pPr>
        <w:pStyle w:val="FootnoteText"/>
        <w:rPr>
          <w:lang w:val="fr-FR"/>
        </w:rPr>
      </w:pPr>
      <w:r>
        <w:rPr>
          <w:lang w:val="fr-FR"/>
        </w:rPr>
        <w:tab/>
        <w:t>**</w:t>
      </w:r>
      <w:r>
        <w:rPr>
          <w:lang w:val="fr-FR"/>
        </w:rPr>
        <w:tab/>
        <w:t>Conformément au programme de travail du Comité des transports intérieurs pour 2018-2019 (ECE/TRANS/2018/21/Add.1, module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890D" w14:textId="5E5523F0" w:rsidR="008D5F43" w:rsidRPr="008D5F43" w:rsidRDefault="00E4536F">
    <w:pPr>
      <w:pStyle w:val="Header"/>
    </w:pPr>
    <w:r>
      <w:fldChar w:fldCharType="begin"/>
    </w:r>
    <w:r>
      <w:instrText xml:space="preserve"> TITLE  \* MERGEFORMAT </w:instrText>
    </w:r>
    <w:r>
      <w:fldChar w:fldCharType="separate"/>
    </w:r>
    <w:r>
      <w:t>ECE/TRANS/WP.15/AC.2/2020/12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4FF8" w14:textId="44681BBD" w:rsidR="008D5F43" w:rsidRPr="008D5F43" w:rsidRDefault="00E4536F" w:rsidP="008D5F43">
    <w:pPr>
      <w:pStyle w:val="Header"/>
      <w:jc w:val="right"/>
    </w:pPr>
    <w:r>
      <w:fldChar w:fldCharType="begin"/>
    </w:r>
    <w:r>
      <w:instrText xml:space="preserve"> TITLE  \* MERGEFORMAT </w:instrText>
    </w:r>
    <w:r>
      <w:fldChar w:fldCharType="separate"/>
    </w:r>
    <w:r>
      <w:t>ECE/TRANS/WP.15/AC.2/2020/12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1B"/>
    <w:rsid w:val="00017F94"/>
    <w:rsid w:val="00023842"/>
    <w:rsid w:val="000334F9"/>
    <w:rsid w:val="0004411B"/>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47A80"/>
    <w:rsid w:val="00365D33"/>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8D5F43"/>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85EB3"/>
    <w:rsid w:val="00C97039"/>
    <w:rsid w:val="00CF37E2"/>
    <w:rsid w:val="00D3439C"/>
    <w:rsid w:val="00D861B4"/>
    <w:rsid w:val="00DB1831"/>
    <w:rsid w:val="00DD3BFD"/>
    <w:rsid w:val="00DF6678"/>
    <w:rsid w:val="00E0299A"/>
    <w:rsid w:val="00E4536F"/>
    <w:rsid w:val="00E85C74"/>
    <w:rsid w:val="00EA6547"/>
    <w:rsid w:val="00EF2E22"/>
    <w:rsid w:val="00F35BAF"/>
    <w:rsid w:val="00F660DF"/>
    <w:rsid w:val="00F6753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2F412"/>
  <w15:docId w15:val="{CA3BDEA9-55B5-4BE1-8DCE-F666363C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D5F4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ECE/TRANS/WP.15/AC.2/2020/12</vt:lpstr>
      <vt:lpstr>ECE/TRANS/WP.15/AC.2/2020/12</vt:lpstr>
    </vt:vector>
  </TitlesOfParts>
  <Company>DCM</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ECE/TRANS/WP.15/AC.2/2020/12</dc:title>
  <dc:subject/>
  <dc:creator>Edith BOURION</dc:creator>
  <cp:keywords/>
  <cp:lastModifiedBy>Marie-Claude Collet</cp:lastModifiedBy>
  <cp:revision>3</cp:revision>
  <cp:lastPrinted>2019-12-09T07:11:00Z</cp:lastPrinted>
  <dcterms:created xsi:type="dcterms:W3CDTF">2019-12-09T07:11:00Z</dcterms:created>
  <dcterms:modified xsi:type="dcterms:W3CDTF">2019-12-09T07:11:00Z</dcterms:modified>
</cp:coreProperties>
</file>