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0187C6A" w14:textId="77777777" w:rsidTr="00B20551">
        <w:trPr>
          <w:cantSplit/>
          <w:trHeight w:hRule="exact" w:val="851"/>
        </w:trPr>
        <w:tc>
          <w:tcPr>
            <w:tcW w:w="1276" w:type="dxa"/>
            <w:tcBorders>
              <w:bottom w:val="single" w:sz="4" w:space="0" w:color="auto"/>
            </w:tcBorders>
            <w:vAlign w:val="bottom"/>
          </w:tcPr>
          <w:p w14:paraId="37BD341B" w14:textId="77777777" w:rsidR="009E6CB7" w:rsidRDefault="009E6CB7" w:rsidP="00B20551">
            <w:pPr>
              <w:spacing w:after="80"/>
            </w:pPr>
          </w:p>
        </w:tc>
        <w:tc>
          <w:tcPr>
            <w:tcW w:w="2268" w:type="dxa"/>
            <w:tcBorders>
              <w:bottom w:val="single" w:sz="4" w:space="0" w:color="auto"/>
            </w:tcBorders>
            <w:vAlign w:val="bottom"/>
          </w:tcPr>
          <w:p w14:paraId="7084AF9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5063FC" w14:textId="77777777" w:rsidR="009E6CB7" w:rsidRPr="00D47EEA" w:rsidRDefault="00A66A97" w:rsidP="00A66A97">
            <w:pPr>
              <w:jc w:val="right"/>
            </w:pPr>
            <w:r w:rsidRPr="00A66A97">
              <w:rPr>
                <w:sz w:val="40"/>
              </w:rPr>
              <w:t>ECE</w:t>
            </w:r>
            <w:r>
              <w:t>/TRANS/WP.15/AC.2/2020/12</w:t>
            </w:r>
          </w:p>
        </w:tc>
      </w:tr>
      <w:tr w:rsidR="009E6CB7" w14:paraId="60FFDC4A" w14:textId="77777777" w:rsidTr="00B20551">
        <w:trPr>
          <w:cantSplit/>
          <w:trHeight w:hRule="exact" w:val="2835"/>
        </w:trPr>
        <w:tc>
          <w:tcPr>
            <w:tcW w:w="1276" w:type="dxa"/>
            <w:tcBorders>
              <w:top w:val="single" w:sz="4" w:space="0" w:color="auto"/>
              <w:bottom w:val="single" w:sz="12" w:space="0" w:color="auto"/>
            </w:tcBorders>
          </w:tcPr>
          <w:p w14:paraId="46699505" w14:textId="77777777" w:rsidR="009E6CB7" w:rsidRDefault="00686A48" w:rsidP="00B20551">
            <w:pPr>
              <w:spacing w:before="120"/>
            </w:pPr>
            <w:r>
              <w:rPr>
                <w:noProof/>
                <w:lang w:val="fr-CH" w:eastAsia="fr-CH"/>
              </w:rPr>
              <w:drawing>
                <wp:inline distT="0" distB="0" distL="0" distR="0" wp14:anchorId="19B54037" wp14:editId="596D3A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86C89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CCA4649" w14:textId="77777777" w:rsidR="009E6CB7" w:rsidRDefault="00A66A97" w:rsidP="00A66A97">
            <w:pPr>
              <w:spacing w:before="240" w:line="240" w:lineRule="exact"/>
            </w:pPr>
            <w:r>
              <w:t>Distr.: General</w:t>
            </w:r>
          </w:p>
          <w:p w14:paraId="56F73AE8" w14:textId="77777777" w:rsidR="00A66A97" w:rsidRDefault="001D2BEA" w:rsidP="00A66A97">
            <w:pPr>
              <w:spacing w:line="240" w:lineRule="exact"/>
            </w:pPr>
            <w:r>
              <w:t>1</w:t>
            </w:r>
            <w:r w:rsidR="005E1297">
              <w:t>2</w:t>
            </w:r>
            <w:r>
              <w:t xml:space="preserve"> </w:t>
            </w:r>
            <w:r w:rsidR="00A66A97">
              <w:t>November 2019</w:t>
            </w:r>
          </w:p>
          <w:p w14:paraId="659BAEB2" w14:textId="77777777" w:rsidR="00A66A97" w:rsidRDefault="00A66A97" w:rsidP="00A66A97">
            <w:pPr>
              <w:spacing w:line="240" w:lineRule="exact"/>
            </w:pPr>
          </w:p>
          <w:p w14:paraId="2089C965" w14:textId="77777777" w:rsidR="00A66A97" w:rsidRDefault="00A66A97" w:rsidP="00A66A97">
            <w:pPr>
              <w:spacing w:line="240" w:lineRule="exact"/>
            </w:pPr>
            <w:r>
              <w:t>Original: English</w:t>
            </w:r>
          </w:p>
        </w:tc>
      </w:tr>
    </w:tbl>
    <w:p w14:paraId="52B2F05A" w14:textId="77777777" w:rsidR="00CB42B6" w:rsidRPr="003134DF" w:rsidRDefault="00CB42B6" w:rsidP="00C411EB">
      <w:pPr>
        <w:spacing w:before="120"/>
        <w:rPr>
          <w:b/>
          <w:sz w:val="28"/>
          <w:szCs w:val="28"/>
        </w:rPr>
      </w:pPr>
      <w:r w:rsidRPr="003134DF">
        <w:rPr>
          <w:b/>
          <w:sz w:val="28"/>
          <w:szCs w:val="28"/>
        </w:rPr>
        <w:t>Economic Commission for Europe</w:t>
      </w:r>
    </w:p>
    <w:p w14:paraId="35BB94FF" w14:textId="77777777" w:rsidR="00CB42B6" w:rsidRPr="003134DF" w:rsidRDefault="00CB42B6" w:rsidP="00C411EB">
      <w:pPr>
        <w:spacing w:before="120"/>
        <w:rPr>
          <w:sz w:val="28"/>
          <w:szCs w:val="28"/>
        </w:rPr>
      </w:pPr>
      <w:r w:rsidRPr="003134DF">
        <w:rPr>
          <w:sz w:val="28"/>
          <w:szCs w:val="28"/>
        </w:rPr>
        <w:t>Inland Transport Committee</w:t>
      </w:r>
    </w:p>
    <w:p w14:paraId="784FCE7A" w14:textId="77777777" w:rsidR="00CB42B6" w:rsidRPr="003134DF" w:rsidRDefault="00CB42B6" w:rsidP="00C411EB">
      <w:pPr>
        <w:spacing w:before="120"/>
        <w:rPr>
          <w:b/>
          <w:sz w:val="24"/>
          <w:szCs w:val="24"/>
        </w:rPr>
      </w:pPr>
      <w:r w:rsidRPr="003134DF">
        <w:rPr>
          <w:b/>
          <w:sz w:val="24"/>
          <w:szCs w:val="24"/>
        </w:rPr>
        <w:t>Working Party on the Transport of Dangerous Goods</w:t>
      </w:r>
    </w:p>
    <w:p w14:paraId="28B12857" w14:textId="77777777" w:rsidR="00CB42B6" w:rsidRPr="003134DF" w:rsidRDefault="00CB42B6" w:rsidP="00C411EB">
      <w:pPr>
        <w:spacing w:before="120"/>
        <w:rPr>
          <w:b/>
        </w:rPr>
      </w:pPr>
      <w:r w:rsidRPr="003134DF">
        <w:rPr>
          <w:b/>
        </w:rPr>
        <w:t xml:space="preserve">Joint Meeting of Experts on the Regulations annexed to the </w:t>
      </w:r>
      <w:bookmarkStart w:id="0" w:name="_GoBack"/>
      <w:bookmarkEnd w:id="0"/>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F655B90" w14:textId="77777777" w:rsidR="00CB42B6" w:rsidRPr="003134DF" w:rsidRDefault="00CB42B6" w:rsidP="00C411EB">
      <w:pPr>
        <w:spacing w:before="120"/>
        <w:rPr>
          <w:b/>
        </w:rPr>
      </w:pPr>
      <w:r>
        <w:rPr>
          <w:b/>
        </w:rPr>
        <w:t xml:space="preserve">Thirty-sixth </w:t>
      </w:r>
      <w:r w:rsidRPr="003134DF">
        <w:rPr>
          <w:b/>
        </w:rPr>
        <w:t>session</w:t>
      </w:r>
    </w:p>
    <w:p w14:paraId="5E766180" w14:textId="77777777" w:rsidR="00CB42B6" w:rsidRDefault="00CB42B6" w:rsidP="00C411EB">
      <w:r w:rsidRPr="003134DF">
        <w:t>Geneva,</w:t>
      </w:r>
      <w:r>
        <w:t xml:space="preserve"> 27-31 January 2020</w:t>
      </w:r>
    </w:p>
    <w:p w14:paraId="7E87628F" w14:textId="77777777" w:rsidR="00CB42B6" w:rsidRDefault="00CB42B6" w:rsidP="00C411EB">
      <w:r>
        <w:t xml:space="preserve">Item </w:t>
      </w:r>
      <w:r w:rsidR="008E246B">
        <w:t>5</w:t>
      </w:r>
      <w:r>
        <w:t xml:space="preserve"> (b) of the provisional agenda</w:t>
      </w:r>
    </w:p>
    <w:p w14:paraId="2ADCF9D8" w14:textId="77777777" w:rsidR="00CA115B" w:rsidRPr="008E246B" w:rsidRDefault="008E246B" w:rsidP="00C411EB">
      <w:pPr>
        <w:rPr>
          <w:b/>
          <w:bCs/>
        </w:rPr>
      </w:pPr>
      <w:r w:rsidRPr="008E246B">
        <w:rPr>
          <w:b/>
          <w:bCs/>
        </w:rPr>
        <w:t>Proposals for amendments to the Regulations annexed to ADN:</w:t>
      </w:r>
    </w:p>
    <w:p w14:paraId="7A698A8A" w14:textId="77777777" w:rsidR="001C6663" w:rsidRPr="008E246B" w:rsidRDefault="008E246B" w:rsidP="00C411EB">
      <w:pPr>
        <w:rPr>
          <w:b/>
          <w:bCs/>
        </w:rPr>
      </w:pPr>
      <w:r w:rsidRPr="008E246B">
        <w:rPr>
          <w:b/>
          <w:bCs/>
        </w:rPr>
        <w:t>other proposals</w:t>
      </w:r>
    </w:p>
    <w:p w14:paraId="3DF4BD61" w14:textId="77777777" w:rsidR="00CB42B6" w:rsidRPr="003134DF" w:rsidRDefault="00CB42B6" w:rsidP="00CB42B6">
      <w:pPr>
        <w:pStyle w:val="HChG"/>
      </w:pPr>
      <w:r w:rsidRPr="00D66DD5">
        <w:tab/>
      </w:r>
      <w:r w:rsidRPr="00D66DD5">
        <w:tab/>
      </w:r>
      <w:r>
        <w:t>Transitional provisions autonomous protection systems</w:t>
      </w:r>
    </w:p>
    <w:p w14:paraId="711205C8" w14:textId="77777777" w:rsidR="00CB42B6" w:rsidRPr="003134DF" w:rsidRDefault="00CB42B6" w:rsidP="00CB42B6">
      <w:pPr>
        <w:pStyle w:val="H1G"/>
        <w:rPr>
          <w:b w:val="0"/>
        </w:rPr>
      </w:pPr>
      <w:r w:rsidRPr="003134DF">
        <w:tab/>
      </w:r>
      <w:r w:rsidRPr="003134DF">
        <w:tab/>
        <w:t>Transmitted by the Go</w:t>
      </w:r>
      <w:r>
        <w:t>vernment of the Netherlands</w:t>
      </w:r>
      <w:r w:rsidR="008E246B" w:rsidRPr="004D45CD">
        <w:rPr>
          <w:rStyle w:val="FootnoteReference"/>
          <w:b w:val="0"/>
          <w:bCs/>
          <w:sz w:val="20"/>
        </w:rPr>
        <w:footnoteReference w:customMarkFollows="1" w:id="2"/>
        <w:t>*</w:t>
      </w:r>
      <w:r w:rsidR="008E246B" w:rsidRPr="004D45CD">
        <w:rPr>
          <w:b w:val="0"/>
          <w:bCs/>
          <w:sz w:val="20"/>
          <w:vertAlign w:val="superscript"/>
        </w:rPr>
        <w:t>,</w:t>
      </w:r>
      <w:r w:rsidR="008E246B" w:rsidRPr="004D45CD">
        <w:rPr>
          <w:sz w:val="20"/>
          <w:vertAlign w:val="superscript"/>
        </w:rPr>
        <w:t xml:space="preserve"> </w:t>
      </w:r>
      <w:r w:rsidR="008E246B" w:rsidRPr="004D45CD">
        <w:rPr>
          <w:rStyle w:val="FootnoteReference"/>
          <w:b w:val="0"/>
          <w:bCs/>
          <w:sz w:val="20"/>
        </w:rPr>
        <w:footnoteReference w:customMarkFollows="1" w:id="3"/>
        <w:t>**</w:t>
      </w:r>
    </w:p>
    <w:tbl>
      <w:tblPr>
        <w:tblW w:w="893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83"/>
        <w:gridCol w:w="5953"/>
      </w:tblGrid>
      <w:tr w:rsidR="00CB42B6" w:rsidRPr="003134DF" w14:paraId="746E86B2" w14:textId="77777777" w:rsidTr="00722ED5">
        <w:trPr>
          <w:jc w:val="center"/>
        </w:trPr>
        <w:tc>
          <w:tcPr>
            <w:tcW w:w="2983" w:type="dxa"/>
            <w:tcBorders>
              <w:top w:val="single" w:sz="4" w:space="0" w:color="auto"/>
            </w:tcBorders>
          </w:tcPr>
          <w:p w14:paraId="5B74B7CD" w14:textId="77777777" w:rsidR="00CB42B6" w:rsidRPr="003134DF" w:rsidRDefault="00CB42B6" w:rsidP="006C02F7">
            <w:pPr>
              <w:tabs>
                <w:tab w:val="left" w:pos="284"/>
              </w:tabs>
              <w:spacing w:before="120" w:after="120"/>
            </w:pPr>
            <w:r w:rsidRPr="003134DF">
              <w:rPr>
                <w:i/>
                <w:sz w:val="24"/>
              </w:rPr>
              <w:tab/>
            </w:r>
            <w:r w:rsidRPr="006843AC">
              <w:rPr>
                <w:i/>
                <w:sz w:val="24"/>
              </w:rPr>
              <w:t>Summary</w:t>
            </w:r>
          </w:p>
        </w:tc>
        <w:tc>
          <w:tcPr>
            <w:tcW w:w="5953" w:type="dxa"/>
            <w:tcBorders>
              <w:top w:val="single" w:sz="4" w:space="0" w:color="auto"/>
            </w:tcBorders>
          </w:tcPr>
          <w:p w14:paraId="27BC0DEA" w14:textId="77777777" w:rsidR="00CB42B6" w:rsidRPr="003134DF" w:rsidRDefault="00CB42B6" w:rsidP="006C02F7">
            <w:pPr>
              <w:spacing w:before="120" w:after="120"/>
            </w:pPr>
          </w:p>
        </w:tc>
      </w:tr>
      <w:tr w:rsidR="00CB42B6" w:rsidRPr="003134DF" w14:paraId="413FF7D5" w14:textId="77777777" w:rsidTr="00722ED5">
        <w:trPr>
          <w:jc w:val="center"/>
        </w:trPr>
        <w:tc>
          <w:tcPr>
            <w:tcW w:w="2983" w:type="dxa"/>
          </w:tcPr>
          <w:p w14:paraId="4F325FD0" w14:textId="77777777" w:rsidR="00CB42B6" w:rsidRPr="003134DF" w:rsidRDefault="00CB42B6" w:rsidP="006C02F7">
            <w:pPr>
              <w:tabs>
                <w:tab w:val="left" w:pos="284"/>
              </w:tabs>
              <w:spacing w:before="120" w:after="120"/>
            </w:pPr>
            <w:r w:rsidRPr="003134DF">
              <w:rPr>
                <w:b/>
              </w:rPr>
              <w:tab/>
              <w:t>Executive summary:</w:t>
            </w:r>
          </w:p>
        </w:tc>
        <w:tc>
          <w:tcPr>
            <w:tcW w:w="5953" w:type="dxa"/>
          </w:tcPr>
          <w:p w14:paraId="5A927FDC" w14:textId="77777777" w:rsidR="00CB42B6" w:rsidRPr="003134DF" w:rsidRDefault="00CB42B6" w:rsidP="006C02F7">
            <w:pPr>
              <w:spacing w:before="120" w:after="120"/>
            </w:pPr>
            <w:r>
              <w:rPr>
                <w:bCs/>
                <w:szCs w:val="24"/>
              </w:rPr>
              <w:t xml:space="preserve">The document contains a set of amendments to solve the contradiction between Multilateral Agreement M 018 and the current transitional provisions on autonomous protection systems in the Regulations annexed to ADN. It is suggested to amend the transitional provisions and subsequently to revoke M 018. </w:t>
            </w:r>
          </w:p>
        </w:tc>
      </w:tr>
      <w:tr w:rsidR="00CB42B6" w:rsidRPr="003134DF" w14:paraId="7B9733B8" w14:textId="77777777" w:rsidTr="00722ED5">
        <w:trPr>
          <w:trHeight w:val="509"/>
          <w:jc w:val="center"/>
        </w:trPr>
        <w:tc>
          <w:tcPr>
            <w:tcW w:w="2983" w:type="dxa"/>
          </w:tcPr>
          <w:p w14:paraId="4E138935" w14:textId="77777777" w:rsidR="00CB42B6" w:rsidRPr="003134DF" w:rsidRDefault="00CB42B6" w:rsidP="006C02F7">
            <w:pPr>
              <w:tabs>
                <w:tab w:val="left" w:pos="284"/>
              </w:tabs>
              <w:spacing w:before="120" w:after="120"/>
              <w:rPr>
                <w:b/>
              </w:rPr>
            </w:pPr>
            <w:r w:rsidRPr="003134DF">
              <w:rPr>
                <w:b/>
              </w:rPr>
              <w:tab/>
              <w:t>Action to be taken:</w:t>
            </w:r>
          </w:p>
        </w:tc>
        <w:tc>
          <w:tcPr>
            <w:tcW w:w="5953" w:type="dxa"/>
          </w:tcPr>
          <w:p w14:paraId="5E83A67F" w14:textId="77777777" w:rsidR="00CB42B6" w:rsidRPr="003134DF" w:rsidRDefault="00CB42B6" w:rsidP="006C02F7">
            <w:pPr>
              <w:spacing w:before="120" w:after="120"/>
            </w:pPr>
            <w:r>
              <w:t>The Safety Committee is invited to discuss and adopt the amendments proposed in paragraph 6.</w:t>
            </w:r>
          </w:p>
        </w:tc>
      </w:tr>
      <w:tr w:rsidR="00CB42B6" w:rsidRPr="003134DF" w14:paraId="46CDAF96" w14:textId="77777777" w:rsidTr="00722ED5">
        <w:trPr>
          <w:jc w:val="center"/>
        </w:trPr>
        <w:tc>
          <w:tcPr>
            <w:tcW w:w="2983" w:type="dxa"/>
            <w:tcBorders>
              <w:bottom w:val="single" w:sz="4" w:space="0" w:color="auto"/>
            </w:tcBorders>
          </w:tcPr>
          <w:p w14:paraId="72A81506" w14:textId="77777777" w:rsidR="00CB42B6" w:rsidRPr="003134DF" w:rsidRDefault="00CB42B6" w:rsidP="006C02F7">
            <w:pPr>
              <w:tabs>
                <w:tab w:val="left" w:pos="284"/>
              </w:tabs>
              <w:spacing w:before="120" w:after="120"/>
              <w:rPr>
                <w:b/>
              </w:rPr>
            </w:pPr>
            <w:r w:rsidRPr="003134DF">
              <w:rPr>
                <w:b/>
              </w:rPr>
              <w:tab/>
              <w:t>Related documents:</w:t>
            </w:r>
          </w:p>
        </w:tc>
        <w:tc>
          <w:tcPr>
            <w:tcW w:w="5953" w:type="dxa"/>
            <w:tcBorders>
              <w:bottom w:val="single" w:sz="4" w:space="0" w:color="auto"/>
            </w:tcBorders>
          </w:tcPr>
          <w:p w14:paraId="353B78B2" w14:textId="77777777" w:rsidR="00CB42B6" w:rsidRDefault="00CB42B6" w:rsidP="006C02F7">
            <w:pPr>
              <w:spacing w:before="120"/>
            </w:pPr>
            <w:r>
              <w:t>Informal document INF. 4 of the thirty-fourth session</w:t>
            </w:r>
          </w:p>
          <w:p w14:paraId="459225B2" w14:textId="77777777" w:rsidR="00CB42B6" w:rsidRDefault="00CB42B6" w:rsidP="006C02F7">
            <w:r>
              <w:t>ECE/TRANS/WP.15/AC.2/70 (Paragraph 29)</w:t>
            </w:r>
          </w:p>
          <w:p w14:paraId="12BD001F" w14:textId="77777777" w:rsidR="00CB42B6" w:rsidRDefault="00CB42B6" w:rsidP="006C02F7">
            <w:r>
              <w:t>Informal document INF. 24 of the thirty-fifth session</w:t>
            </w:r>
          </w:p>
          <w:p w14:paraId="77BA72A9" w14:textId="77777777" w:rsidR="00CB42B6" w:rsidRPr="003134DF" w:rsidRDefault="00CB42B6" w:rsidP="00CB42B6">
            <w:pPr>
              <w:spacing w:after="120"/>
            </w:pPr>
            <w:r>
              <w:t>ECE/TRANS/WP.15/AC.2/72 (Paragraph 37)</w:t>
            </w:r>
          </w:p>
        </w:tc>
      </w:tr>
    </w:tbl>
    <w:p w14:paraId="5BD5E070" w14:textId="77777777" w:rsidR="00CB42B6" w:rsidRPr="005D2090" w:rsidRDefault="00722ED5" w:rsidP="008E246B">
      <w:pPr>
        <w:pStyle w:val="HChG"/>
        <w:keepNext w:val="0"/>
        <w:pageBreakBefore/>
        <w:tabs>
          <w:tab w:val="clear" w:pos="851"/>
        </w:tabs>
        <w:spacing w:before="120" w:after="120" w:line="276" w:lineRule="auto"/>
        <w:ind w:left="567" w:firstLine="0"/>
        <w:jc w:val="both"/>
        <w:rPr>
          <w:sz w:val="24"/>
          <w:szCs w:val="24"/>
        </w:rPr>
      </w:pPr>
      <w:r>
        <w:rPr>
          <w:sz w:val="24"/>
          <w:szCs w:val="24"/>
        </w:rPr>
        <w:lastRenderedPageBreak/>
        <w:tab/>
      </w:r>
      <w:r w:rsidR="00CB42B6" w:rsidRPr="005D2090">
        <w:rPr>
          <w:sz w:val="24"/>
          <w:szCs w:val="24"/>
        </w:rPr>
        <w:t>Introduction</w:t>
      </w:r>
    </w:p>
    <w:p w14:paraId="37100573" w14:textId="77777777" w:rsidR="00CB42B6" w:rsidRDefault="00CB42B6" w:rsidP="00CB42B6">
      <w:pPr>
        <w:pStyle w:val="SingleTxtG"/>
        <w:spacing w:before="120" w:line="276" w:lineRule="auto"/>
      </w:pPr>
      <w:r>
        <w:t>1.</w:t>
      </w:r>
      <w:r>
        <w:tab/>
        <w:t xml:space="preserve">In the ADN 2019, the Contracting Parties adopted a new set of regulations on explosion safety. This set contained new transitional provisions for tank vessels as well (1.6.7.2.2.2 ADN), of which some are related to the </w:t>
      </w:r>
      <w:r w:rsidRPr="006843AC">
        <w:t xml:space="preserve">explosion (sub)group of </w:t>
      </w:r>
      <w:r>
        <w:t>autonomous protection systems</w:t>
      </w:r>
      <w:r w:rsidRPr="006843AC">
        <w:t xml:space="preserve"> (9.3.2.20.4, 9.3.3.20.4, 9.3.2.21.1 (g), 9.3.3.21.1</w:t>
      </w:r>
      <w:r w:rsidRPr="00AB2F9E">
        <w:t>.(g), 9.3.2.22.4 (e),</w:t>
      </w:r>
      <w:r w:rsidRPr="006843AC">
        <w:t xml:space="preserve"> 9.3.3.22.4 (d), 9.3.2.26.2 and 9.3.3.26.2 (b). On existing vessels, these subgroups must be applied</w:t>
      </w:r>
      <w:r>
        <w:t xml:space="preserve"> with the renewal of the Certificate of Approval after 31 December 2024.</w:t>
      </w:r>
    </w:p>
    <w:p w14:paraId="7CADE1AB" w14:textId="77777777" w:rsidR="00CB42B6" w:rsidRDefault="00CB42B6" w:rsidP="00CB42B6">
      <w:pPr>
        <w:pStyle w:val="SingleTxtG"/>
        <w:spacing w:before="120" w:line="276" w:lineRule="auto"/>
      </w:pPr>
      <w:r>
        <w:t>2.</w:t>
      </w:r>
      <w:r>
        <w:tab/>
        <w:t>During the creation of these new regulations on explosion safety, eight Contracting Parties developed and signed in 2016 a multilateral agreement on the subdivision of explosion group II B (M 018). This multilateral agreement required ship owners to apply the new subdivision of the explosion groups with the renewal of their Certificate of Approval after 31 December 2018.</w:t>
      </w:r>
    </w:p>
    <w:p w14:paraId="35B7559B" w14:textId="77777777" w:rsidR="00CB42B6" w:rsidRDefault="00CB42B6" w:rsidP="00CB42B6">
      <w:pPr>
        <w:pStyle w:val="SingleTxtG"/>
        <w:spacing w:before="120" w:line="276" w:lineRule="auto"/>
      </w:pPr>
      <w:r>
        <w:t>3.</w:t>
      </w:r>
      <w:r>
        <w:tab/>
        <w:t xml:space="preserve">This contradiction between M 018 and the adopted transitional provisions has been recognised and discussed during the </w:t>
      </w:r>
      <w:r w:rsidR="008E246B">
        <w:t>thirty-fourth</w:t>
      </w:r>
      <w:r>
        <w:t xml:space="preserve"> and </w:t>
      </w:r>
      <w:r w:rsidR="008E246B">
        <w:t>thirty-fifth</w:t>
      </w:r>
      <w:r>
        <w:t xml:space="preserve"> </w:t>
      </w:r>
      <w:r w:rsidR="008E246B">
        <w:t>sessions</w:t>
      </w:r>
      <w:r>
        <w:t xml:space="preserve"> of the ADN Safety Committee. It was noted that the Recognised Classification Societies indicated that they all currently apply M 018 during the renewal of the Certificate of Approval. Based on this information, the Dutch delegation volunteered to draft a solution for the contradiction between M 018 and the transitional provisions, which can be found below.</w:t>
      </w:r>
    </w:p>
    <w:p w14:paraId="555BF825" w14:textId="77777777" w:rsidR="00CB42B6" w:rsidRPr="005D2090" w:rsidRDefault="00CB42B6" w:rsidP="00CB42B6">
      <w:pPr>
        <w:pStyle w:val="HChG"/>
      </w:pPr>
      <w:r>
        <w:tab/>
        <w:t>I.</w:t>
      </w:r>
      <w:r>
        <w:tab/>
        <w:t>Amendments to be discussed</w:t>
      </w:r>
    </w:p>
    <w:p w14:paraId="444B7F4E" w14:textId="77777777" w:rsidR="00CB42B6" w:rsidRDefault="00CB42B6" w:rsidP="00CB42B6">
      <w:pPr>
        <w:pStyle w:val="SingleTxtG"/>
        <w:spacing w:before="120" w:line="276" w:lineRule="auto"/>
      </w:pPr>
      <w:r>
        <w:t>4.</w:t>
      </w:r>
      <w:r>
        <w:tab/>
        <w:t>Although the initial thought of the ADN Safety Committee was to extend M 018 and to delete the related transitional provisions, the Dutch delegation considers it more appropriate to amend the transitional provisions and to withdraw M 018, since the transitional provisions form an integral part of the Regulations annexed to ADN, contrary to adopted multilateral agreements.</w:t>
      </w:r>
    </w:p>
    <w:p w14:paraId="1F5FA157" w14:textId="77777777" w:rsidR="00CB42B6" w:rsidRDefault="00CB42B6" w:rsidP="00CB42B6">
      <w:pPr>
        <w:pStyle w:val="SingleTxtG"/>
        <w:spacing w:before="120" w:line="276" w:lineRule="auto"/>
      </w:pPr>
      <w:r>
        <w:t>5.</w:t>
      </w:r>
      <w:r>
        <w:tab/>
        <w:t>During the consideration of the amendments it became clear that, although M 018 only refers to flame arresters, the subdivision of the explosion group applies to all autonomous protection systems. According to the Dutch delegation it is from a safety view not desirable to separate the introduction of the subgroups for the different autonomous protection systems.  “Implementing” M 018 in the transitional provisions of the Regulations annexed to ADN therefore requires amending all transitional provisions affecting the explosion group/subgroup of autonomous protection systems.</w:t>
      </w:r>
    </w:p>
    <w:p w14:paraId="32BD3D74" w14:textId="77777777" w:rsidR="00CB42B6" w:rsidRDefault="00CB42B6" w:rsidP="00CB42B6">
      <w:pPr>
        <w:pStyle w:val="SingleTxtG"/>
        <w:spacing w:before="120" w:line="276" w:lineRule="auto"/>
      </w:pPr>
      <w:r>
        <w:t>6.</w:t>
      </w:r>
      <w:r>
        <w:tab/>
        <w:t xml:space="preserve">This approach leads to the following amendments on 1.6.7.2.2.2 </w:t>
      </w:r>
      <w:r w:rsidR="008E246B">
        <w:t xml:space="preserve">of </w:t>
      </w:r>
      <w:r>
        <w:t>ADN:</w:t>
      </w:r>
    </w:p>
    <w:p w14:paraId="20EB637C" w14:textId="77777777" w:rsidR="00CB42B6" w:rsidRDefault="00CB42B6" w:rsidP="00CB42B6">
      <w:pPr>
        <w:spacing w:before="120"/>
        <w:ind w:left="567" w:firstLine="567"/>
        <w:jc w:val="both"/>
        <w:rPr>
          <w:b/>
          <w:u w:val="single"/>
        </w:rPr>
      </w:pPr>
      <w:r w:rsidRPr="00337050">
        <w:rPr>
          <w:strike/>
        </w:rPr>
        <w:t xml:space="preserve">The cancelled text is </w:t>
      </w:r>
      <w:proofErr w:type="spellStart"/>
      <w:r w:rsidRPr="00337050">
        <w:rPr>
          <w:strike/>
        </w:rPr>
        <w:t>striked</w:t>
      </w:r>
      <w:proofErr w:type="spellEnd"/>
      <w:r w:rsidRPr="00337050">
        <w:rPr>
          <w:strike/>
        </w:rPr>
        <w:t xml:space="preserve"> through</w:t>
      </w:r>
      <w:r>
        <w:t xml:space="preserve">, </w:t>
      </w:r>
      <w:r w:rsidRPr="00337050">
        <w:rPr>
          <w:b/>
          <w:u w:val="single"/>
        </w:rPr>
        <w:t>the additional text is bold and underlined</w:t>
      </w:r>
    </w:p>
    <w:p w14:paraId="01544572" w14:textId="77777777" w:rsidR="00CB42B6" w:rsidRDefault="00CB42B6" w:rsidP="00CB42B6">
      <w:pPr>
        <w:pStyle w:val="SingleTxtG"/>
        <w:spacing w:before="120" w:line="276" w:lineRule="auto"/>
      </w:pPr>
      <w:r>
        <w:t xml:space="preserve">“1.6.7.2.2.2 </w:t>
      </w:r>
      <w:r>
        <w:tab/>
        <w:t>Table of general transitional provisions: Tank vessels</w:t>
      </w:r>
    </w:p>
    <w:tbl>
      <w:tblPr>
        <w:tblStyle w:val="TableGrid"/>
        <w:tblW w:w="7370" w:type="dxa"/>
        <w:tblInd w:w="1134" w:type="dxa"/>
        <w:tblLayout w:type="fixed"/>
        <w:tblLook w:val="04A0" w:firstRow="1" w:lastRow="0" w:firstColumn="1" w:lastColumn="0" w:noHBand="0" w:noVBand="1"/>
      </w:tblPr>
      <w:tblGrid>
        <w:gridCol w:w="1388"/>
        <w:gridCol w:w="2643"/>
        <w:gridCol w:w="3339"/>
      </w:tblGrid>
      <w:tr w:rsidR="00CB42B6" w:rsidRPr="00CB42B6" w14:paraId="6CC6C765" w14:textId="77777777" w:rsidTr="00CB42B6">
        <w:tc>
          <w:tcPr>
            <w:tcW w:w="1388" w:type="dxa"/>
            <w:shd w:val="clear" w:color="auto" w:fill="auto"/>
          </w:tcPr>
          <w:p w14:paraId="18F8DF23" w14:textId="77777777" w:rsidR="00CB42B6" w:rsidRPr="00CB42B6" w:rsidRDefault="00CB42B6" w:rsidP="00CB42B6">
            <w:pPr>
              <w:rPr>
                <w:i/>
                <w:iCs/>
              </w:rPr>
            </w:pPr>
            <w:r w:rsidRPr="00CB42B6">
              <w:rPr>
                <w:i/>
                <w:iCs/>
              </w:rPr>
              <w:t>Paragraphs</w:t>
            </w:r>
          </w:p>
        </w:tc>
        <w:tc>
          <w:tcPr>
            <w:tcW w:w="2643" w:type="dxa"/>
            <w:shd w:val="clear" w:color="auto" w:fill="auto"/>
          </w:tcPr>
          <w:p w14:paraId="1E950873" w14:textId="77777777" w:rsidR="00CB42B6" w:rsidRPr="00CB42B6" w:rsidRDefault="00CB42B6" w:rsidP="00CB42B6">
            <w:pPr>
              <w:rPr>
                <w:i/>
                <w:iCs/>
              </w:rPr>
            </w:pPr>
            <w:r w:rsidRPr="00CB42B6">
              <w:rPr>
                <w:i/>
                <w:iCs/>
              </w:rPr>
              <w:t>Subject</w:t>
            </w:r>
          </w:p>
        </w:tc>
        <w:tc>
          <w:tcPr>
            <w:tcW w:w="3339" w:type="dxa"/>
            <w:shd w:val="clear" w:color="auto" w:fill="auto"/>
          </w:tcPr>
          <w:p w14:paraId="5671F4BC" w14:textId="77777777" w:rsidR="00CB42B6" w:rsidRPr="00CB42B6" w:rsidRDefault="00CB42B6" w:rsidP="00CB42B6">
            <w:pPr>
              <w:rPr>
                <w:i/>
                <w:iCs/>
              </w:rPr>
            </w:pPr>
            <w:r w:rsidRPr="00CB42B6">
              <w:rPr>
                <w:i/>
                <w:iCs/>
              </w:rPr>
              <w:t>Time limit and comments</w:t>
            </w:r>
          </w:p>
        </w:tc>
      </w:tr>
      <w:tr w:rsidR="00CB42B6" w14:paraId="32187B8C" w14:textId="77777777" w:rsidTr="00CB42B6">
        <w:tc>
          <w:tcPr>
            <w:tcW w:w="1388" w:type="dxa"/>
            <w:shd w:val="clear" w:color="auto" w:fill="auto"/>
          </w:tcPr>
          <w:p w14:paraId="20DC4FDA" w14:textId="77777777" w:rsidR="00CB42B6" w:rsidRDefault="00CB42B6" w:rsidP="00CB42B6">
            <w:r>
              <w:t>…</w:t>
            </w:r>
          </w:p>
        </w:tc>
        <w:tc>
          <w:tcPr>
            <w:tcW w:w="2643" w:type="dxa"/>
            <w:shd w:val="clear" w:color="auto" w:fill="auto"/>
          </w:tcPr>
          <w:p w14:paraId="3EF00FE0" w14:textId="77777777" w:rsidR="00CB42B6" w:rsidRDefault="00CB42B6" w:rsidP="00CB42B6">
            <w:r>
              <w:t>…</w:t>
            </w:r>
          </w:p>
        </w:tc>
        <w:tc>
          <w:tcPr>
            <w:tcW w:w="3339" w:type="dxa"/>
            <w:shd w:val="clear" w:color="auto" w:fill="auto"/>
          </w:tcPr>
          <w:p w14:paraId="1A9DC843" w14:textId="77777777" w:rsidR="00CB42B6" w:rsidRDefault="00CB42B6" w:rsidP="00CB42B6">
            <w:r>
              <w:t>…</w:t>
            </w:r>
          </w:p>
        </w:tc>
      </w:tr>
      <w:tr w:rsidR="00CB42B6" w14:paraId="4551C6A7" w14:textId="77777777" w:rsidTr="00CB42B6">
        <w:tc>
          <w:tcPr>
            <w:tcW w:w="1388" w:type="dxa"/>
            <w:shd w:val="clear" w:color="auto" w:fill="auto"/>
          </w:tcPr>
          <w:p w14:paraId="70486F17" w14:textId="77777777" w:rsidR="00CB42B6" w:rsidRDefault="00CB42B6" w:rsidP="00CB42B6">
            <w:pPr>
              <w:spacing w:before="60"/>
            </w:pPr>
            <w:r>
              <w:t>9.3.2.20.4</w:t>
            </w:r>
          </w:p>
          <w:p w14:paraId="25DABF44" w14:textId="77777777" w:rsidR="00CB42B6" w:rsidRDefault="00CB42B6" w:rsidP="00CB42B6">
            <w:pPr>
              <w:spacing w:before="60"/>
            </w:pPr>
            <w:r>
              <w:t>9.3.3.20.4</w:t>
            </w:r>
          </w:p>
        </w:tc>
        <w:tc>
          <w:tcPr>
            <w:tcW w:w="2643" w:type="dxa"/>
            <w:shd w:val="clear" w:color="auto" w:fill="auto"/>
          </w:tcPr>
          <w:p w14:paraId="53E85B8F" w14:textId="77777777" w:rsidR="00CB42B6" w:rsidRDefault="00CB42B6" w:rsidP="00CB42B6">
            <w:pPr>
              <w:spacing w:before="60"/>
            </w:pPr>
            <w:r>
              <w:t>Explosion group/subgroup</w:t>
            </w:r>
          </w:p>
        </w:tc>
        <w:tc>
          <w:tcPr>
            <w:tcW w:w="3339" w:type="dxa"/>
            <w:shd w:val="clear" w:color="auto" w:fill="auto"/>
          </w:tcPr>
          <w:p w14:paraId="140D5E36" w14:textId="77777777" w:rsidR="00CB42B6" w:rsidRDefault="00CB42B6" w:rsidP="00CB42B6">
            <w:pPr>
              <w:spacing w:before="60"/>
            </w:pPr>
            <w:r>
              <w:t>N.R.M. From 1 January 2019</w:t>
            </w:r>
          </w:p>
          <w:p w14:paraId="5FE3E840" w14:textId="77777777" w:rsidR="00CB42B6" w:rsidRDefault="00CB42B6" w:rsidP="00CB42B6">
            <w:pPr>
              <w:spacing w:before="60" w:after="60"/>
            </w:pPr>
            <w:r>
              <w:t xml:space="preserve">Renewal of the certificate of approval after 31 December </w:t>
            </w:r>
            <w:r w:rsidRPr="009D7FAC">
              <w:rPr>
                <w:strike/>
              </w:rPr>
              <w:t>2024</w:t>
            </w:r>
            <w:r>
              <w:t xml:space="preserve"> </w:t>
            </w:r>
            <w:r>
              <w:rPr>
                <w:b/>
                <w:u w:val="single"/>
              </w:rPr>
              <w:t>2018</w:t>
            </w:r>
          </w:p>
        </w:tc>
      </w:tr>
      <w:tr w:rsidR="00CB42B6" w14:paraId="1FA2B102" w14:textId="77777777" w:rsidTr="00CB42B6">
        <w:tc>
          <w:tcPr>
            <w:tcW w:w="1388" w:type="dxa"/>
            <w:shd w:val="clear" w:color="auto" w:fill="auto"/>
          </w:tcPr>
          <w:p w14:paraId="6D3EC19E" w14:textId="77777777" w:rsidR="00CB42B6" w:rsidRDefault="00CB42B6" w:rsidP="00CB42B6">
            <w:r>
              <w:t>…</w:t>
            </w:r>
          </w:p>
        </w:tc>
        <w:tc>
          <w:tcPr>
            <w:tcW w:w="2643" w:type="dxa"/>
            <w:shd w:val="clear" w:color="auto" w:fill="auto"/>
          </w:tcPr>
          <w:p w14:paraId="1B96B925" w14:textId="77777777" w:rsidR="00CB42B6" w:rsidRDefault="00CB42B6" w:rsidP="00CB42B6">
            <w:r>
              <w:t>…</w:t>
            </w:r>
          </w:p>
        </w:tc>
        <w:tc>
          <w:tcPr>
            <w:tcW w:w="3339" w:type="dxa"/>
            <w:shd w:val="clear" w:color="auto" w:fill="auto"/>
          </w:tcPr>
          <w:p w14:paraId="004985E7" w14:textId="77777777" w:rsidR="00CB42B6" w:rsidRDefault="00CB42B6" w:rsidP="00CB42B6">
            <w:r>
              <w:t>…</w:t>
            </w:r>
          </w:p>
        </w:tc>
      </w:tr>
      <w:tr w:rsidR="00CB42B6" w14:paraId="7A8FD912" w14:textId="77777777" w:rsidTr="00CB42B6">
        <w:tc>
          <w:tcPr>
            <w:tcW w:w="1388" w:type="dxa"/>
            <w:shd w:val="clear" w:color="auto" w:fill="auto"/>
          </w:tcPr>
          <w:p w14:paraId="3F6D5526" w14:textId="77777777" w:rsidR="00CB42B6" w:rsidRDefault="00CB42B6" w:rsidP="00CB42B6">
            <w:pPr>
              <w:spacing w:before="60"/>
            </w:pPr>
            <w:r>
              <w:t>9.3.2.21.1 (g)</w:t>
            </w:r>
          </w:p>
          <w:p w14:paraId="6068563D" w14:textId="77777777" w:rsidR="00CB42B6" w:rsidRDefault="00CB42B6" w:rsidP="00CB42B6">
            <w:pPr>
              <w:spacing w:before="60"/>
            </w:pPr>
            <w:r>
              <w:t>9.3.3.21.1 (g)</w:t>
            </w:r>
          </w:p>
        </w:tc>
        <w:tc>
          <w:tcPr>
            <w:tcW w:w="2643" w:type="dxa"/>
            <w:shd w:val="clear" w:color="auto" w:fill="auto"/>
          </w:tcPr>
          <w:p w14:paraId="1DC14E49" w14:textId="77777777" w:rsidR="00CB42B6" w:rsidRDefault="00CB42B6" w:rsidP="00CB42B6">
            <w:pPr>
              <w:spacing w:before="60"/>
            </w:pPr>
            <w:r>
              <w:t>Explosion group/subgroup</w:t>
            </w:r>
          </w:p>
        </w:tc>
        <w:tc>
          <w:tcPr>
            <w:tcW w:w="3339" w:type="dxa"/>
            <w:shd w:val="clear" w:color="auto" w:fill="auto"/>
          </w:tcPr>
          <w:p w14:paraId="1BE4FE1E" w14:textId="77777777" w:rsidR="00CB42B6" w:rsidRDefault="00CB42B6" w:rsidP="00CB42B6">
            <w:pPr>
              <w:spacing w:before="60"/>
            </w:pPr>
            <w:r>
              <w:t>N.R.M. From 1 January 2019</w:t>
            </w:r>
          </w:p>
          <w:p w14:paraId="3AF59632" w14:textId="77777777" w:rsidR="00CB42B6" w:rsidRDefault="00CB42B6" w:rsidP="00CB42B6">
            <w:pPr>
              <w:spacing w:before="60" w:after="60"/>
            </w:pPr>
            <w:r>
              <w:t xml:space="preserve">Renewal of the certificate of approval after 31 December </w:t>
            </w:r>
            <w:r w:rsidRPr="009D7FAC">
              <w:rPr>
                <w:strike/>
              </w:rPr>
              <w:t>2024</w:t>
            </w:r>
            <w:r>
              <w:t xml:space="preserve"> </w:t>
            </w:r>
            <w:r>
              <w:rPr>
                <w:b/>
                <w:u w:val="single"/>
              </w:rPr>
              <w:t>2018</w:t>
            </w:r>
          </w:p>
        </w:tc>
      </w:tr>
      <w:tr w:rsidR="00CB42B6" w14:paraId="65883467" w14:textId="77777777" w:rsidTr="00CB42B6">
        <w:tc>
          <w:tcPr>
            <w:tcW w:w="1388" w:type="dxa"/>
            <w:shd w:val="clear" w:color="auto" w:fill="auto"/>
          </w:tcPr>
          <w:p w14:paraId="7B8790BB" w14:textId="77777777" w:rsidR="00CB42B6" w:rsidRDefault="00CB42B6" w:rsidP="00CB42B6">
            <w:r>
              <w:t>…</w:t>
            </w:r>
          </w:p>
        </w:tc>
        <w:tc>
          <w:tcPr>
            <w:tcW w:w="2643" w:type="dxa"/>
            <w:shd w:val="clear" w:color="auto" w:fill="auto"/>
          </w:tcPr>
          <w:p w14:paraId="1AC84641" w14:textId="77777777" w:rsidR="00CB42B6" w:rsidRDefault="00CB42B6" w:rsidP="00CB42B6">
            <w:r>
              <w:t>…</w:t>
            </w:r>
          </w:p>
        </w:tc>
        <w:tc>
          <w:tcPr>
            <w:tcW w:w="3339" w:type="dxa"/>
            <w:shd w:val="clear" w:color="auto" w:fill="auto"/>
          </w:tcPr>
          <w:p w14:paraId="103BE9E2" w14:textId="77777777" w:rsidR="00CB42B6" w:rsidRDefault="00CB42B6" w:rsidP="00CB42B6">
            <w:r>
              <w:t>…</w:t>
            </w:r>
          </w:p>
        </w:tc>
      </w:tr>
      <w:tr w:rsidR="00CB42B6" w14:paraId="1C02D839" w14:textId="77777777" w:rsidTr="00CB42B6">
        <w:tc>
          <w:tcPr>
            <w:tcW w:w="1388" w:type="dxa"/>
            <w:shd w:val="clear" w:color="auto" w:fill="auto"/>
          </w:tcPr>
          <w:p w14:paraId="354F4130" w14:textId="77777777" w:rsidR="00CB42B6" w:rsidRDefault="00CB42B6" w:rsidP="00CB42B6">
            <w:r>
              <w:t>9.3.2.22.4 (e)</w:t>
            </w:r>
          </w:p>
          <w:p w14:paraId="3C84AC40" w14:textId="77777777" w:rsidR="00CB42B6" w:rsidRPr="00AB2F9E" w:rsidRDefault="00CB42B6" w:rsidP="00CB42B6">
            <w:r w:rsidRPr="00AB2F9E">
              <w:t>9.3.3.22.4 (d)</w:t>
            </w:r>
          </w:p>
        </w:tc>
        <w:tc>
          <w:tcPr>
            <w:tcW w:w="2643" w:type="dxa"/>
            <w:shd w:val="clear" w:color="auto" w:fill="auto"/>
          </w:tcPr>
          <w:p w14:paraId="48D0D69C" w14:textId="77777777" w:rsidR="00CB42B6" w:rsidRDefault="00CB42B6" w:rsidP="00CB42B6">
            <w:r>
              <w:t>Explosion group/subgroup</w:t>
            </w:r>
          </w:p>
        </w:tc>
        <w:tc>
          <w:tcPr>
            <w:tcW w:w="3339" w:type="dxa"/>
            <w:shd w:val="clear" w:color="auto" w:fill="auto"/>
          </w:tcPr>
          <w:p w14:paraId="0EC603D4" w14:textId="77777777" w:rsidR="00CB42B6" w:rsidRDefault="00CB42B6" w:rsidP="00CB42B6">
            <w:r>
              <w:t>N.R.M. From 1 January 2019</w:t>
            </w:r>
          </w:p>
          <w:p w14:paraId="5D8D97BB" w14:textId="77777777" w:rsidR="00CB42B6" w:rsidRPr="00AB2F9E" w:rsidRDefault="00CB42B6" w:rsidP="00CB42B6">
            <w:pPr>
              <w:spacing w:before="60" w:after="60"/>
              <w:rPr>
                <w:b/>
                <w:u w:val="single"/>
              </w:rPr>
            </w:pPr>
            <w:r>
              <w:lastRenderedPageBreak/>
              <w:t xml:space="preserve">Renewal of the certificate of approval after 31 December </w:t>
            </w:r>
            <w:r w:rsidRPr="00AB2F9E">
              <w:rPr>
                <w:strike/>
              </w:rPr>
              <w:t>2024</w:t>
            </w:r>
            <w:r w:rsidRPr="00AB2F9E">
              <w:t xml:space="preserve"> </w:t>
            </w:r>
            <w:r w:rsidRPr="00AB2F9E">
              <w:rPr>
                <w:b/>
                <w:u w:val="single"/>
              </w:rPr>
              <w:t>2018</w:t>
            </w:r>
          </w:p>
        </w:tc>
      </w:tr>
      <w:tr w:rsidR="00CB42B6" w14:paraId="105F145D" w14:textId="77777777" w:rsidTr="00CB42B6">
        <w:tc>
          <w:tcPr>
            <w:tcW w:w="1388" w:type="dxa"/>
            <w:shd w:val="clear" w:color="auto" w:fill="auto"/>
          </w:tcPr>
          <w:p w14:paraId="342DBCC7" w14:textId="77777777" w:rsidR="00CB42B6" w:rsidRPr="009D7FAC" w:rsidRDefault="00CB42B6" w:rsidP="00CB42B6">
            <w:r>
              <w:lastRenderedPageBreak/>
              <w:t>...</w:t>
            </w:r>
          </w:p>
        </w:tc>
        <w:tc>
          <w:tcPr>
            <w:tcW w:w="2643" w:type="dxa"/>
            <w:shd w:val="clear" w:color="auto" w:fill="auto"/>
          </w:tcPr>
          <w:p w14:paraId="59AFEF5D" w14:textId="77777777" w:rsidR="00CB42B6" w:rsidRPr="009D7FAC" w:rsidRDefault="00CB42B6" w:rsidP="00CB42B6">
            <w:r>
              <w:t>…</w:t>
            </w:r>
          </w:p>
        </w:tc>
        <w:tc>
          <w:tcPr>
            <w:tcW w:w="3339" w:type="dxa"/>
            <w:shd w:val="clear" w:color="auto" w:fill="auto"/>
          </w:tcPr>
          <w:p w14:paraId="4D7EB127" w14:textId="77777777" w:rsidR="00CB42B6" w:rsidRPr="009D7FAC" w:rsidRDefault="00CB42B6" w:rsidP="00CB42B6">
            <w:r>
              <w:t>…</w:t>
            </w:r>
          </w:p>
        </w:tc>
      </w:tr>
      <w:tr w:rsidR="00CB42B6" w14:paraId="0E6F7B77" w14:textId="77777777" w:rsidTr="00CB42B6">
        <w:tc>
          <w:tcPr>
            <w:tcW w:w="1388" w:type="dxa"/>
            <w:shd w:val="clear" w:color="auto" w:fill="auto"/>
          </w:tcPr>
          <w:p w14:paraId="2A9CFC8B" w14:textId="77777777" w:rsidR="00CB42B6" w:rsidRDefault="00CB42B6" w:rsidP="00CB42B6">
            <w:pPr>
              <w:spacing w:before="60"/>
            </w:pPr>
            <w:r>
              <w:t>9.3.2.26.2</w:t>
            </w:r>
          </w:p>
          <w:p w14:paraId="63912248" w14:textId="77777777" w:rsidR="00CB42B6" w:rsidRPr="009D7FAC" w:rsidRDefault="00CB42B6" w:rsidP="00CB42B6">
            <w:pPr>
              <w:spacing w:before="60"/>
            </w:pPr>
            <w:r>
              <w:t>9.3.3.26.2 (b)</w:t>
            </w:r>
          </w:p>
        </w:tc>
        <w:tc>
          <w:tcPr>
            <w:tcW w:w="2643" w:type="dxa"/>
            <w:shd w:val="clear" w:color="auto" w:fill="auto"/>
          </w:tcPr>
          <w:p w14:paraId="51DD106D" w14:textId="77777777" w:rsidR="00CB42B6" w:rsidRPr="009D7FAC" w:rsidRDefault="00CB42B6" w:rsidP="00CB42B6">
            <w:pPr>
              <w:spacing w:before="60"/>
            </w:pPr>
            <w:r>
              <w:t>Explosion group/subgroup</w:t>
            </w:r>
          </w:p>
        </w:tc>
        <w:tc>
          <w:tcPr>
            <w:tcW w:w="3339" w:type="dxa"/>
            <w:shd w:val="clear" w:color="auto" w:fill="auto"/>
          </w:tcPr>
          <w:p w14:paraId="28CC117F" w14:textId="77777777" w:rsidR="00CB42B6" w:rsidRDefault="00CB42B6" w:rsidP="00CB42B6">
            <w:pPr>
              <w:spacing w:before="60"/>
            </w:pPr>
            <w:r>
              <w:t>N.R.M. From 1 January 2019</w:t>
            </w:r>
          </w:p>
          <w:p w14:paraId="37C7FE31" w14:textId="77777777" w:rsidR="00CB42B6" w:rsidRPr="009D7FAC" w:rsidRDefault="00CB42B6" w:rsidP="00CB42B6">
            <w:pPr>
              <w:spacing w:before="60" w:after="60"/>
            </w:pPr>
            <w:r>
              <w:t xml:space="preserve">Renewal of the certificate of approval after 31 December </w:t>
            </w:r>
            <w:r w:rsidRPr="009E1A03">
              <w:rPr>
                <w:strike/>
              </w:rPr>
              <w:t>2024</w:t>
            </w:r>
            <w:r w:rsidRPr="009E1A03">
              <w:t xml:space="preserve"> </w:t>
            </w:r>
            <w:r w:rsidRPr="009E1A03">
              <w:rPr>
                <w:b/>
                <w:u w:val="single"/>
              </w:rPr>
              <w:t>2018</w:t>
            </w:r>
          </w:p>
        </w:tc>
      </w:tr>
      <w:tr w:rsidR="00CB42B6" w:rsidRPr="000432ED" w14:paraId="3B02DF68" w14:textId="77777777" w:rsidTr="00CB42B6">
        <w:tc>
          <w:tcPr>
            <w:tcW w:w="1388" w:type="dxa"/>
            <w:shd w:val="clear" w:color="auto" w:fill="auto"/>
          </w:tcPr>
          <w:p w14:paraId="65E039A7" w14:textId="77777777" w:rsidR="00CB42B6" w:rsidRPr="000432ED" w:rsidRDefault="00CB42B6" w:rsidP="00CB42B6">
            <w:r>
              <w:t>…</w:t>
            </w:r>
          </w:p>
        </w:tc>
        <w:tc>
          <w:tcPr>
            <w:tcW w:w="2643" w:type="dxa"/>
            <w:shd w:val="clear" w:color="auto" w:fill="auto"/>
          </w:tcPr>
          <w:p w14:paraId="6610A910" w14:textId="77777777" w:rsidR="00CB42B6" w:rsidRPr="000432ED" w:rsidRDefault="00CB42B6" w:rsidP="00CB42B6">
            <w:r>
              <w:t>…</w:t>
            </w:r>
          </w:p>
        </w:tc>
        <w:tc>
          <w:tcPr>
            <w:tcW w:w="3339" w:type="dxa"/>
            <w:shd w:val="clear" w:color="auto" w:fill="auto"/>
          </w:tcPr>
          <w:p w14:paraId="2832AC25" w14:textId="77777777" w:rsidR="00CB42B6" w:rsidRPr="000432ED" w:rsidRDefault="00CB42B6" w:rsidP="00CB42B6">
            <w:r>
              <w:t>…</w:t>
            </w:r>
          </w:p>
        </w:tc>
      </w:tr>
    </w:tbl>
    <w:p w14:paraId="78417C0F" w14:textId="77777777" w:rsidR="00CB42B6" w:rsidRDefault="00CB42B6" w:rsidP="00CB42B6">
      <w:pPr>
        <w:pStyle w:val="SingleTxtG"/>
        <w:spacing w:before="120" w:line="276" w:lineRule="auto"/>
      </w:pPr>
      <w:r>
        <w:t>”</w:t>
      </w:r>
    </w:p>
    <w:p w14:paraId="03413F24" w14:textId="77777777" w:rsidR="00CB42B6" w:rsidRDefault="00CB42B6" w:rsidP="00CB42B6">
      <w:pPr>
        <w:pStyle w:val="SingleTxtG"/>
        <w:spacing w:before="120" w:line="276" w:lineRule="auto"/>
      </w:pPr>
      <w:r>
        <w:t>7.</w:t>
      </w:r>
      <w:r>
        <w:tab/>
        <w:t>The transitional provisions in the current ADN contain two other provision regarding the explosion (sub)group. These are related to non-electric and electric installations and equipment (9.3.X.53.1). If autonomous protection systems should be considered as non-electrical installations, it is desirable to clarify this transitional provision in 1.6.7.2.2.2 of the Regulations annexed to ADN. According to the Dutch delegation it is important to consider the transitional provisions mentioned in paragraph 6 as more specific transitional provisions, which should take precedence over the more generic transitional provision on non-electric installations and equipment (9.3.X.53.1).</w:t>
      </w:r>
    </w:p>
    <w:p w14:paraId="79200CEF" w14:textId="77777777" w:rsidR="00CB42B6" w:rsidRPr="005D2090" w:rsidRDefault="00CB42B6" w:rsidP="00CB42B6">
      <w:pPr>
        <w:pStyle w:val="HChG"/>
      </w:pPr>
      <w:r>
        <w:tab/>
        <w:t>II.</w:t>
      </w:r>
      <w:r>
        <w:tab/>
      </w:r>
      <w:r>
        <w:tab/>
        <w:t>M 018</w:t>
      </w:r>
    </w:p>
    <w:p w14:paraId="5D9D2A41" w14:textId="77777777" w:rsidR="00CB42B6" w:rsidRDefault="00CB42B6" w:rsidP="00CB42B6">
      <w:pPr>
        <w:pStyle w:val="SingleTxtG"/>
        <w:spacing w:before="120" w:line="276" w:lineRule="auto"/>
      </w:pPr>
      <w:r>
        <w:t>8.</w:t>
      </w:r>
      <w:r>
        <w:tab/>
        <w:t>If the amendments proposed in paragraph 6 are adopted, M 018 becomes superfluous as from 1 January 2021. The eight signatory Contracting Parties should in this case prepare the revocation of M 018 from this date.</w:t>
      </w:r>
    </w:p>
    <w:p w14:paraId="716AF313" w14:textId="77777777" w:rsidR="00CB42B6" w:rsidRPr="005D2090" w:rsidRDefault="00CB42B6" w:rsidP="00CB42B6">
      <w:pPr>
        <w:pStyle w:val="HChG"/>
      </w:pPr>
      <w:r>
        <w:tab/>
        <w:t>I</w:t>
      </w:r>
      <w:r w:rsidR="00722ED5">
        <w:t>II</w:t>
      </w:r>
      <w:r>
        <w:t>.</w:t>
      </w:r>
      <w:r>
        <w:tab/>
      </w:r>
      <w:r>
        <w:tab/>
        <w:t>Conclusion</w:t>
      </w:r>
    </w:p>
    <w:p w14:paraId="2EFC1C96" w14:textId="77777777" w:rsidR="00CB42B6" w:rsidRDefault="00CB42B6" w:rsidP="00CB42B6">
      <w:pPr>
        <w:pStyle w:val="SingleTxtG"/>
        <w:spacing w:before="120" w:line="276" w:lineRule="auto"/>
      </w:pPr>
      <w:r>
        <w:t>9.</w:t>
      </w:r>
      <w:r>
        <w:tab/>
        <w:t>The Dutch delegation invites the Safety Committee to discuss and adopt the proposed amendments in paragraph 6, and subsequently requests the involved Contracting Parties to withdraw their support for M 018 as from 1 January 2021.</w:t>
      </w:r>
    </w:p>
    <w:p w14:paraId="18E16390" w14:textId="77777777" w:rsidR="00CB42B6" w:rsidRPr="00CB42B6" w:rsidRDefault="00CB42B6" w:rsidP="00CB42B6">
      <w:pPr>
        <w:spacing w:before="240"/>
        <w:jc w:val="center"/>
        <w:rPr>
          <w:u w:val="single"/>
        </w:rPr>
      </w:pPr>
      <w:r>
        <w:rPr>
          <w:u w:val="single"/>
        </w:rPr>
        <w:tab/>
      </w:r>
      <w:r>
        <w:rPr>
          <w:u w:val="single"/>
        </w:rPr>
        <w:tab/>
      </w:r>
      <w:r>
        <w:rPr>
          <w:u w:val="single"/>
        </w:rPr>
        <w:tab/>
      </w:r>
    </w:p>
    <w:sectPr w:rsidR="00CB42B6" w:rsidRPr="00CB42B6" w:rsidSect="00A66A9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BFA0" w14:textId="77777777" w:rsidR="00A66A97" w:rsidRDefault="00A66A97"/>
  </w:endnote>
  <w:endnote w:type="continuationSeparator" w:id="0">
    <w:p w14:paraId="095364CF" w14:textId="77777777" w:rsidR="00A66A97" w:rsidRDefault="00A66A97"/>
  </w:endnote>
  <w:endnote w:type="continuationNotice" w:id="1">
    <w:p w14:paraId="76C898F7" w14:textId="77777777" w:rsidR="00A66A97" w:rsidRDefault="00A6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D0C" w14:textId="77777777" w:rsidR="00A66A97" w:rsidRPr="00A66A97" w:rsidRDefault="00A66A97" w:rsidP="00A66A97">
    <w:pPr>
      <w:pStyle w:val="Footer"/>
      <w:tabs>
        <w:tab w:val="right" w:pos="9638"/>
      </w:tabs>
      <w:rPr>
        <w:sz w:val="18"/>
      </w:rPr>
    </w:pPr>
    <w:r w:rsidRPr="00A66A97">
      <w:rPr>
        <w:b/>
        <w:sz w:val="18"/>
      </w:rPr>
      <w:fldChar w:fldCharType="begin"/>
    </w:r>
    <w:r w:rsidRPr="00A66A97">
      <w:rPr>
        <w:b/>
        <w:sz w:val="18"/>
      </w:rPr>
      <w:instrText xml:space="preserve"> PAGE  \* MERGEFORMAT </w:instrText>
    </w:r>
    <w:r w:rsidRPr="00A66A97">
      <w:rPr>
        <w:b/>
        <w:sz w:val="18"/>
      </w:rPr>
      <w:fldChar w:fldCharType="separate"/>
    </w:r>
    <w:r w:rsidRPr="00A66A97">
      <w:rPr>
        <w:b/>
        <w:noProof/>
        <w:sz w:val="18"/>
      </w:rPr>
      <w:t>2</w:t>
    </w:r>
    <w:r w:rsidRPr="00A66A9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72E0" w14:textId="77777777" w:rsidR="00A66A97" w:rsidRPr="00A66A97" w:rsidRDefault="00A66A97" w:rsidP="00A66A97">
    <w:pPr>
      <w:pStyle w:val="Footer"/>
      <w:tabs>
        <w:tab w:val="right" w:pos="9638"/>
      </w:tabs>
      <w:rPr>
        <w:b/>
        <w:sz w:val="18"/>
      </w:rPr>
    </w:pPr>
    <w:r>
      <w:tab/>
    </w:r>
    <w:r w:rsidRPr="00A66A97">
      <w:rPr>
        <w:b/>
        <w:sz w:val="18"/>
      </w:rPr>
      <w:fldChar w:fldCharType="begin"/>
    </w:r>
    <w:r w:rsidRPr="00A66A97">
      <w:rPr>
        <w:b/>
        <w:sz w:val="18"/>
      </w:rPr>
      <w:instrText xml:space="preserve"> PAGE  \* MERGEFORMAT </w:instrText>
    </w:r>
    <w:r w:rsidRPr="00A66A97">
      <w:rPr>
        <w:b/>
        <w:sz w:val="18"/>
      </w:rPr>
      <w:fldChar w:fldCharType="separate"/>
    </w:r>
    <w:r w:rsidRPr="00A66A97">
      <w:rPr>
        <w:b/>
        <w:noProof/>
        <w:sz w:val="18"/>
      </w:rPr>
      <w:t>3</w:t>
    </w:r>
    <w:r w:rsidRPr="00A66A9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D766" w14:textId="77777777" w:rsidR="00A66A97" w:rsidRPr="000B175B" w:rsidRDefault="00A66A97" w:rsidP="000B175B">
      <w:pPr>
        <w:tabs>
          <w:tab w:val="right" w:pos="2155"/>
        </w:tabs>
        <w:spacing w:after="80"/>
        <w:ind w:left="680"/>
        <w:rPr>
          <w:u w:val="single"/>
        </w:rPr>
      </w:pPr>
      <w:r>
        <w:rPr>
          <w:u w:val="single"/>
        </w:rPr>
        <w:tab/>
      </w:r>
    </w:p>
  </w:footnote>
  <w:footnote w:type="continuationSeparator" w:id="0">
    <w:p w14:paraId="35BFD3A0" w14:textId="77777777" w:rsidR="00A66A97" w:rsidRPr="00FC68B7" w:rsidRDefault="00A66A97" w:rsidP="00FC68B7">
      <w:pPr>
        <w:tabs>
          <w:tab w:val="left" w:pos="2155"/>
        </w:tabs>
        <w:spacing w:after="80"/>
        <w:ind w:left="680"/>
        <w:rPr>
          <w:u w:val="single"/>
        </w:rPr>
      </w:pPr>
      <w:r>
        <w:rPr>
          <w:u w:val="single"/>
        </w:rPr>
        <w:tab/>
      </w:r>
    </w:p>
  </w:footnote>
  <w:footnote w:type="continuationNotice" w:id="1">
    <w:p w14:paraId="2B068CE9" w14:textId="77777777" w:rsidR="00A66A97" w:rsidRDefault="00A66A97"/>
  </w:footnote>
  <w:footnote w:id="2">
    <w:p w14:paraId="7729D5C2" w14:textId="77777777" w:rsidR="008E246B" w:rsidRPr="004D45CD" w:rsidRDefault="008E246B" w:rsidP="008E246B">
      <w:pPr>
        <w:pStyle w:val="FootnoteText"/>
      </w:pPr>
      <w:r>
        <w:rPr>
          <w:rStyle w:val="FootnoteReference"/>
        </w:rPr>
        <w:tab/>
      </w:r>
      <w:r w:rsidRPr="00424130">
        <w:rPr>
          <w:rStyle w:val="FootnoteReference"/>
          <w:sz w:val="20"/>
          <w:vertAlign w:val="baseline"/>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12</w:t>
      </w:r>
      <w:r w:rsidRPr="00632167">
        <w:rPr>
          <w:szCs w:val="18"/>
        </w:rPr>
        <w:t>.</w:t>
      </w:r>
    </w:p>
  </w:footnote>
  <w:footnote w:id="3">
    <w:p w14:paraId="1AFA7AF3" w14:textId="77777777" w:rsidR="008E246B" w:rsidRPr="00115055" w:rsidRDefault="008E246B" w:rsidP="008E246B">
      <w:pPr>
        <w:pStyle w:val="FootnoteText"/>
        <w:widowControl w:val="0"/>
      </w:pPr>
      <w:r>
        <w:rPr>
          <w:rStyle w:val="FootnoteReference"/>
        </w:rPr>
        <w:tab/>
      </w:r>
      <w:r w:rsidRPr="00424130">
        <w:rPr>
          <w:rStyle w:val="FootnoteReference"/>
          <w:sz w:val="20"/>
          <w:vertAlign w:val="baseline"/>
        </w:rPr>
        <w:t>**</w:t>
      </w:r>
      <w:r>
        <w:rPr>
          <w:rStyle w:val="FootnoteReference"/>
          <w:sz w:val="20"/>
          <w:vertAlign w:val="baseline"/>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14:paraId="164B7F57" w14:textId="77777777" w:rsidR="008E246B" w:rsidRPr="004D45CD" w:rsidRDefault="008E246B" w:rsidP="008E24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657D" w14:textId="3BD972BF" w:rsidR="00A66A97" w:rsidRPr="00A66A97" w:rsidRDefault="00BE35F5">
    <w:pPr>
      <w:pStyle w:val="Header"/>
    </w:pPr>
    <w:r>
      <w:fldChar w:fldCharType="begin"/>
    </w:r>
    <w:r>
      <w:instrText xml:space="preserve"> TITLE  \* MERGE</w:instrText>
    </w:r>
    <w:r>
      <w:instrText xml:space="preserve">FORMAT </w:instrText>
    </w:r>
    <w:r>
      <w:fldChar w:fldCharType="separate"/>
    </w:r>
    <w:r>
      <w:t>ECE/TRANS/WP.15/AC.2/2020/12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49F0" w14:textId="34282D5E" w:rsidR="00A66A97" w:rsidRPr="00A66A97" w:rsidRDefault="00BE35F5" w:rsidP="00A66A97">
    <w:pPr>
      <w:pStyle w:val="Header"/>
      <w:jc w:val="right"/>
    </w:pPr>
    <w:r>
      <w:fldChar w:fldCharType="begin"/>
    </w:r>
    <w:r>
      <w:instrText xml:space="preserve"> TITLE  \* MERGEFORMAT </w:instrText>
    </w:r>
    <w:r>
      <w:fldChar w:fldCharType="separate"/>
    </w:r>
    <w:r>
      <w:t>ECE/TRANS/WP.15/AC.2/2020/12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7"/>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2BEA"/>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66074"/>
    <w:rsid w:val="00584173"/>
    <w:rsid w:val="00595520"/>
    <w:rsid w:val="005A44B9"/>
    <w:rsid w:val="005B1BA0"/>
    <w:rsid w:val="005B3DB3"/>
    <w:rsid w:val="005D15CA"/>
    <w:rsid w:val="005D7969"/>
    <w:rsid w:val="005E1297"/>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2ED5"/>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246B"/>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6A97"/>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5F5"/>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115B"/>
    <w:rsid w:val="00CA24A4"/>
    <w:rsid w:val="00CB348D"/>
    <w:rsid w:val="00CB42B6"/>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095C8C"/>
  <w15:docId w15:val="{09611409-E6A2-4903-A7B1-FB4634A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8E246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F76F-252E-4505-9244-F4BC7038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29</TotalTime>
  <Pages>3</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ECE/TRANS/WP.15/AC.2/2020/12</vt:lpstr>
      <vt:lpstr/>
    </vt:vector>
  </TitlesOfParts>
  <Company>CSD</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ECE/TRANS/WP.15/AC.2/2020/12</dc:title>
  <dc:creator>Marie-Claude Collet</dc:creator>
  <cp:lastModifiedBy>Marie-Claude Collet</cp:lastModifiedBy>
  <cp:revision>9</cp:revision>
  <cp:lastPrinted>2019-11-12T07:16:00Z</cp:lastPrinted>
  <dcterms:created xsi:type="dcterms:W3CDTF">2019-11-05T15:01:00Z</dcterms:created>
  <dcterms:modified xsi:type="dcterms:W3CDTF">2019-11-12T07:16:00Z</dcterms:modified>
</cp:coreProperties>
</file>