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5A1400" w:rsidTr="00691F20">
        <w:trPr>
          <w:cantSplit/>
          <w:trHeight w:hRule="exact" w:val="851"/>
        </w:trPr>
        <w:tc>
          <w:tcPr>
            <w:tcW w:w="9639" w:type="dxa"/>
            <w:tcBorders>
              <w:bottom w:val="single" w:sz="4" w:space="0" w:color="auto"/>
            </w:tcBorders>
            <w:vAlign w:val="bottom"/>
          </w:tcPr>
          <w:p w:rsidR="0099001C" w:rsidRPr="005A1400" w:rsidRDefault="0099001C" w:rsidP="005A1400">
            <w:pPr>
              <w:jc w:val="right"/>
              <w:rPr>
                <w:b/>
                <w:sz w:val="40"/>
                <w:szCs w:val="40"/>
              </w:rPr>
            </w:pPr>
            <w:r w:rsidRPr="005A1400">
              <w:rPr>
                <w:b/>
                <w:sz w:val="40"/>
                <w:szCs w:val="40"/>
              </w:rPr>
              <w:t>UN/SCEGHS/</w:t>
            </w:r>
            <w:r w:rsidR="00664234" w:rsidRPr="005A1400">
              <w:rPr>
                <w:b/>
                <w:sz w:val="40"/>
                <w:szCs w:val="40"/>
              </w:rPr>
              <w:t>3</w:t>
            </w:r>
            <w:r w:rsidR="00C008DF">
              <w:rPr>
                <w:b/>
                <w:sz w:val="40"/>
                <w:szCs w:val="40"/>
              </w:rPr>
              <w:t>8</w:t>
            </w:r>
            <w:r w:rsidRPr="005A1400">
              <w:rPr>
                <w:b/>
                <w:sz w:val="40"/>
                <w:szCs w:val="40"/>
              </w:rPr>
              <w:t>/INF.</w:t>
            </w:r>
            <w:r w:rsidR="00B71163">
              <w:rPr>
                <w:b/>
                <w:sz w:val="40"/>
                <w:szCs w:val="40"/>
              </w:rPr>
              <w:t>28</w:t>
            </w:r>
          </w:p>
        </w:tc>
      </w:tr>
      <w:tr w:rsidR="0099001C" w:rsidRPr="005A1400" w:rsidTr="008B6E26">
        <w:trPr>
          <w:cantSplit/>
          <w:trHeight w:hRule="exact" w:val="3114"/>
        </w:trPr>
        <w:tc>
          <w:tcPr>
            <w:tcW w:w="9639" w:type="dxa"/>
            <w:tcBorders>
              <w:top w:val="single" w:sz="4" w:space="0" w:color="auto"/>
            </w:tcBorders>
          </w:tcPr>
          <w:p w:rsidR="00965932" w:rsidRPr="005A1400" w:rsidRDefault="00965932" w:rsidP="00965932">
            <w:pPr>
              <w:spacing w:before="120"/>
              <w:rPr>
                <w:b/>
                <w:sz w:val="24"/>
                <w:szCs w:val="24"/>
                <w:lang w:val="en-US"/>
              </w:rPr>
            </w:pPr>
            <w:r w:rsidRPr="005A1400">
              <w:rPr>
                <w:b/>
                <w:sz w:val="24"/>
                <w:szCs w:val="24"/>
                <w:lang w:val="en-US"/>
              </w:rPr>
              <w:t>Committee of Experts on the Transport of Dangerous Goods</w:t>
            </w:r>
            <w:r w:rsidRPr="005A1400">
              <w:rPr>
                <w:b/>
                <w:sz w:val="24"/>
                <w:szCs w:val="24"/>
                <w:lang w:val="en-US"/>
              </w:rPr>
              <w:br/>
              <w:t>and on the Globally Harmonized System of Classification</w:t>
            </w:r>
            <w:r w:rsidRPr="005A1400">
              <w:rPr>
                <w:b/>
                <w:sz w:val="24"/>
                <w:szCs w:val="24"/>
                <w:lang w:val="en-US"/>
              </w:rPr>
              <w:br/>
              <w:t>and Labelling of Chemicals</w:t>
            </w:r>
          </w:p>
          <w:p w:rsidR="00965932" w:rsidRPr="005A1400" w:rsidRDefault="00965932" w:rsidP="00965932">
            <w:pPr>
              <w:tabs>
                <w:tab w:val="left" w:pos="7230"/>
                <w:tab w:val="right" w:pos="9300"/>
              </w:tabs>
              <w:spacing w:before="120"/>
              <w:rPr>
                <w:rFonts w:ascii="Helv" w:hAnsi="Helv" w:cs="Helv"/>
                <w:b/>
                <w:color w:val="000000"/>
                <w:lang w:val="en-US"/>
              </w:rPr>
            </w:pPr>
            <w:r w:rsidRPr="005A1400">
              <w:rPr>
                <w:b/>
                <w:lang w:val="en-US"/>
              </w:rPr>
              <w:t>Sub-Committee of Experts on the Globally Harmonized</w:t>
            </w:r>
            <w:r w:rsidRPr="005A1400">
              <w:rPr>
                <w:b/>
                <w:lang w:val="en-US"/>
              </w:rPr>
              <w:br/>
              <w:t>System of Classification and Labelling of Chemicals</w:t>
            </w:r>
            <w:r w:rsidRPr="005A1400">
              <w:rPr>
                <w:b/>
                <w:lang w:val="en-US"/>
              </w:rPr>
              <w:tab/>
            </w:r>
            <w:r w:rsidR="001B06A5" w:rsidRPr="005A1400">
              <w:rPr>
                <w:b/>
                <w:lang w:val="en-US"/>
              </w:rPr>
              <w:tab/>
            </w:r>
            <w:r w:rsidR="00C008DF">
              <w:rPr>
                <w:b/>
                <w:lang w:val="en-US"/>
              </w:rPr>
              <w:t>10</w:t>
            </w:r>
            <w:r w:rsidR="001C187F">
              <w:rPr>
                <w:b/>
                <w:lang w:val="en-US"/>
              </w:rPr>
              <w:t xml:space="preserve"> December</w:t>
            </w:r>
            <w:r w:rsidR="009738B3">
              <w:rPr>
                <w:b/>
                <w:lang w:val="en-US"/>
              </w:rPr>
              <w:t xml:space="preserve"> 201</w:t>
            </w:r>
            <w:r w:rsidR="00C008DF">
              <w:rPr>
                <w:b/>
                <w:lang w:val="en-US"/>
              </w:rPr>
              <w:t>9</w:t>
            </w:r>
          </w:p>
          <w:p w:rsidR="00965932" w:rsidRPr="005A1400" w:rsidRDefault="00965932" w:rsidP="00965932">
            <w:pPr>
              <w:jc w:val="both"/>
              <w:rPr>
                <w:b/>
                <w:lang w:val="en-US"/>
              </w:rPr>
            </w:pPr>
          </w:p>
          <w:p w:rsidR="00965932" w:rsidRPr="005A1400" w:rsidRDefault="00965932" w:rsidP="00965932">
            <w:pPr>
              <w:jc w:val="both"/>
            </w:pPr>
            <w:r w:rsidRPr="005A1400">
              <w:rPr>
                <w:b/>
              </w:rPr>
              <w:t>Thirty-</w:t>
            </w:r>
            <w:r w:rsidR="00C008DF">
              <w:rPr>
                <w:b/>
              </w:rPr>
              <w:t>eigh</w:t>
            </w:r>
            <w:r w:rsidR="001C187F">
              <w:rPr>
                <w:b/>
              </w:rPr>
              <w:t>th</w:t>
            </w:r>
            <w:r w:rsidRPr="005A1400">
              <w:rPr>
                <w:b/>
              </w:rPr>
              <w:t xml:space="preserve"> session</w:t>
            </w:r>
            <w:r w:rsidRPr="005A1400">
              <w:t xml:space="preserve"> </w:t>
            </w:r>
          </w:p>
          <w:p w:rsidR="001B06A5" w:rsidRPr="005A1400" w:rsidRDefault="001B06A5" w:rsidP="001B06A5">
            <w:pPr>
              <w:jc w:val="both"/>
            </w:pPr>
            <w:r w:rsidRPr="005A1400">
              <w:t>Geneva,</w:t>
            </w:r>
            <w:r w:rsidR="00C008DF">
              <w:t>11</w:t>
            </w:r>
            <w:r w:rsidRPr="005A1400">
              <w:t>-</w:t>
            </w:r>
            <w:r w:rsidR="00C008DF">
              <w:t>13</w:t>
            </w:r>
            <w:r w:rsidRPr="005A1400">
              <w:t xml:space="preserve"> </w:t>
            </w:r>
            <w:r w:rsidR="001C187F">
              <w:t>December</w:t>
            </w:r>
            <w:r w:rsidR="00664234" w:rsidRPr="005A1400">
              <w:t xml:space="preserve"> 201</w:t>
            </w:r>
            <w:r w:rsidR="00C008DF">
              <w:t>9</w:t>
            </w:r>
          </w:p>
          <w:p w:rsidR="0099001C" w:rsidRPr="005A1400" w:rsidRDefault="001B06A5" w:rsidP="005A1400">
            <w:pPr>
              <w:spacing w:before="40"/>
            </w:pPr>
            <w:r w:rsidRPr="005A1400">
              <w:t xml:space="preserve">Item </w:t>
            </w:r>
            <w:r w:rsidR="00C008DF">
              <w:t>2</w:t>
            </w:r>
            <w:r w:rsidR="00265243" w:rsidRPr="005A1400">
              <w:t xml:space="preserve"> </w:t>
            </w:r>
            <w:r w:rsidR="005A1400" w:rsidRPr="005A1400">
              <w:t xml:space="preserve">(a) </w:t>
            </w:r>
            <w:r w:rsidRPr="005A1400">
              <w:t>of the provisional agenda</w:t>
            </w:r>
          </w:p>
        </w:tc>
      </w:tr>
    </w:tbl>
    <w:p w:rsidR="00C00ACE" w:rsidRPr="00C00ACE" w:rsidRDefault="00965932" w:rsidP="00126F98">
      <w:pPr>
        <w:pStyle w:val="HChG"/>
        <w:spacing w:before="0"/>
      </w:pPr>
      <w:r w:rsidRPr="009E7ABD">
        <w:rPr>
          <w:rFonts w:eastAsia="MS Mincho"/>
          <w:lang w:val="en-US" w:eastAsia="ja-JP"/>
        </w:rPr>
        <w:tab/>
      </w:r>
      <w:r w:rsidR="00C00ACE">
        <w:rPr>
          <w:rFonts w:eastAsia="MS Mincho"/>
          <w:lang w:val="en-US" w:eastAsia="ja-JP"/>
        </w:rPr>
        <w:tab/>
      </w:r>
      <w:r w:rsidR="00C00ACE" w:rsidRPr="005A1400">
        <w:t>Work of the Sub-Committee of Experts on the Transport of</w:t>
      </w:r>
      <w:r w:rsidR="00C00ACE" w:rsidRPr="00C00ACE">
        <w:t xml:space="preserve"> Dangerous Goods on its fifty-</w:t>
      </w:r>
      <w:r w:rsidR="00C008DF">
        <w:t>six</w:t>
      </w:r>
      <w:r w:rsidR="001C187F">
        <w:t>th</w:t>
      </w:r>
      <w:r w:rsidR="00C00ACE" w:rsidRPr="00C00ACE">
        <w:t xml:space="preserve"> session on matters of interest to the GHS Sub-Committee</w:t>
      </w:r>
    </w:p>
    <w:p w:rsidR="00C00ACE" w:rsidRDefault="00C00ACE" w:rsidP="00C00ACE">
      <w:pPr>
        <w:pStyle w:val="H1G"/>
      </w:pPr>
      <w:r>
        <w:tab/>
      </w:r>
      <w:r>
        <w:tab/>
        <w:t>Note by the secretariat</w:t>
      </w:r>
    </w:p>
    <w:p w:rsidR="00E27CDD" w:rsidRPr="00F973A9" w:rsidRDefault="00C00ACE" w:rsidP="00C00ACE">
      <w:pPr>
        <w:pStyle w:val="SingleTxtG"/>
      </w:pPr>
      <w:r w:rsidRPr="00F973A9">
        <w:t xml:space="preserve">1. </w:t>
      </w:r>
      <w:r w:rsidRPr="00F973A9">
        <w:tab/>
        <w:t>At its fifty-</w:t>
      </w:r>
      <w:r w:rsidR="00C008DF" w:rsidRPr="00F973A9">
        <w:t>six</w:t>
      </w:r>
      <w:r w:rsidR="001C187F" w:rsidRPr="00F973A9">
        <w:t>th</w:t>
      </w:r>
      <w:r w:rsidRPr="00F973A9">
        <w:t xml:space="preserve"> session, the Sub-Committee of Experts on the Transport of Dangerous Goods (TDG Sub-Committee) considered matters o</w:t>
      </w:r>
      <w:r w:rsidR="007229DF" w:rsidRPr="00F973A9">
        <w:t>f</w:t>
      </w:r>
      <w:r w:rsidRPr="00F973A9">
        <w:t xml:space="preserve"> interest to the GHS Sub-Committee under items </w:t>
      </w:r>
      <w:r w:rsidR="00DB33C1" w:rsidRPr="00F973A9">
        <w:t>2</w:t>
      </w:r>
      <w:r w:rsidRPr="00F973A9">
        <w:t xml:space="preserve"> and </w:t>
      </w:r>
      <w:r w:rsidR="002B5FA9" w:rsidRPr="00F973A9">
        <w:t>10</w:t>
      </w:r>
      <w:r w:rsidRPr="00F973A9">
        <w:t xml:space="preserve"> of its agenda</w:t>
      </w:r>
      <w:r w:rsidR="00E30EE8" w:rsidRPr="00F973A9">
        <w:rPr>
          <w:rStyle w:val="FootnoteReference"/>
        </w:rPr>
        <w:footnoteReference w:id="2"/>
      </w:r>
      <w:r w:rsidRPr="00F973A9">
        <w:t>.</w:t>
      </w:r>
      <w:r w:rsidR="00E27CDD" w:rsidRPr="00F973A9">
        <w:t xml:space="preserve"> These included:</w:t>
      </w:r>
    </w:p>
    <w:p w:rsidR="002B5FA9" w:rsidRPr="00F973A9" w:rsidRDefault="00E27CDD" w:rsidP="00126F98">
      <w:pPr>
        <w:pStyle w:val="SingleTxtG"/>
        <w:spacing w:after="80" w:line="240" w:lineRule="auto"/>
        <w:ind w:left="2268" w:hanging="567"/>
      </w:pPr>
      <w:r w:rsidRPr="00F973A9">
        <w:t>(a)</w:t>
      </w:r>
      <w:r w:rsidRPr="00F973A9">
        <w:tab/>
        <w:t>Explosives and related matters</w:t>
      </w:r>
      <w:r w:rsidR="00A0275E" w:rsidRPr="00F973A9">
        <w:t>;</w:t>
      </w:r>
    </w:p>
    <w:p w:rsidR="00E27CDD" w:rsidRPr="00F973A9" w:rsidRDefault="002B5FA9" w:rsidP="00F973A9">
      <w:pPr>
        <w:pStyle w:val="SingleTxtG"/>
        <w:spacing w:after="80" w:line="240" w:lineRule="auto"/>
        <w:ind w:left="2268" w:hanging="567"/>
      </w:pPr>
      <w:r w:rsidRPr="00F973A9">
        <w:t>(b)</w:t>
      </w:r>
      <w:r w:rsidRPr="00F973A9">
        <w:tab/>
        <w:t>Issues relating to the Globally Harmonized System of Classification and Labelling of Chemicals.</w:t>
      </w:r>
    </w:p>
    <w:p w:rsidR="00231719" w:rsidRPr="00F973A9" w:rsidRDefault="002B5FA9" w:rsidP="00231719">
      <w:pPr>
        <w:pStyle w:val="SingleTxtG"/>
      </w:pPr>
      <w:r w:rsidRPr="00F973A9">
        <w:t>2</w:t>
      </w:r>
      <w:r w:rsidR="00231719" w:rsidRPr="00F973A9">
        <w:t>.</w:t>
      </w:r>
      <w:r w:rsidR="00231719" w:rsidRPr="00F973A9">
        <w:tab/>
        <w:t xml:space="preserve">The outcome of the discussions of the TDG Sub-Committee on matters of interest to the GHS Sub-Committee is summarized below. </w:t>
      </w:r>
    </w:p>
    <w:p w:rsidR="006D612A" w:rsidRDefault="002B5FA9" w:rsidP="00231719">
      <w:pPr>
        <w:pStyle w:val="SingleTxtG"/>
      </w:pPr>
      <w:r w:rsidRPr="00F973A9">
        <w:t>3</w:t>
      </w:r>
      <w:r w:rsidR="006D612A" w:rsidRPr="00F973A9">
        <w:t>.</w:t>
      </w:r>
      <w:r w:rsidR="006D612A" w:rsidRPr="00F973A9">
        <w:tab/>
        <w:t>Unless specified, informal documents listed are the informal documents submitted at the 36</w:t>
      </w:r>
      <w:r w:rsidR="006D612A" w:rsidRPr="00F973A9">
        <w:rPr>
          <w:vertAlign w:val="superscript"/>
        </w:rPr>
        <w:t>th</w:t>
      </w:r>
      <w:r w:rsidR="006D612A" w:rsidRPr="00F973A9">
        <w:t xml:space="preserve"> session of the GHS Sub-Committee.</w:t>
      </w:r>
    </w:p>
    <w:p w:rsidR="00C868BA" w:rsidRDefault="00C868BA" w:rsidP="00C868BA">
      <w:pPr>
        <w:pStyle w:val="H23G"/>
      </w:pPr>
      <w:r>
        <w:t xml:space="preserve">Item </w:t>
      </w:r>
      <w:r w:rsidR="00BB7437">
        <w:t>1</w:t>
      </w:r>
      <w:r>
        <w:tab/>
      </w:r>
      <w:r>
        <w:tab/>
      </w:r>
      <w:r w:rsidR="00691E44">
        <w:t>Tests for oxidizing liquids and oxidizing solids improvement regarding consideration for particle size, friable or coated materials</w:t>
      </w:r>
      <w:r w:rsidR="004B3C8E">
        <w:t xml:space="preserve"> (GHS Sub-Committee agenda item 2(a))</w:t>
      </w:r>
    </w:p>
    <w:p w:rsidR="00691E44" w:rsidRPr="000A0352" w:rsidRDefault="00691E44" w:rsidP="00691E44">
      <w:pPr>
        <w:pStyle w:val="SingleTxtG"/>
        <w:tabs>
          <w:tab w:val="left" w:pos="2977"/>
        </w:tabs>
        <w:rPr>
          <w:i/>
          <w:iCs/>
          <w:lang w:val="en-US"/>
        </w:rPr>
      </w:pPr>
      <w:r w:rsidRPr="006300BB">
        <w:rPr>
          <w:i/>
          <w:iCs/>
        </w:rPr>
        <w:t>Document</w:t>
      </w:r>
      <w:r>
        <w:rPr>
          <w:i/>
          <w:iCs/>
        </w:rPr>
        <w:t>:</w:t>
      </w:r>
      <w:r>
        <w:tab/>
      </w:r>
      <w:r>
        <w:rPr>
          <w:lang w:val="en-US"/>
        </w:rPr>
        <w:t>ST/SG/AC.10/C.4/2019/11 (France)</w:t>
      </w:r>
    </w:p>
    <w:p w:rsidR="00691E44" w:rsidRDefault="00691E44" w:rsidP="00691E44">
      <w:pPr>
        <w:pStyle w:val="SingleTxtG"/>
        <w:tabs>
          <w:tab w:val="left" w:pos="2977"/>
        </w:tabs>
      </w:pPr>
      <w:r>
        <w:rPr>
          <w:i/>
          <w:iCs/>
        </w:rPr>
        <w:t>Informal document:</w:t>
      </w:r>
      <w:r>
        <w:t xml:space="preserve"> </w:t>
      </w:r>
      <w:r>
        <w:tab/>
        <w:t>INF.18 (France)</w:t>
      </w:r>
    </w:p>
    <w:p w:rsidR="00691E44" w:rsidRDefault="002B5FA9" w:rsidP="00691E44">
      <w:pPr>
        <w:pStyle w:val="SingleTxtG"/>
      </w:pPr>
      <w:r>
        <w:t>4</w:t>
      </w:r>
      <w:r w:rsidR="00691E44" w:rsidRPr="0080002D">
        <w:t>.</w:t>
      </w:r>
      <w:r w:rsidR="00691E44" w:rsidRPr="0080002D">
        <w:tab/>
        <w:t xml:space="preserve">The </w:t>
      </w:r>
      <w:r w:rsidR="00691E44">
        <w:t xml:space="preserve">TDG </w:t>
      </w:r>
      <w:r w:rsidR="00691E44" w:rsidRPr="0080002D">
        <w:t>Sub-Committee took note of the preliminary findings of the Round Robin tests in paragraphs 7 and 8 of informal document INF.</w:t>
      </w:r>
      <w:r w:rsidR="00691E44">
        <w:t>18</w:t>
      </w:r>
      <w:r w:rsidR="00691E44" w:rsidRPr="0080002D">
        <w:t xml:space="preserve">. The expert from France indicated that ten laboratories had already completed the tests and that the evaluation of the results from the four remaining laboratories was expected to be finished by the end of 2019. He informed the </w:t>
      </w:r>
      <w:r w:rsidR="00691E44">
        <w:t xml:space="preserve">TDG </w:t>
      </w:r>
      <w:r w:rsidR="00691E44" w:rsidRPr="0080002D">
        <w:t>Sub-Committee that</w:t>
      </w:r>
      <w:r w:rsidR="00691E44">
        <w:t>,</w:t>
      </w:r>
      <w:r w:rsidR="00691E44" w:rsidRPr="0080002D">
        <w:t xml:space="preserve"> based on these results, a concrete proposal for amendment to the tests in the Manual of Tests and Criteria was expected to be completed on time to be submitted for consideration</w:t>
      </w:r>
      <w:r w:rsidR="00691E44">
        <w:t xml:space="preserve"> by the Sub-Committee at its next session.</w:t>
      </w:r>
    </w:p>
    <w:p w:rsidR="00C868BA" w:rsidRDefault="00691E44" w:rsidP="00691E44">
      <w:pPr>
        <w:pStyle w:val="SingleTxtG"/>
        <w:rPr>
          <w:lang w:val="en-US"/>
        </w:rPr>
      </w:pPr>
      <w:r w:rsidRPr="00417338">
        <w:rPr>
          <w:i/>
        </w:rPr>
        <w:t>(Ref.Doc.: Draft report of the TDG Sub-Committee on its 5</w:t>
      </w:r>
      <w:r>
        <w:rPr>
          <w:i/>
        </w:rPr>
        <w:t>6th</w:t>
      </w:r>
      <w:r w:rsidRPr="00417338">
        <w:rPr>
          <w:i/>
        </w:rPr>
        <w:t xml:space="preserve"> session: ST/SG/AC.10/C.3/201</w:t>
      </w:r>
      <w:r>
        <w:rPr>
          <w:i/>
        </w:rPr>
        <w:t>9</w:t>
      </w:r>
      <w:r w:rsidRPr="00417338">
        <w:rPr>
          <w:i/>
        </w:rPr>
        <w:t>/</w:t>
      </w:r>
      <w:r>
        <w:rPr>
          <w:i/>
        </w:rPr>
        <w:t>R</w:t>
      </w:r>
      <w:r w:rsidRPr="00417338">
        <w:rPr>
          <w:i/>
        </w:rPr>
        <w:t>.</w:t>
      </w:r>
      <w:r>
        <w:rPr>
          <w:i/>
        </w:rPr>
        <w:t>3</w:t>
      </w:r>
      <w:r w:rsidRPr="00417338">
        <w:rPr>
          <w:i/>
        </w:rPr>
        <w:t>/Add.</w:t>
      </w:r>
      <w:r>
        <w:rPr>
          <w:i/>
        </w:rPr>
        <w:t>8</w:t>
      </w:r>
      <w:r w:rsidRPr="00417338">
        <w:rPr>
          <w:i/>
        </w:rPr>
        <w:t>, paragraph</w:t>
      </w:r>
      <w:r>
        <w:rPr>
          <w:i/>
        </w:rPr>
        <w:t xml:space="preserve"> 122</w:t>
      </w:r>
      <w:r w:rsidRPr="00417338">
        <w:rPr>
          <w:i/>
        </w:rPr>
        <w:t>)</w:t>
      </w:r>
    </w:p>
    <w:p w:rsidR="002A76F3" w:rsidRPr="00DB33C1" w:rsidRDefault="002A76F3" w:rsidP="002A76F3">
      <w:pPr>
        <w:pStyle w:val="H23G"/>
      </w:pPr>
      <w:r w:rsidRPr="00DB33C1">
        <w:lastRenderedPageBreak/>
        <w:t xml:space="preserve">Item </w:t>
      </w:r>
      <w:r w:rsidR="00C868BA">
        <w:t>2</w:t>
      </w:r>
      <w:r w:rsidRPr="00DB33C1">
        <w:tab/>
      </w:r>
      <w:r w:rsidRPr="00DB33C1">
        <w:tab/>
      </w:r>
      <w:r w:rsidR="006B0C25">
        <w:t>Manual of Tests and Criteria, update test Series H: determination of self-accelerating decomposition temperature</w:t>
      </w:r>
      <w:r w:rsidR="004B3C8E">
        <w:t xml:space="preserve"> (GHS Sub-Committee agenda item 2(a))</w:t>
      </w:r>
    </w:p>
    <w:p w:rsidR="002A76F3" w:rsidRDefault="002A76F3" w:rsidP="004B3C8E">
      <w:pPr>
        <w:pStyle w:val="SingleTxtG"/>
        <w:tabs>
          <w:tab w:val="left" w:pos="2977"/>
        </w:tabs>
        <w:rPr>
          <w:lang w:val="en-US"/>
        </w:rPr>
      </w:pPr>
      <w:r>
        <w:rPr>
          <w:i/>
          <w:iCs/>
        </w:rPr>
        <w:t>Informal document</w:t>
      </w:r>
      <w:r w:rsidRPr="00EF030F">
        <w:rPr>
          <w:i/>
          <w:iCs/>
        </w:rPr>
        <w:t>:</w:t>
      </w:r>
      <w:r w:rsidRPr="00634742">
        <w:tab/>
      </w:r>
      <w:r>
        <w:rPr>
          <w:lang w:val="en-US"/>
        </w:rPr>
        <w:t>INF.1</w:t>
      </w:r>
      <w:r w:rsidR="004B3C8E">
        <w:rPr>
          <w:lang w:val="en-US"/>
        </w:rPr>
        <w:t>5</w:t>
      </w:r>
      <w:r>
        <w:rPr>
          <w:lang w:val="en-US"/>
        </w:rPr>
        <w:t xml:space="preserve"> (</w:t>
      </w:r>
      <w:r>
        <w:t>Chair of the Working Group</w:t>
      </w:r>
      <w:r w:rsidR="004B3C8E" w:rsidRPr="004B3C8E">
        <w:t xml:space="preserve"> </w:t>
      </w:r>
      <w:r w:rsidR="004B3C8E" w:rsidRPr="00634742">
        <w:t>on Explosives</w:t>
      </w:r>
      <w:r>
        <w:rPr>
          <w:lang w:val="en-US"/>
        </w:rPr>
        <w:t>)</w:t>
      </w:r>
    </w:p>
    <w:p w:rsidR="002A76F3" w:rsidRPr="00A34497" w:rsidRDefault="002B5FA9" w:rsidP="002A76F3">
      <w:pPr>
        <w:pStyle w:val="SingleTxtG"/>
        <w:rPr>
          <w:b/>
          <w:bCs/>
        </w:rPr>
      </w:pPr>
      <w:r>
        <w:t>5</w:t>
      </w:r>
      <w:r w:rsidR="00A34497">
        <w:t>.</w:t>
      </w:r>
      <w:r w:rsidR="00A34497">
        <w:tab/>
      </w:r>
      <w:r w:rsidR="004B3C8E">
        <w:t>T</w:t>
      </w:r>
      <w:r w:rsidR="004B3C8E" w:rsidRPr="00020499">
        <w:t xml:space="preserve">he </w:t>
      </w:r>
      <w:r w:rsidR="004B3C8E">
        <w:t xml:space="preserve">TDG </w:t>
      </w:r>
      <w:r w:rsidR="004B3C8E" w:rsidRPr="00020499">
        <w:t>Sub-Committee took note of the outcome of the work on the review of test series</w:t>
      </w:r>
      <w:r w:rsidR="004B3C8E">
        <w:t> </w:t>
      </w:r>
      <w:r w:rsidR="004B3C8E" w:rsidRPr="00020499">
        <w:t xml:space="preserve">H. Experts were invited to provide comments in writing to the representative of </w:t>
      </w:r>
      <w:r w:rsidR="004B3C8E">
        <w:t>CEFIC</w:t>
      </w:r>
      <w:r w:rsidR="004B3C8E" w:rsidRPr="00020499">
        <w:t xml:space="preserve"> (Mr. P</w:t>
      </w:r>
      <w:r w:rsidR="004B3C8E">
        <w:t>.</w:t>
      </w:r>
      <w:r w:rsidR="004B3C8E" w:rsidRPr="00020499">
        <w:t xml:space="preserve"> Schuurman</w:t>
      </w:r>
      <w:r w:rsidR="004B3C8E">
        <w:t xml:space="preserve">) who said he would revise the proposal accordingly and would submit an official document </w:t>
      </w:r>
      <w:r w:rsidR="004B3C8E" w:rsidRPr="00020499">
        <w:t>for the next session.</w:t>
      </w:r>
      <w:r w:rsidR="004B3C8E">
        <w:t xml:space="preserve"> It was recalled that the deadline for submission of official documents was 3 April 2020</w:t>
      </w:r>
      <w:r w:rsidR="001D7C07">
        <w:t>.</w:t>
      </w:r>
    </w:p>
    <w:p w:rsidR="00847E8B" w:rsidRPr="00417338" w:rsidRDefault="002A76F3" w:rsidP="00847E8B">
      <w:pPr>
        <w:pStyle w:val="SingleTxtG"/>
        <w:rPr>
          <w:i/>
        </w:rPr>
      </w:pPr>
      <w:bookmarkStart w:id="1" w:name="_Hlk26897449"/>
      <w:r w:rsidRPr="00417338">
        <w:rPr>
          <w:i/>
        </w:rPr>
        <w:t>(Ref.Doc.: Draft report of the TDG Sub-Committee on its 5</w:t>
      </w:r>
      <w:r w:rsidR="004B3C8E">
        <w:rPr>
          <w:i/>
        </w:rPr>
        <w:t>6</w:t>
      </w:r>
      <w:r>
        <w:rPr>
          <w:i/>
        </w:rPr>
        <w:t>th</w:t>
      </w:r>
      <w:r w:rsidRPr="00417338">
        <w:rPr>
          <w:i/>
        </w:rPr>
        <w:t xml:space="preserve"> session: ST/SG/AC.10/C.3/201</w:t>
      </w:r>
      <w:r w:rsidR="004B3C8E">
        <w:rPr>
          <w:i/>
        </w:rPr>
        <w:t>9</w:t>
      </w:r>
      <w:r w:rsidRPr="00417338">
        <w:rPr>
          <w:i/>
        </w:rPr>
        <w:t>/R.</w:t>
      </w:r>
      <w:r>
        <w:rPr>
          <w:i/>
        </w:rPr>
        <w:t>3</w:t>
      </w:r>
      <w:r w:rsidRPr="00417338">
        <w:rPr>
          <w:i/>
        </w:rPr>
        <w:t>, paragraph</w:t>
      </w:r>
      <w:r>
        <w:rPr>
          <w:i/>
        </w:rPr>
        <w:t xml:space="preserve"> 1</w:t>
      </w:r>
      <w:r w:rsidR="004B3C8E">
        <w:rPr>
          <w:i/>
        </w:rPr>
        <w:t>7</w:t>
      </w:r>
      <w:r w:rsidRPr="00417338">
        <w:rPr>
          <w:i/>
        </w:rPr>
        <w:t>)</w:t>
      </w:r>
      <w:bookmarkEnd w:id="1"/>
    </w:p>
    <w:p w:rsidR="00C868BA" w:rsidRPr="00DB33C1" w:rsidRDefault="00C868BA" w:rsidP="00C868BA">
      <w:pPr>
        <w:pStyle w:val="H23G"/>
      </w:pPr>
      <w:r w:rsidRPr="00DB33C1">
        <w:t xml:space="preserve">Item </w:t>
      </w:r>
      <w:r>
        <w:t>3</w:t>
      </w:r>
      <w:r w:rsidRPr="00DB33C1">
        <w:tab/>
      </w:r>
      <w:r w:rsidRPr="00DB33C1">
        <w:tab/>
      </w:r>
      <w:r w:rsidR="00676221">
        <w:t>Review of</w:t>
      </w:r>
      <w:r w:rsidRPr="00833A2A">
        <w:t xml:space="preserve"> Chapter 2.</w:t>
      </w:r>
      <w:r w:rsidR="00676221">
        <w:t>1</w:t>
      </w:r>
      <w:r w:rsidRPr="00833A2A">
        <w:t xml:space="preserve"> of the GHS</w:t>
      </w:r>
      <w:r>
        <w:t xml:space="preserve"> </w:t>
      </w:r>
      <w:r w:rsidR="00426976">
        <w:t>(explosives): status report on the development of an extended classification system</w:t>
      </w:r>
      <w:r w:rsidR="00426976" w:rsidRPr="00C868BA">
        <w:t xml:space="preserve"> </w:t>
      </w:r>
      <w:r w:rsidRPr="00C868BA">
        <w:t xml:space="preserve">(GHS Sub-Committee agenda item </w:t>
      </w:r>
      <w:r w:rsidR="00676221">
        <w:t>2</w:t>
      </w:r>
      <w:r w:rsidRPr="00C868BA">
        <w:t xml:space="preserve"> (</w:t>
      </w:r>
      <w:r w:rsidR="00676221">
        <w:t>b</w:t>
      </w:r>
      <w:r w:rsidRPr="00C868BA">
        <w:t>))</w:t>
      </w:r>
    </w:p>
    <w:p w:rsidR="00C868BA" w:rsidRPr="00833A2A" w:rsidRDefault="00C868BA" w:rsidP="00C868BA">
      <w:pPr>
        <w:pStyle w:val="SingleTxtG"/>
        <w:tabs>
          <w:tab w:val="left" w:pos="3119"/>
        </w:tabs>
        <w:spacing w:after="240"/>
        <w:ind w:left="3119" w:hanging="1985"/>
        <w:rPr>
          <w:lang w:val="en-US"/>
        </w:rPr>
      </w:pPr>
      <w:r w:rsidRPr="00833A2A">
        <w:rPr>
          <w:i/>
          <w:iCs/>
        </w:rPr>
        <w:t>Document:</w:t>
      </w:r>
      <w:r w:rsidRPr="00833A2A">
        <w:tab/>
      </w:r>
      <w:r w:rsidRPr="00833A2A">
        <w:rPr>
          <w:lang w:val="en-US"/>
        </w:rPr>
        <w:t>ST/SG/AC.10/C.4/201</w:t>
      </w:r>
      <w:r w:rsidR="00676221">
        <w:rPr>
          <w:lang w:val="en-US"/>
        </w:rPr>
        <w:t>9</w:t>
      </w:r>
      <w:r w:rsidRPr="00833A2A">
        <w:rPr>
          <w:lang w:val="en-US"/>
        </w:rPr>
        <w:t>/</w:t>
      </w:r>
      <w:r w:rsidR="00676221">
        <w:rPr>
          <w:lang w:val="en-US"/>
        </w:rPr>
        <w:t>10</w:t>
      </w:r>
      <w:r w:rsidRPr="00833A2A">
        <w:rPr>
          <w:lang w:val="en-US"/>
        </w:rPr>
        <w:t xml:space="preserve"> (</w:t>
      </w:r>
      <w:r w:rsidR="00676221">
        <w:rPr>
          <w:lang w:val="en-US"/>
        </w:rPr>
        <w:t>Sweden</w:t>
      </w:r>
      <w:r w:rsidRPr="00833A2A">
        <w:rPr>
          <w:lang w:val="en-US"/>
        </w:rPr>
        <w:t>)</w:t>
      </w:r>
    </w:p>
    <w:p w:rsidR="00C868BA" w:rsidRPr="00833A2A" w:rsidRDefault="00C868BA" w:rsidP="00C868BA">
      <w:pPr>
        <w:pStyle w:val="SingleTxtG"/>
        <w:tabs>
          <w:tab w:val="left" w:pos="3119"/>
        </w:tabs>
        <w:ind w:left="3119" w:hanging="1985"/>
        <w:rPr>
          <w:lang w:val="en-US"/>
        </w:rPr>
      </w:pPr>
      <w:r w:rsidRPr="00833A2A">
        <w:rPr>
          <w:i/>
          <w:iCs/>
        </w:rPr>
        <w:t>Informal document:</w:t>
      </w:r>
      <w:r w:rsidRPr="00833A2A">
        <w:tab/>
      </w:r>
      <w:r w:rsidRPr="00833A2A">
        <w:rPr>
          <w:lang w:val="en-US"/>
        </w:rPr>
        <w:t>INF.</w:t>
      </w:r>
      <w:r w:rsidR="00676221">
        <w:rPr>
          <w:lang w:val="en-US"/>
        </w:rPr>
        <w:t>6</w:t>
      </w:r>
      <w:r w:rsidRPr="00833A2A">
        <w:rPr>
          <w:lang w:val="en-US"/>
        </w:rPr>
        <w:t xml:space="preserve"> (</w:t>
      </w:r>
      <w:r w:rsidR="00676221">
        <w:rPr>
          <w:lang w:val="en-US"/>
        </w:rPr>
        <w:t>Sweden</w:t>
      </w:r>
      <w:r w:rsidRPr="00833A2A">
        <w:rPr>
          <w:lang w:val="en-US"/>
        </w:rPr>
        <w:t>)</w:t>
      </w:r>
    </w:p>
    <w:p w:rsidR="00C868BA" w:rsidRPr="00070BEE" w:rsidRDefault="002B5FA9" w:rsidP="00C868BA">
      <w:pPr>
        <w:pStyle w:val="SingleTxtG"/>
        <w:rPr>
          <w:lang w:val="en-US"/>
        </w:rPr>
      </w:pPr>
      <w:r>
        <w:rPr>
          <w:lang w:val="en-US"/>
        </w:rPr>
        <w:t>6</w:t>
      </w:r>
      <w:r w:rsidR="00A34497">
        <w:rPr>
          <w:lang w:val="en-US"/>
        </w:rPr>
        <w:t>.</w:t>
      </w:r>
      <w:r w:rsidR="00A34497">
        <w:rPr>
          <w:lang w:val="en-US"/>
        </w:rPr>
        <w:tab/>
      </w:r>
      <w:r w:rsidR="00676221">
        <w:t xml:space="preserve">The expert from Sweden informed the TDG Sub-Committee that the work on the review of Chapter 2.1 of </w:t>
      </w:r>
      <w:r w:rsidR="00676221" w:rsidRPr="00F973A9">
        <w:t xml:space="preserve">GHS is entering its final phase and that the new classification system </w:t>
      </w:r>
      <w:r w:rsidR="00A024D5" w:rsidRPr="00F973A9">
        <w:t xml:space="preserve">of explosives </w:t>
      </w:r>
      <w:r w:rsidR="00676221" w:rsidRPr="00F973A9">
        <w:t>will be fully harmonized with the Model Regulations</w:t>
      </w:r>
      <w:r w:rsidR="00A024D5" w:rsidRPr="00F973A9">
        <w:t>,</w:t>
      </w:r>
      <w:r w:rsidR="00676221" w:rsidRPr="00F973A9">
        <w:t xml:space="preserve"> without entailing changes to the transport classification of </w:t>
      </w:r>
      <w:r w:rsidR="00A024D5" w:rsidRPr="00F973A9">
        <w:t>explosives</w:t>
      </w:r>
      <w:r w:rsidR="00676221" w:rsidRPr="00F973A9">
        <w:t>.</w:t>
      </w:r>
      <w:r w:rsidR="00676221">
        <w:t xml:space="preserve"> The </w:t>
      </w:r>
      <w:r w:rsidR="00A024D5">
        <w:t xml:space="preserve">TDG </w:t>
      </w:r>
      <w:r w:rsidR="00676221">
        <w:t>Sub-Committee noted that an official document including the proposed revised Chapter 2.1 for the GHS as well as some consequential amendments to the Manual of Tests and Criteria would be submitted for the next session.</w:t>
      </w:r>
    </w:p>
    <w:p w:rsidR="00A024D5" w:rsidRPr="00417338" w:rsidRDefault="00A024D5" w:rsidP="00A024D5">
      <w:pPr>
        <w:pStyle w:val="SingleTxtG"/>
        <w:rPr>
          <w:i/>
        </w:rPr>
      </w:pPr>
      <w:r w:rsidRPr="00417338">
        <w:rPr>
          <w:i/>
        </w:rPr>
        <w:t>(Ref.Doc.: Draft report of the TDG Sub-Committee on its 5</w:t>
      </w:r>
      <w:r>
        <w:rPr>
          <w:i/>
        </w:rPr>
        <w:t>6th</w:t>
      </w:r>
      <w:r w:rsidRPr="00417338">
        <w:rPr>
          <w:i/>
        </w:rPr>
        <w:t xml:space="preserve"> session: ST/SG/AC.10/C.3/201</w:t>
      </w:r>
      <w:r>
        <w:rPr>
          <w:i/>
        </w:rPr>
        <w:t>9</w:t>
      </w:r>
      <w:r w:rsidRPr="00417338">
        <w:rPr>
          <w:i/>
        </w:rPr>
        <w:t>/R.</w:t>
      </w:r>
      <w:r>
        <w:rPr>
          <w:i/>
        </w:rPr>
        <w:t>3/Add.8</w:t>
      </w:r>
      <w:r w:rsidRPr="00417338">
        <w:rPr>
          <w:i/>
        </w:rPr>
        <w:t>, paragraph</w:t>
      </w:r>
      <w:r>
        <w:rPr>
          <w:i/>
        </w:rPr>
        <w:t xml:space="preserve"> 125</w:t>
      </w:r>
      <w:r w:rsidR="00F973A9">
        <w:rPr>
          <w:i/>
        </w:rPr>
        <w:t>, as amended</w:t>
      </w:r>
      <w:r w:rsidRPr="00417338">
        <w:rPr>
          <w:i/>
        </w:rPr>
        <w:t>)</w:t>
      </w:r>
    </w:p>
    <w:p w:rsidR="00C868BA" w:rsidRPr="00DB33C1" w:rsidRDefault="00C868BA" w:rsidP="00C868BA">
      <w:pPr>
        <w:pStyle w:val="H23G"/>
      </w:pPr>
      <w:r w:rsidRPr="00C868BA">
        <w:t xml:space="preserve">Item </w:t>
      </w:r>
      <w:r w:rsidR="00BB7437">
        <w:t>4</w:t>
      </w:r>
      <w:r w:rsidRPr="00C868BA">
        <w:tab/>
      </w:r>
      <w:r w:rsidRPr="00C868BA">
        <w:tab/>
      </w:r>
      <w:r w:rsidR="00426976">
        <w:t>Simultaneous classification in physical hazard classes and precedence of hazards</w:t>
      </w:r>
      <w:r w:rsidR="00426976" w:rsidRPr="00C868BA">
        <w:t xml:space="preserve"> </w:t>
      </w:r>
      <w:r w:rsidRPr="00C868BA">
        <w:t xml:space="preserve">(GHS Sub-Committee agenda item </w:t>
      </w:r>
      <w:r w:rsidR="00426976">
        <w:t>2</w:t>
      </w:r>
      <w:r w:rsidRPr="00C868BA">
        <w:t xml:space="preserve"> (</w:t>
      </w:r>
      <w:r w:rsidR="00426976">
        <w:t>g</w:t>
      </w:r>
      <w:r w:rsidRPr="00C868BA">
        <w:t>))</w:t>
      </w:r>
    </w:p>
    <w:p w:rsidR="00C868BA" w:rsidRDefault="00C868BA" w:rsidP="00426976">
      <w:pPr>
        <w:pStyle w:val="SingleTxtG"/>
        <w:tabs>
          <w:tab w:val="left" w:pos="3119"/>
        </w:tabs>
        <w:ind w:left="3119" w:hanging="1985"/>
      </w:pPr>
      <w:r w:rsidRPr="00100A84">
        <w:rPr>
          <w:i/>
          <w:iCs/>
        </w:rPr>
        <w:t>Informal document</w:t>
      </w:r>
      <w:r w:rsidRPr="00417338">
        <w:t>:</w:t>
      </w:r>
      <w:r w:rsidR="00426976">
        <w:tab/>
      </w:r>
      <w:r w:rsidRPr="00426976">
        <w:rPr>
          <w:lang w:val="en-US"/>
        </w:rPr>
        <w:t>INF</w:t>
      </w:r>
      <w:r w:rsidRPr="00417338">
        <w:t>.</w:t>
      </w:r>
      <w:r w:rsidR="00426976">
        <w:t>17</w:t>
      </w:r>
      <w:r w:rsidRPr="00417338">
        <w:t xml:space="preserve"> (</w:t>
      </w:r>
      <w:r w:rsidR="00426976">
        <w:t>Germany</w:t>
      </w:r>
      <w:r w:rsidRPr="00417338">
        <w:t>)</w:t>
      </w:r>
    </w:p>
    <w:p w:rsidR="00C868BA" w:rsidRPr="007B184B" w:rsidRDefault="002B5FA9" w:rsidP="00C868BA">
      <w:pPr>
        <w:pStyle w:val="SingleTxtG"/>
        <w:tabs>
          <w:tab w:val="left" w:pos="1985"/>
          <w:tab w:val="left" w:pos="3119"/>
        </w:tabs>
        <w:rPr>
          <w:lang w:val="en-US"/>
        </w:rPr>
      </w:pPr>
      <w:r>
        <w:t>7</w:t>
      </w:r>
      <w:r w:rsidR="00A34497">
        <w:t>.</w:t>
      </w:r>
      <w:r w:rsidR="00A34497">
        <w:tab/>
      </w:r>
      <w:r w:rsidR="00426976">
        <w:t>The TDG Sub-Committee took note of the status of work and the agenda for the meeting of the informal working group in informal document INF.17. Interested experts were encouraged to participate in the meeting of the informal working group on 11 December 2019</w:t>
      </w:r>
      <w:r w:rsidR="00C868BA" w:rsidRPr="007B184B">
        <w:rPr>
          <w:lang w:val="en-US"/>
        </w:rPr>
        <w:t>.</w:t>
      </w:r>
    </w:p>
    <w:p w:rsidR="00426976" w:rsidRPr="00417338" w:rsidRDefault="00426976" w:rsidP="00426976">
      <w:pPr>
        <w:pStyle w:val="SingleTxtG"/>
        <w:rPr>
          <w:i/>
        </w:rPr>
      </w:pPr>
      <w:r w:rsidRPr="00417338">
        <w:rPr>
          <w:i/>
        </w:rPr>
        <w:t>(Ref.Doc.: Draft report of the TDG Sub-Committee on its 5</w:t>
      </w:r>
      <w:r>
        <w:rPr>
          <w:i/>
        </w:rPr>
        <w:t>6th</w:t>
      </w:r>
      <w:r w:rsidRPr="00417338">
        <w:rPr>
          <w:i/>
        </w:rPr>
        <w:t xml:space="preserve"> session: ST/SG/AC.10/C.3/201</w:t>
      </w:r>
      <w:r>
        <w:rPr>
          <w:i/>
        </w:rPr>
        <w:t>9</w:t>
      </w:r>
      <w:r w:rsidRPr="00417338">
        <w:rPr>
          <w:i/>
        </w:rPr>
        <w:t>/R.</w:t>
      </w:r>
      <w:r>
        <w:rPr>
          <w:i/>
        </w:rPr>
        <w:t>3/Add.8</w:t>
      </w:r>
      <w:r w:rsidRPr="00417338">
        <w:rPr>
          <w:i/>
        </w:rPr>
        <w:t>, paragraph</w:t>
      </w:r>
      <w:r>
        <w:rPr>
          <w:i/>
        </w:rPr>
        <w:t xml:space="preserve"> 126</w:t>
      </w:r>
      <w:r w:rsidRPr="00417338">
        <w:rPr>
          <w:i/>
        </w:rPr>
        <w:t>)</w:t>
      </w:r>
    </w:p>
    <w:p w:rsidR="00A046B9" w:rsidRPr="00DB33C1" w:rsidRDefault="00A046B9" w:rsidP="00A046B9">
      <w:pPr>
        <w:pStyle w:val="H23G"/>
      </w:pPr>
      <w:r w:rsidRPr="00DB33C1">
        <w:t xml:space="preserve">Item </w:t>
      </w:r>
      <w:r>
        <w:t>5</w:t>
      </w:r>
      <w:r w:rsidRPr="00DB33C1">
        <w:tab/>
      </w:r>
      <w:r w:rsidRPr="00DB33C1">
        <w:tab/>
      </w:r>
      <w:r w:rsidR="00937520" w:rsidRPr="00F30841">
        <w:t>Clarification</w:t>
      </w:r>
      <w:r w:rsidR="00937520">
        <w:t xml:space="preserve"> of paragraph </w:t>
      </w:r>
      <w:r w:rsidR="00937520" w:rsidRPr="00D22BD2">
        <w:rPr>
          <w:szCs w:val="28"/>
        </w:rPr>
        <w:t>2.9.3.4.3.4</w:t>
      </w:r>
      <w:r w:rsidR="00937520">
        <w:rPr>
          <w:szCs w:val="28"/>
        </w:rPr>
        <w:t xml:space="preserve"> of Model Regulat</w:t>
      </w:r>
      <w:r w:rsidR="00937520">
        <w:rPr>
          <w:rFonts w:hint="eastAsia"/>
          <w:szCs w:val="28"/>
          <w:lang w:eastAsia="zh-CN"/>
        </w:rPr>
        <w:t>i</w:t>
      </w:r>
      <w:r w:rsidR="00937520">
        <w:rPr>
          <w:szCs w:val="28"/>
        </w:rPr>
        <w:t xml:space="preserve">ons </w:t>
      </w:r>
      <w:r w:rsidR="00937520">
        <w:rPr>
          <w:rFonts w:hint="eastAsia"/>
          <w:szCs w:val="28"/>
          <w:lang w:eastAsia="zh-CN"/>
        </w:rPr>
        <w:t>and</w:t>
      </w:r>
      <w:r w:rsidR="00937520">
        <w:rPr>
          <w:szCs w:val="28"/>
          <w:lang w:eastAsia="zh-CN"/>
        </w:rPr>
        <w:t xml:space="preserve"> </w:t>
      </w:r>
      <w:r w:rsidR="00937520">
        <w:t>paragraph</w:t>
      </w:r>
      <w:r w:rsidR="00937520" w:rsidRPr="00D22BD2">
        <w:rPr>
          <w:szCs w:val="28"/>
        </w:rPr>
        <w:t xml:space="preserve"> 4.1.3.3.4</w:t>
      </w:r>
      <w:r w:rsidR="00937520">
        <w:rPr>
          <w:szCs w:val="28"/>
        </w:rPr>
        <w:t xml:space="preserve"> of GHS</w:t>
      </w:r>
      <w:r w:rsidR="00937520" w:rsidRPr="00C868BA">
        <w:t xml:space="preserve"> </w:t>
      </w:r>
      <w:r w:rsidRPr="00C868BA">
        <w:t xml:space="preserve">(GHS Sub-Committee agenda item </w:t>
      </w:r>
      <w:r w:rsidR="006438CA">
        <w:t>2</w:t>
      </w:r>
      <w:r w:rsidRPr="00C868BA">
        <w:t xml:space="preserve"> (</w:t>
      </w:r>
      <w:r w:rsidR="006438CA">
        <w:t>h</w:t>
      </w:r>
      <w:r w:rsidRPr="00C868BA">
        <w:t>))</w:t>
      </w:r>
    </w:p>
    <w:p w:rsidR="00A046B9" w:rsidRPr="00833A2A" w:rsidRDefault="002B5FA9" w:rsidP="00A046B9">
      <w:pPr>
        <w:pStyle w:val="SingleTxtG"/>
        <w:spacing w:before="240"/>
        <w:rPr>
          <w:lang w:val="en-US"/>
        </w:rPr>
      </w:pPr>
      <w:r>
        <w:rPr>
          <w:lang w:val="en-US"/>
        </w:rPr>
        <w:t>8</w:t>
      </w:r>
      <w:r w:rsidR="00A34497">
        <w:rPr>
          <w:lang w:val="en-US"/>
        </w:rPr>
        <w:t>.</w:t>
      </w:r>
      <w:r w:rsidR="00A34497">
        <w:rPr>
          <w:lang w:val="en-US"/>
        </w:rPr>
        <w:tab/>
      </w:r>
      <w:r w:rsidR="006438CA">
        <w:t>Some experts of the TDG Sub-Committee considered that the proposed note under 2.9.3.4.3.4 could be clarified and suggested alternative wording. The expert from China invited experts to submit their comments in writing and said that she would revise the proposal accordingly, taking also into account any additional feedback that the GHS Sub-Committee may wish to provide</w:t>
      </w:r>
      <w:r w:rsidR="00A046B9" w:rsidRPr="00833A2A">
        <w:rPr>
          <w:lang w:val="en-US"/>
        </w:rPr>
        <w:t>.</w:t>
      </w:r>
    </w:p>
    <w:p w:rsidR="006438CA" w:rsidRPr="00417338" w:rsidRDefault="006438CA" w:rsidP="006438CA">
      <w:pPr>
        <w:pStyle w:val="SingleTxtG"/>
        <w:rPr>
          <w:i/>
        </w:rPr>
      </w:pPr>
      <w:r w:rsidRPr="00417338">
        <w:rPr>
          <w:i/>
        </w:rPr>
        <w:t>(Ref.Doc.: Draft report of the TDG Sub-Committee on its 5</w:t>
      </w:r>
      <w:r>
        <w:rPr>
          <w:i/>
        </w:rPr>
        <w:t>6th</w:t>
      </w:r>
      <w:r w:rsidRPr="00417338">
        <w:rPr>
          <w:i/>
        </w:rPr>
        <w:t xml:space="preserve"> session: ST/SG/AC.10/C.3/201</w:t>
      </w:r>
      <w:r>
        <w:rPr>
          <w:i/>
        </w:rPr>
        <w:t>9</w:t>
      </w:r>
      <w:r w:rsidRPr="00417338">
        <w:rPr>
          <w:i/>
        </w:rPr>
        <w:t>/R.</w:t>
      </w:r>
      <w:r>
        <w:rPr>
          <w:i/>
        </w:rPr>
        <w:t>3/Add.8</w:t>
      </w:r>
      <w:r w:rsidRPr="00417338">
        <w:rPr>
          <w:i/>
        </w:rPr>
        <w:t>, paragraph</w:t>
      </w:r>
      <w:r>
        <w:rPr>
          <w:i/>
        </w:rPr>
        <w:t xml:space="preserve"> 128</w:t>
      </w:r>
      <w:r w:rsidRPr="00417338">
        <w:rPr>
          <w:i/>
        </w:rPr>
        <w:t>)</w:t>
      </w:r>
    </w:p>
    <w:p w:rsidR="00865AD1" w:rsidRPr="00DB33C1" w:rsidRDefault="00865AD1" w:rsidP="00865AD1">
      <w:pPr>
        <w:pStyle w:val="H23G"/>
      </w:pPr>
      <w:r w:rsidRPr="00DB33C1">
        <w:lastRenderedPageBreak/>
        <w:t xml:space="preserve">Item </w:t>
      </w:r>
      <w:r w:rsidR="00BB7437">
        <w:t>6</w:t>
      </w:r>
      <w:r w:rsidRPr="00DB33C1">
        <w:tab/>
      </w:r>
      <w:r w:rsidRPr="00DB33C1">
        <w:tab/>
      </w:r>
      <w:r w:rsidR="00637AA2" w:rsidRPr="00594BB6">
        <w:t>Proposed changes to Annex 1 of the GHS</w:t>
      </w:r>
      <w:r w:rsidR="00046D59">
        <w:t xml:space="preserve"> </w:t>
      </w:r>
      <w:r w:rsidR="00046D59" w:rsidRPr="00C868BA">
        <w:t>(GHS Sub-Committee agenda item 3 (</w:t>
      </w:r>
      <w:r w:rsidR="00046D59">
        <w:t>b</w:t>
      </w:r>
      <w:r w:rsidR="00046D59" w:rsidRPr="00C868BA">
        <w:t>))</w:t>
      </w:r>
    </w:p>
    <w:p w:rsidR="00865AD1" w:rsidRDefault="00865AD1" w:rsidP="00865AD1">
      <w:pPr>
        <w:pStyle w:val="SingleTxtG"/>
        <w:tabs>
          <w:tab w:val="left" w:pos="3119"/>
        </w:tabs>
        <w:spacing w:after="240"/>
        <w:ind w:left="3119" w:hanging="1985"/>
        <w:rPr>
          <w:lang w:val="en-US"/>
        </w:rPr>
      </w:pPr>
      <w:r>
        <w:rPr>
          <w:i/>
          <w:iCs/>
        </w:rPr>
        <w:t>Documents:</w:t>
      </w:r>
      <w:r>
        <w:rPr>
          <w:i/>
          <w:iCs/>
        </w:rPr>
        <w:tab/>
      </w:r>
      <w:r>
        <w:rPr>
          <w:lang w:val="en-US"/>
        </w:rPr>
        <w:t>ST/SG/AC.10/C.4/201</w:t>
      </w:r>
      <w:r w:rsidR="00637AA2">
        <w:rPr>
          <w:lang w:val="en-US"/>
        </w:rPr>
        <w:t>9</w:t>
      </w:r>
      <w:r>
        <w:rPr>
          <w:lang w:val="en-US"/>
        </w:rPr>
        <w:t>/</w:t>
      </w:r>
      <w:r w:rsidR="00637AA2">
        <w:rPr>
          <w:lang w:val="en-US"/>
        </w:rPr>
        <w:t>12</w:t>
      </w:r>
      <w:r>
        <w:rPr>
          <w:lang w:val="en-US"/>
        </w:rPr>
        <w:t xml:space="preserve"> (</w:t>
      </w:r>
      <w:r w:rsidR="00637AA2">
        <w:rPr>
          <w:lang w:val="en-US"/>
        </w:rPr>
        <w:t>United Kingdom</w:t>
      </w:r>
      <w:r>
        <w:rPr>
          <w:lang w:val="en-US"/>
        </w:rPr>
        <w:t>)</w:t>
      </w:r>
    </w:p>
    <w:p w:rsidR="00637AA2" w:rsidRPr="00CF2BA3" w:rsidRDefault="002B5FA9" w:rsidP="00637AA2">
      <w:pPr>
        <w:pStyle w:val="SingleTxtG"/>
        <w:spacing w:before="240"/>
        <w:rPr>
          <w:i/>
          <w:iCs/>
        </w:rPr>
      </w:pPr>
      <w:r>
        <w:t>9</w:t>
      </w:r>
      <w:r w:rsidR="00637AA2">
        <w:t>.</w:t>
      </w:r>
      <w:r w:rsidR="00637AA2">
        <w:tab/>
        <w:t>The TDG Sub-Committee took note of the proposed amendments to Annex I of GHS. It was pointed out that these amendments did not entail amendments to the Model Regulations</w:t>
      </w:r>
      <w:r w:rsidR="001D7C07">
        <w:t>.</w:t>
      </w:r>
    </w:p>
    <w:p w:rsidR="00637AA2" w:rsidRPr="00417338" w:rsidRDefault="00637AA2" w:rsidP="00637AA2">
      <w:pPr>
        <w:pStyle w:val="SingleTxtG"/>
        <w:rPr>
          <w:i/>
        </w:rPr>
      </w:pPr>
      <w:r w:rsidRPr="00417338">
        <w:rPr>
          <w:i/>
        </w:rPr>
        <w:t>(Ref.Doc.: Draft report of the TDG Sub-Committee on its 5</w:t>
      </w:r>
      <w:r>
        <w:rPr>
          <w:i/>
        </w:rPr>
        <w:t>6th</w:t>
      </w:r>
      <w:r w:rsidRPr="00417338">
        <w:rPr>
          <w:i/>
        </w:rPr>
        <w:t xml:space="preserve"> session: ST/SG/AC.10/C.3/201</w:t>
      </w:r>
      <w:r>
        <w:rPr>
          <w:i/>
        </w:rPr>
        <w:t>9</w:t>
      </w:r>
      <w:r w:rsidRPr="00417338">
        <w:rPr>
          <w:i/>
        </w:rPr>
        <w:t>/R.</w:t>
      </w:r>
      <w:r>
        <w:rPr>
          <w:i/>
        </w:rPr>
        <w:t>3/Add.8</w:t>
      </w:r>
      <w:r w:rsidRPr="00417338">
        <w:rPr>
          <w:i/>
        </w:rPr>
        <w:t>, paragraph</w:t>
      </w:r>
      <w:r>
        <w:rPr>
          <w:i/>
        </w:rPr>
        <w:t xml:space="preserve"> 127</w:t>
      </w:r>
      <w:r w:rsidRPr="00417338">
        <w:rPr>
          <w:i/>
        </w:rPr>
        <w:t>)</w:t>
      </w:r>
    </w:p>
    <w:p w:rsidR="006D612A" w:rsidRPr="00D6609E" w:rsidRDefault="006D612A" w:rsidP="006D612A">
      <w:pPr>
        <w:pStyle w:val="SingleTxtG"/>
        <w:ind w:left="1560" w:hanging="426"/>
      </w:pPr>
    </w:p>
    <w:p w:rsidR="00DB1726" w:rsidRDefault="00DB1726" w:rsidP="00DB1726">
      <w:pPr>
        <w:pStyle w:val="SingleTxtG"/>
        <w:jc w:val="center"/>
        <w:rPr>
          <w:i/>
        </w:rPr>
      </w:pPr>
      <w:r w:rsidRPr="00533570">
        <w:rPr>
          <w:i/>
        </w:rPr>
        <w:t>________________</w:t>
      </w:r>
    </w:p>
    <w:sectPr w:rsidR="00DB1726" w:rsidSect="0099001C">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CC5715">
      <w:rPr>
        <w:b/>
        <w:noProof/>
        <w:sz w:val="18"/>
      </w:rPr>
      <w:t>4</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CC5715">
      <w:rPr>
        <w:b/>
        <w:noProof/>
        <w:sz w:val="18"/>
      </w:rPr>
      <w:t>5</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 w:id="2">
    <w:p w:rsidR="00E30EE8" w:rsidRPr="00E30EE8" w:rsidRDefault="00E30EE8">
      <w:pPr>
        <w:pStyle w:val="FootnoteText"/>
      </w:pPr>
      <w:r>
        <w:tab/>
      </w:r>
      <w:r>
        <w:rPr>
          <w:rStyle w:val="FootnoteReference"/>
        </w:rPr>
        <w:footnoteRef/>
      </w:r>
      <w:r>
        <w:t xml:space="preserve"> </w:t>
      </w:r>
      <w:r>
        <w:tab/>
      </w:r>
      <w:r w:rsidRPr="001A5EFA">
        <w:t>The final version of the report of the TDG Sub-Committee will be circulated as document ST/SG/AC.10/C.3/</w:t>
      </w:r>
      <w:r w:rsidR="00664234">
        <w:t>1</w:t>
      </w:r>
      <w:r w:rsidR="00C008DF">
        <w:t>12</w:t>
      </w:r>
      <w:r>
        <w:t xml:space="preserve"> (</w:t>
      </w:r>
      <w:r w:rsidRPr="001A5EFA">
        <w:t>http://www.unece.org/trans/main/dgdb/dgsubc3/c3rep.html</w:t>
      </w:r>
      <w:r>
        <w: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366CA7">
    <w:pPr>
      <w:pStyle w:val="Header"/>
    </w:pPr>
    <w:r w:rsidRPr="005A1400">
      <w:t>UN/SCEGHS/</w:t>
    </w:r>
    <w:r w:rsidR="00664234" w:rsidRPr="005A1400">
      <w:t>3</w:t>
    </w:r>
    <w:r w:rsidR="004B3C8E">
      <w:t>8</w:t>
    </w:r>
    <w:r w:rsidRPr="005A1400">
      <w:t>/INF.</w:t>
    </w:r>
    <w:r w:rsidR="004B3C8E">
      <w:t>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99001C">
    <w:pPr>
      <w:pStyle w:val="Header"/>
      <w:jc w:val="right"/>
    </w:pPr>
    <w:r>
      <w:t>UN/SCEGHS/</w:t>
    </w:r>
    <w:r w:rsidR="00A8562B">
      <w:t>3</w:t>
    </w:r>
    <w:r w:rsidR="004B3C8E">
      <w:t>8</w:t>
    </w:r>
    <w:r>
      <w:t>/INF.</w:t>
    </w:r>
    <w:r w:rsidR="004B3C8E">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141A7D7E"/>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0"/>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045C9"/>
    <w:rsid w:val="00011433"/>
    <w:rsid w:val="000163B0"/>
    <w:rsid w:val="00021514"/>
    <w:rsid w:val="000314D0"/>
    <w:rsid w:val="00033B3D"/>
    <w:rsid w:val="00046D59"/>
    <w:rsid w:val="00050F6B"/>
    <w:rsid w:val="00070BEE"/>
    <w:rsid w:val="00072C8C"/>
    <w:rsid w:val="00081647"/>
    <w:rsid w:val="000931C0"/>
    <w:rsid w:val="000962CD"/>
    <w:rsid w:val="000B175B"/>
    <w:rsid w:val="000B3A0F"/>
    <w:rsid w:val="000B3BED"/>
    <w:rsid w:val="000C6544"/>
    <w:rsid w:val="000D10AA"/>
    <w:rsid w:val="000E0415"/>
    <w:rsid w:val="00100A84"/>
    <w:rsid w:val="00111620"/>
    <w:rsid w:val="001220B8"/>
    <w:rsid w:val="00125265"/>
    <w:rsid w:val="00126807"/>
    <w:rsid w:val="00126F98"/>
    <w:rsid w:val="00144F53"/>
    <w:rsid w:val="00156F3C"/>
    <w:rsid w:val="0015786F"/>
    <w:rsid w:val="00162BF7"/>
    <w:rsid w:val="00190AEA"/>
    <w:rsid w:val="001A5EFA"/>
    <w:rsid w:val="001B06A5"/>
    <w:rsid w:val="001B4B04"/>
    <w:rsid w:val="001C187F"/>
    <w:rsid w:val="001C6663"/>
    <w:rsid w:val="001C7895"/>
    <w:rsid w:val="001D26DF"/>
    <w:rsid w:val="001D7C07"/>
    <w:rsid w:val="001E3484"/>
    <w:rsid w:val="001E47FD"/>
    <w:rsid w:val="00211E0B"/>
    <w:rsid w:val="00231719"/>
    <w:rsid w:val="002405A7"/>
    <w:rsid w:val="0025322D"/>
    <w:rsid w:val="00257E45"/>
    <w:rsid w:val="00262488"/>
    <w:rsid w:val="00263054"/>
    <w:rsid w:val="00265243"/>
    <w:rsid w:val="0029008C"/>
    <w:rsid w:val="002A76F3"/>
    <w:rsid w:val="002B5FA9"/>
    <w:rsid w:val="002C6FD3"/>
    <w:rsid w:val="002C7509"/>
    <w:rsid w:val="002D59D3"/>
    <w:rsid w:val="002F32B7"/>
    <w:rsid w:val="003107FA"/>
    <w:rsid w:val="003127A2"/>
    <w:rsid w:val="00312888"/>
    <w:rsid w:val="003229D8"/>
    <w:rsid w:val="0032550E"/>
    <w:rsid w:val="0033745A"/>
    <w:rsid w:val="003642AF"/>
    <w:rsid w:val="00366CA7"/>
    <w:rsid w:val="0039277A"/>
    <w:rsid w:val="00394612"/>
    <w:rsid w:val="003972E0"/>
    <w:rsid w:val="003B3A99"/>
    <w:rsid w:val="003C2CC4"/>
    <w:rsid w:val="003C3936"/>
    <w:rsid w:val="003D4B23"/>
    <w:rsid w:val="003F1ED3"/>
    <w:rsid w:val="00417338"/>
    <w:rsid w:val="00421612"/>
    <w:rsid w:val="00426976"/>
    <w:rsid w:val="004325CB"/>
    <w:rsid w:val="00446DE4"/>
    <w:rsid w:val="00452F90"/>
    <w:rsid w:val="00457287"/>
    <w:rsid w:val="00460DD9"/>
    <w:rsid w:val="00467F71"/>
    <w:rsid w:val="004A41CA"/>
    <w:rsid w:val="004B3C8E"/>
    <w:rsid w:val="004E7ED6"/>
    <w:rsid w:val="00502970"/>
    <w:rsid w:val="00503228"/>
    <w:rsid w:val="00505384"/>
    <w:rsid w:val="00532EF8"/>
    <w:rsid w:val="00533570"/>
    <w:rsid w:val="005420F2"/>
    <w:rsid w:val="005538B1"/>
    <w:rsid w:val="005656B5"/>
    <w:rsid w:val="005969DF"/>
    <w:rsid w:val="005A1400"/>
    <w:rsid w:val="005B2C89"/>
    <w:rsid w:val="005B3DB3"/>
    <w:rsid w:val="005E22FE"/>
    <w:rsid w:val="005E35C8"/>
    <w:rsid w:val="005F2E88"/>
    <w:rsid w:val="00611FC4"/>
    <w:rsid w:val="006176FB"/>
    <w:rsid w:val="00627ED0"/>
    <w:rsid w:val="00637AA2"/>
    <w:rsid w:val="00640B26"/>
    <w:rsid w:val="006438CA"/>
    <w:rsid w:val="00664234"/>
    <w:rsid w:val="00665595"/>
    <w:rsid w:val="00676221"/>
    <w:rsid w:val="00691E44"/>
    <w:rsid w:val="00691F20"/>
    <w:rsid w:val="00693543"/>
    <w:rsid w:val="006A7392"/>
    <w:rsid w:val="006A7757"/>
    <w:rsid w:val="006B0C25"/>
    <w:rsid w:val="006C6C91"/>
    <w:rsid w:val="006D612A"/>
    <w:rsid w:val="006E260F"/>
    <w:rsid w:val="006E36AF"/>
    <w:rsid w:val="006E564B"/>
    <w:rsid w:val="00704032"/>
    <w:rsid w:val="007044AC"/>
    <w:rsid w:val="0071349F"/>
    <w:rsid w:val="00714D20"/>
    <w:rsid w:val="00720DEB"/>
    <w:rsid w:val="007229DF"/>
    <w:rsid w:val="0072632A"/>
    <w:rsid w:val="00727BE5"/>
    <w:rsid w:val="00733AAE"/>
    <w:rsid w:val="0073729D"/>
    <w:rsid w:val="007719BC"/>
    <w:rsid w:val="00781042"/>
    <w:rsid w:val="00781A60"/>
    <w:rsid w:val="007A0B22"/>
    <w:rsid w:val="007A16FA"/>
    <w:rsid w:val="007B184B"/>
    <w:rsid w:val="007B2603"/>
    <w:rsid w:val="007B6BA5"/>
    <w:rsid w:val="007C2B18"/>
    <w:rsid w:val="007C3390"/>
    <w:rsid w:val="007C4F4B"/>
    <w:rsid w:val="007F0B83"/>
    <w:rsid w:val="007F48EF"/>
    <w:rsid w:val="007F4FCD"/>
    <w:rsid w:val="007F6611"/>
    <w:rsid w:val="008055BF"/>
    <w:rsid w:val="0081732C"/>
    <w:rsid w:val="008175E9"/>
    <w:rsid w:val="008242D7"/>
    <w:rsid w:val="00827E05"/>
    <w:rsid w:val="008311A3"/>
    <w:rsid w:val="00833A2A"/>
    <w:rsid w:val="00836AF7"/>
    <w:rsid w:val="00847E8B"/>
    <w:rsid w:val="0086228F"/>
    <w:rsid w:val="00865AD1"/>
    <w:rsid w:val="00871FD5"/>
    <w:rsid w:val="008979B1"/>
    <w:rsid w:val="008A6B25"/>
    <w:rsid w:val="008A6C4F"/>
    <w:rsid w:val="008B56AC"/>
    <w:rsid w:val="008B6E26"/>
    <w:rsid w:val="008C63FA"/>
    <w:rsid w:val="008E0E46"/>
    <w:rsid w:val="008E4C4C"/>
    <w:rsid w:val="00907AD2"/>
    <w:rsid w:val="00911047"/>
    <w:rsid w:val="00911EB1"/>
    <w:rsid w:val="0093352C"/>
    <w:rsid w:val="00937520"/>
    <w:rsid w:val="00963CBA"/>
    <w:rsid w:val="009650E6"/>
    <w:rsid w:val="00965932"/>
    <w:rsid w:val="00966F03"/>
    <w:rsid w:val="00970988"/>
    <w:rsid w:val="009738B3"/>
    <w:rsid w:val="00974A8D"/>
    <w:rsid w:val="00982581"/>
    <w:rsid w:val="0099001C"/>
    <w:rsid w:val="00991261"/>
    <w:rsid w:val="009E50B5"/>
    <w:rsid w:val="009F3A17"/>
    <w:rsid w:val="009F3D53"/>
    <w:rsid w:val="00A024D5"/>
    <w:rsid w:val="00A0275E"/>
    <w:rsid w:val="00A046B9"/>
    <w:rsid w:val="00A1427D"/>
    <w:rsid w:val="00A34497"/>
    <w:rsid w:val="00A426FB"/>
    <w:rsid w:val="00A55FB2"/>
    <w:rsid w:val="00A72F22"/>
    <w:rsid w:val="00A748A6"/>
    <w:rsid w:val="00A80459"/>
    <w:rsid w:val="00A805EB"/>
    <w:rsid w:val="00A8562B"/>
    <w:rsid w:val="00A8760B"/>
    <w:rsid w:val="00A879A4"/>
    <w:rsid w:val="00AA496B"/>
    <w:rsid w:val="00AE71F3"/>
    <w:rsid w:val="00AF63FF"/>
    <w:rsid w:val="00B30179"/>
    <w:rsid w:val="00B30E8F"/>
    <w:rsid w:val="00B322EE"/>
    <w:rsid w:val="00B33EC0"/>
    <w:rsid w:val="00B6064F"/>
    <w:rsid w:val="00B63F07"/>
    <w:rsid w:val="00B71163"/>
    <w:rsid w:val="00B81E12"/>
    <w:rsid w:val="00B97D28"/>
    <w:rsid w:val="00BB7437"/>
    <w:rsid w:val="00BC30B2"/>
    <w:rsid w:val="00BC6217"/>
    <w:rsid w:val="00BC74E9"/>
    <w:rsid w:val="00BD2146"/>
    <w:rsid w:val="00BE02AE"/>
    <w:rsid w:val="00BE4F74"/>
    <w:rsid w:val="00BE618E"/>
    <w:rsid w:val="00C008DF"/>
    <w:rsid w:val="00C00ACE"/>
    <w:rsid w:val="00C17699"/>
    <w:rsid w:val="00C1778D"/>
    <w:rsid w:val="00C41A28"/>
    <w:rsid w:val="00C463DD"/>
    <w:rsid w:val="00C6210B"/>
    <w:rsid w:val="00C745C3"/>
    <w:rsid w:val="00C77132"/>
    <w:rsid w:val="00C868BA"/>
    <w:rsid w:val="00C945EB"/>
    <w:rsid w:val="00CB2328"/>
    <w:rsid w:val="00CC5715"/>
    <w:rsid w:val="00CC65B7"/>
    <w:rsid w:val="00CE4A8F"/>
    <w:rsid w:val="00CF6EA9"/>
    <w:rsid w:val="00D055EB"/>
    <w:rsid w:val="00D2031B"/>
    <w:rsid w:val="00D25FE2"/>
    <w:rsid w:val="00D317BB"/>
    <w:rsid w:val="00D31B3A"/>
    <w:rsid w:val="00D35D8F"/>
    <w:rsid w:val="00D43252"/>
    <w:rsid w:val="00D5565C"/>
    <w:rsid w:val="00D563D8"/>
    <w:rsid w:val="00D56545"/>
    <w:rsid w:val="00D63881"/>
    <w:rsid w:val="00D7387D"/>
    <w:rsid w:val="00D82C7E"/>
    <w:rsid w:val="00D978C6"/>
    <w:rsid w:val="00DA67AD"/>
    <w:rsid w:val="00DB1726"/>
    <w:rsid w:val="00DB33C1"/>
    <w:rsid w:val="00DB5D0F"/>
    <w:rsid w:val="00DC1478"/>
    <w:rsid w:val="00DC3242"/>
    <w:rsid w:val="00DE7F20"/>
    <w:rsid w:val="00DF12F7"/>
    <w:rsid w:val="00DF2C64"/>
    <w:rsid w:val="00E02C81"/>
    <w:rsid w:val="00E04A75"/>
    <w:rsid w:val="00E06EAB"/>
    <w:rsid w:val="00E11308"/>
    <w:rsid w:val="00E130AB"/>
    <w:rsid w:val="00E27CDD"/>
    <w:rsid w:val="00E305B8"/>
    <w:rsid w:val="00E30EE8"/>
    <w:rsid w:val="00E31C87"/>
    <w:rsid w:val="00E40D39"/>
    <w:rsid w:val="00E677EC"/>
    <w:rsid w:val="00E70DF5"/>
    <w:rsid w:val="00E7260F"/>
    <w:rsid w:val="00E80F5F"/>
    <w:rsid w:val="00E8528F"/>
    <w:rsid w:val="00E86024"/>
    <w:rsid w:val="00E87921"/>
    <w:rsid w:val="00E96630"/>
    <w:rsid w:val="00EA264E"/>
    <w:rsid w:val="00EA2E29"/>
    <w:rsid w:val="00EA3A41"/>
    <w:rsid w:val="00EB5B0A"/>
    <w:rsid w:val="00ED1541"/>
    <w:rsid w:val="00ED71D9"/>
    <w:rsid w:val="00ED7A2A"/>
    <w:rsid w:val="00EF1D7F"/>
    <w:rsid w:val="00EF358F"/>
    <w:rsid w:val="00F05E3F"/>
    <w:rsid w:val="00F124A0"/>
    <w:rsid w:val="00F53EDA"/>
    <w:rsid w:val="00F5581D"/>
    <w:rsid w:val="00F64F0D"/>
    <w:rsid w:val="00F73015"/>
    <w:rsid w:val="00F73F47"/>
    <w:rsid w:val="00F7753D"/>
    <w:rsid w:val="00F85F34"/>
    <w:rsid w:val="00F973A9"/>
    <w:rsid w:val="00FA06F7"/>
    <w:rsid w:val="00FB171A"/>
    <w:rsid w:val="00FC09B8"/>
    <w:rsid w:val="00FC68B7"/>
    <w:rsid w:val="00FD4F7E"/>
    <w:rsid w:val="00FD7BF6"/>
    <w:rsid w:val="00FE78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C98F3037-D55C-4297-8D34-A6FD565A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5A1400"/>
    <w:rPr>
      <w:lang w:val="en-GB" w:eastAsia="en-US" w:bidi="ar-SA"/>
    </w:rPr>
  </w:style>
  <w:style w:type="character" w:customStyle="1" w:styleId="HeaderChar">
    <w:name w:val="Header Char"/>
    <w:aliases w:val="6_G Char"/>
    <w:link w:val="Header"/>
    <w:rsid w:val="001E3484"/>
    <w:rPr>
      <w:b/>
      <w:sz w:val="18"/>
      <w:lang w:eastAsia="en-US"/>
    </w:rPr>
  </w:style>
  <w:style w:type="character" w:customStyle="1" w:styleId="H23GChar">
    <w:name w:val="_ H_2/3_G Char"/>
    <w:link w:val="H23G"/>
    <w:locked/>
    <w:rsid w:val="00781042"/>
    <w:rPr>
      <w:b/>
      <w:lang w:eastAsia="en-US"/>
    </w:rPr>
  </w:style>
  <w:style w:type="character" w:customStyle="1" w:styleId="H1GChar">
    <w:name w:val="_ H_1_G Char"/>
    <w:link w:val="H1G"/>
    <w:rsid w:val="007B184B"/>
    <w:rPr>
      <w:b/>
      <w:sz w:val="24"/>
      <w:lang w:eastAsia="en-US"/>
    </w:rPr>
  </w:style>
  <w:style w:type="paragraph" w:styleId="BalloonText">
    <w:name w:val="Balloon Text"/>
    <w:basedOn w:val="Normal"/>
    <w:link w:val="BalloonTextChar"/>
    <w:semiHidden/>
    <w:unhideWhenUsed/>
    <w:rsid w:val="00691E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91E4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CFAC9-E7B7-4A26-874C-747EDB7F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Christine Barrio-Champeau</cp:lastModifiedBy>
  <cp:revision>3</cp:revision>
  <cp:lastPrinted>2019-12-11T08:20:00Z</cp:lastPrinted>
  <dcterms:created xsi:type="dcterms:W3CDTF">2019-12-11T08:16:00Z</dcterms:created>
  <dcterms:modified xsi:type="dcterms:W3CDTF">2019-12-11T08:20:00Z</dcterms:modified>
</cp:coreProperties>
</file>