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7589" w14:textId="2686FDF2" w:rsidR="002E0C29" w:rsidRDefault="002E0C29" w:rsidP="00843FE1">
      <w:pPr>
        <w:pStyle w:val="H1G"/>
        <w:rPr>
          <w:rFonts w:asciiTheme="majorBidi" w:hAnsiTheme="majorBidi" w:cstheme="majorBidi"/>
        </w:rPr>
      </w:pPr>
      <w:bookmarkStart w:id="0" w:name="OLE_LINK2"/>
      <w:r w:rsidRPr="00843FE1">
        <w:rPr>
          <w:rFonts w:asciiTheme="majorBidi" w:hAnsiTheme="majorBidi" w:cstheme="majorBidi"/>
        </w:rPr>
        <w:tab/>
      </w:r>
      <w:r w:rsidRPr="00843FE1">
        <w:rPr>
          <w:rFonts w:asciiTheme="majorBidi" w:hAnsiTheme="majorBidi" w:cstheme="majorBidi"/>
        </w:rPr>
        <w:tab/>
      </w:r>
      <w:bookmarkEnd w:id="0"/>
      <w:r w:rsidR="009472D6">
        <w:rPr>
          <w:rFonts w:asciiTheme="majorBidi" w:hAnsiTheme="majorBidi" w:cstheme="majorBidi"/>
        </w:rPr>
        <w:t xml:space="preserve">Informal document amending </w:t>
      </w:r>
      <w:r w:rsidR="00B14DA6">
        <w:rPr>
          <w:rFonts w:asciiTheme="majorBidi" w:hAnsiTheme="majorBidi" w:cstheme="majorBidi"/>
        </w:rPr>
        <w:t>‘</w:t>
      </w:r>
      <w:r w:rsidRPr="00843FE1">
        <w:rPr>
          <w:rFonts w:asciiTheme="majorBidi" w:hAnsiTheme="majorBidi" w:cstheme="majorBidi"/>
        </w:rPr>
        <w:t xml:space="preserve">Proposal for </w:t>
      </w:r>
      <w:r w:rsidR="00A77DBC">
        <w:rPr>
          <w:rFonts w:asciiTheme="majorBidi" w:hAnsiTheme="majorBidi" w:cstheme="majorBidi"/>
        </w:rPr>
        <w:t>Amendments</w:t>
      </w:r>
      <w:r w:rsidRPr="00843FE1">
        <w:rPr>
          <w:rFonts w:asciiTheme="majorBidi" w:hAnsiTheme="majorBidi" w:cstheme="majorBidi"/>
        </w:rPr>
        <w:t xml:space="preserve"> to the </w:t>
      </w:r>
      <w:r w:rsidR="000230AB" w:rsidRPr="00843FE1">
        <w:rPr>
          <w:rFonts w:asciiTheme="majorBidi" w:hAnsiTheme="majorBidi" w:cstheme="majorBidi"/>
        </w:rPr>
        <w:t>03</w:t>
      </w:r>
      <w:r w:rsidRPr="00843FE1">
        <w:rPr>
          <w:rFonts w:asciiTheme="majorBidi" w:hAnsiTheme="majorBidi" w:cstheme="majorBidi"/>
        </w:rPr>
        <w:t xml:space="preserve"> </w:t>
      </w:r>
      <w:r w:rsidR="00843FE1">
        <w:rPr>
          <w:rFonts w:asciiTheme="majorBidi" w:hAnsiTheme="majorBidi" w:cstheme="majorBidi"/>
        </w:rPr>
        <w:t>s</w:t>
      </w:r>
      <w:r w:rsidRPr="00843FE1">
        <w:rPr>
          <w:rFonts w:asciiTheme="majorBidi" w:hAnsiTheme="majorBidi" w:cstheme="majorBidi"/>
        </w:rPr>
        <w:t>eries of Amendments to UN</w:t>
      </w:r>
      <w:r w:rsidR="00434428">
        <w:rPr>
          <w:rFonts w:asciiTheme="majorBidi" w:hAnsiTheme="majorBidi" w:cstheme="majorBidi"/>
        </w:rPr>
        <w:t> </w:t>
      </w:r>
      <w:r w:rsidRPr="00843FE1">
        <w:rPr>
          <w:rFonts w:asciiTheme="majorBidi" w:hAnsiTheme="majorBidi" w:cstheme="majorBidi"/>
        </w:rPr>
        <w:t xml:space="preserve">Regulation No. 79 (Steering </w:t>
      </w:r>
      <w:r w:rsidR="00843FE1">
        <w:rPr>
          <w:rFonts w:asciiTheme="majorBidi" w:hAnsiTheme="majorBidi" w:cstheme="majorBidi"/>
        </w:rPr>
        <w:t>e</w:t>
      </w:r>
      <w:r w:rsidRPr="00843FE1">
        <w:rPr>
          <w:rFonts w:asciiTheme="majorBidi" w:hAnsiTheme="majorBidi" w:cstheme="majorBidi"/>
        </w:rPr>
        <w:t>quipment)</w:t>
      </w:r>
      <w:r w:rsidR="00B14DA6">
        <w:rPr>
          <w:rFonts w:asciiTheme="majorBidi" w:hAnsiTheme="majorBidi" w:cstheme="majorBidi"/>
        </w:rPr>
        <w:t>’</w:t>
      </w:r>
    </w:p>
    <w:p w14:paraId="2C77BECB" w14:textId="22259A3C" w:rsidR="00AC03B4" w:rsidRPr="00AC03B4" w:rsidRDefault="00081736" w:rsidP="00843FE1">
      <w:pPr>
        <w:pStyle w:val="SingleTxtG"/>
        <w:tabs>
          <w:tab w:val="left" w:pos="1701"/>
        </w:tabs>
        <w:rPr>
          <w:rFonts w:ascii="Times New Roman" w:hAnsi="Times New Roman" w:cs="Times New Roman"/>
          <w:b/>
          <w:sz w:val="20"/>
          <w:szCs w:val="20"/>
        </w:rPr>
      </w:pPr>
      <w:r w:rsidRPr="00AC03B4">
        <w:rPr>
          <w:rFonts w:ascii="Times New Roman" w:hAnsi="Times New Roman" w:cs="Times New Roman"/>
          <w:b/>
        </w:rPr>
        <w:t xml:space="preserve">Submitted by the expert from the </w:t>
      </w:r>
      <w:r w:rsidR="00AC03B4">
        <w:rPr>
          <w:rFonts w:ascii="Times New Roman" w:hAnsi="Times New Roman" w:cs="Times New Roman"/>
          <w:b/>
        </w:rPr>
        <w:t>European Association for Electromobility</w:t>
      </w:r>
    </w:p>
    <w:p w14:paraId="08DF4A2A" w14:textId="11CA26D5" w:rsidR="002E0C29" w:rsidRPr="00843FE1" w:rsidRDefault="002E0C29" w:rsidP="00843FE1">
      <w:pPr>
        <w:pStyle w:val="SingleTxtG"/>
        <w:tabs>
          <w:tab w:val="left" w:pos="1701"/>
        </w:tabs>
        <w:rPr>
          <w:rFonts w:asciiTheme="majorBidi" w:hAnsiTheme="majorBidi" w:cstheme="majorBidi"/>
          <w:sz w:val="20"/>
          <w:szCs w:val="20"/>
        </w:rPr>
      </w:pPr>
      <w:r w:rsidRPr="00843FE1">
        <w:rPr>
          <w:rFonts w:asciiTheme="majorBidi" w:hAnsiTheme="majorBidi" w:cstheme="majorBidi"/>
          <w:sz w:val="20"/>
          <w:szCs w:val="20"/>
        </w:rPr>
        <w:t>The text reproduced below was prepared by the expert from</w:t>
      </w:r>
      <w:r w:rsidR="00843FE1">
        <w:rPr>
          <w:rFonts w:asciiTheme="majorBidi" w:hAnsiTheme="majorBidi" w:cstheme="majorBidi"/>
          <w:sz w:val="20"/>
          <w:szCs w:val="20"/>
        </w:rPr>
        <w:t xml:space="preserve"> </w:t>
      </w:r>
      <w:r w:rsidRPr="00843FE1">
        <w:rPr>
          <w:rFonts w:asciiTheme="majorBidi" w:hAnsiTheme="majorBidi" w:cstheme="majorBidi"/>
          <w:sz w:val="20"/>
          <w:szCs w:val="20"/>
        </w:rPr>
        <w:t xml:space="preserve">the </w:t>
      </w:r>
      <w:r w:rsidR="00250033" w:rsidRPr="00843FE1">
        <w:rPr>
          <w:rFonts w:asciiTheme="majorBidi" w:hAnsiTheme="majorBidi" w:cstheme="majorBidi"/>
          <w:sz w:val="20"/>
          <w:szCs w:val="20"/>
        </w:rPr>
        <w:t xml:space="preserve">European Association for </w:t>
      </w:r>
      <w:r w:rsidR="00843FE1" w:rsidRPr="00843FE1">
        <w:rPr>
          <w:rFonts w:asciiTheme="majorBidi" w:hAnsiTheme="majorBidi" w:cstheme="majorBidi"/>
          <w:sz w:val="20"/>
          <w:szCs w:val="20"/>
        </w:rPr>
        <w:t xml:space="preserve">Electromobility </w:t>
      </w:r>
      <w:r w:rsidR="00843FE1">
        <w:rPr>
          <w:rFonts w:asciiTheme="majorBidi" w:hAnsiTheme="majorBidi" w:cstheme="majorBidi"/>
          <w:sz w:val="20"/>
          <w:szCs w:val="20"/>
        </w:rPr>
        <w:t>(</w:t>
      </w:r>
      <w:r w:rsidR="00843FE1" w:rsidRPr="00843FE1">
        <w:rPr>
          <w:rFonts w:asciiTheme="majorBidi" w:hAnsiTheme="majorBidi" w:cstheme="majorBidi"/>
          <w:sz w:val="20"/>
          <w:szCs w:val="20"/>
        </w:rPr>
        <w:t>AVERE</w:t>
      </w:r>
      <w:r w:rsidR="00843FE1">
        <w:rPr>
          <w:rFonts w:asciiTheme="majorBidi" w:hAnsiTheme="majorBidi" w:cstheme="majorBidi"/>
          <w:sz w:val="20"/>
          <w:szCs w:val="20"/>
        </w:rPr>
        <w:t>)</w:t>
      </w:r>
      <w:r w:rsidR="00843FE1" w:rsidRPr="00843FE1">
        <w:rPr>
          <w:rFonts w:asciiTheme="majorBidi" w:hAnsiTheme="majorBidi" w:cstheme="majorBidi"/>
          <w:sz w:val="20"/>
          <w:szCs w:val="20"/>
        </w:rPr>
        <w:t xml:space="preserve"> introducing</w:t>
      </w:r>
      <w:r w:rsidRPr="00843FE1">
        <w:rPr>
          <w:rFonts w:asciiTheme="majorBidi" w:hAnsiTheme="majorBidi" w:cstheme="majorBidi"/>
          <w:sz w:val="20"/>
          <w:szCs w:val="20"/>
        </w:rPr>
        <w:t xml:space="preserve"> an amend</w:t>
      </w:r>
      <w:r w:rsidR="00546AB4" w:rsidRPr="00843FE1">
        <w:rPr>
          <w:rFonts w:asciiTheme="majorBidi" w:hAnsiTheme="majorBidi" w:cstheme="majorBidi"/>
          <w:sz w:val="20"/>
          <w:szCs w:val="20"/>
        </w:rPr>
        <w:t>ment to UN</w:t>
      </w:r>
      <w:r w:rsidR="00843FE1" w:rsidRPr="00843FE1">
        <w:rPr>
          <w:rFonts w:asciiTheme="majorBidi" w:hAnsiTheme="majorBidi" w:cstheme="majorBidi"/>
          <w:sz w:val="20"/>
          <w:szCs w:val="20"/>
        </w:rPr>
        <w:t> </w:t>
      </w:r>
      <w:r w:rsidR="00546AB4" w:rsidRPr="00843FE1">
        <w:rPr>
          <w:rFonts w:asciiTheme="majorBidi" w:hAnsiTheme="majorBidi" w:cstheme="majorBidi"/>
          <w:sz w:val="20"/>
          <w:szCs w:val="20"/>
        </w:rPr>
        <w:t>Regulation No. 79</w:t>
      </w:r>
      <w:r w:rsidRPr="00843FE1">
        <w:rPr>
          <w:rFonts w:asciiTheme="majorBidi" w:hAnsiTheme="majorBidi" w:cstheme="majorBidi"/>
          <w:sz w:val="20"/>
          <w:szCs w:val="20"/>
        </w:rPr>
        <w:t>. It is aimed at clarifying the text of the Regulation. The modifications to the existing text of the Regulation are marked in bold for new and strikethrough for deleted characters.</w:t>
      </w:r>
    </w:p>
    <w:p w14:paraId="792CED9E" w14:textId="77777777" w:rsidR="002E0C29" w:rsidRPr="00A77DBC" w:rsidRDefault="002E0C29" w:rsidP="00A77DBC">
      <w:pPr>
        <w:pStyle w:val="H1G"/>
        <w:rPr>
          <w:rFonts w:asciiTheme="majorBidi" w:hAnsiTheme="majorBidi" w:cstheme="majorBidi"/>
          <w:lang w:val="en-GB"/>
        </w:rPr>
      </w:pPr>
      <w:r w:rsidRPr="00843FE1">
        <w:rPr>
          <w:rFonts w:asciiTheme="majorBidi" w:hAnsiTheme="majorBidi" w:cstheme="majorBidi"/>
        </w:rPr>
        <w:tab/>
        <w:t>I.</w:t>
      </w:r>
      <w:r w:rsidRPr="00843FE1">
        <w:rPr>
          <w:rFonts w:asciiTheme="majorBidi" w:hAnsiTheme="majorBidi" w:cstheme="majorBidi"/>
        </w:rPr>
        <w:tab/>
        <w:t>Proposal</w:t>
      </w:r>
    </w:p>
    <w:p w14:paraId="4BA4C7B9" w14:textId="77777777" w:rsidR="002E0C29" w:rsidRPr="00843FE1" w:rsidRDefault="002E0C29" w:rsidP="002E0C29">
      <w:pPr>
        <w:pStyle w:val="SingleTxtG"/>
        <w:rPr>
          <w:rFonts w:asciiTheme="majorBidi" w:hAnsiTheme="majorBidi" w:cstheme="majorBidi"/>
          <w:sz w:val="20"/>
          <w:szCs w:val="20"/>
          <w:lang w:val="en-GB"/>
        </w:rPr>
      </w:pPr>
      <w:r w:rsidRPr="00843FE1">
        <w:rPr>
          <w:rFonts w:asciiTheme="majorBidi" w:hAnsiTheme="majorBidi" w:cstheme="majorBidi"/>
          <w:i/>
          <w:sz w:val="20"/>
          <w:szCs w:val="20"/>
          <w:lang w:val="sv-SE"/>
        </w:rPr>
        <w:t>Paragraph 5</w:t>
      </w:r>
      <w:r w:rsidR="00A77DBC">
        <w:rPr>
          <w:rFonts w:asciiTheme="majorBidi" w:hAnsiTheme="majorBidi" w:cstheme="majorBidi"/>
          <w:i/>
          <w:sz w:val="20"/>
          <w:szCs w:val="20"/>
          <w:lang w:val="sv-SE"/>
        </w:rPr>
        <w:t>.</w:t>
      </w:r>
      <w:r w:rsidR="005A4A0F">
        <w:rPr>
          <w:rFonts w:asciiTheme="majorBidi" w:hAnsiTheme="majorBidi" w:cstheme="majorBidi"/>
          <w:i/>
          <w:sz w:val="20"/>
          <w:szCs w:val="20"/>
          <w:lang w:val="sv-SE"/>
        </w:rPr>
        <w:t>6.2.1.3</w:t>
      </w:r>
      <w:r w:rsidRPr="00843FE1">
        <w:rPr>
          <w:rFonts w:asciiTheme="majorBidi" w:hAnsiTheme="majorBidi" w:cstheme="majorBidi"/>
          <w:i/>
          <w:sz w:val="20"/>
          <w:szCs w:val="20"/>
        </w:rPr>
        <w:t xml:space="preserve">, </w:t>
      </w:r>
      <w:r w:rsidRPr="00843FE1">
        <w:rPr>
          <w:rFonts w:asciiTheme="majorBidi" w:hAnsiTheme="majorBidi" w:cstheme="majorBidi"/>
          <w:sz w:val="20"/>
          <w:szCs w:val="20"/>
        </w:rPr>
        <w:t>amend to read</w:t>
      </w:r>
      <w:r w:rsidR="00843FE1" w:rsidRPr="00843FE1">
        <w:rPr>
          <w:rFonts w:asciiTheme="majorBidi" w:hAnsiTheme="majorBidi" w:cstheme="majorBidi"/>
          <w:sz w:val="20"/>
          <w:szCs w:val="20"/>
        </w:rPr>
        <w:t xml:space="preserve"> (insert a</w:t>
      </w:r>
      <w:r w:rsidR="005A4A0F">
        <w:rPr>
          <w:rFonts w:asciiTheme="majorBidi" w:hAnsiTheme="majorBidi" w:cstheme="majorBidi"/>
          <w:sz w:val="20"/>
          <w:szCs w:val="20"/>
        </w:rPr>
        <w:t xml:space="preserve"> new provision</w:t>
      </w:r>
      <w:r w:rsidR="00843FE1" w:rsidRPr="00843FE1">
        <w:rPr>
          <w:rFonts w:asciiTheme="majorBidi" w:hAnsiTheme="majorBidi" w:cstheme="majorBidi"/>
          <w:sz w:val="20"/>
          <w:szCs w:val="20"/>
        </w:rPr>
        <w:t>)</w:t>
      </w:r>
      <w:r w:rsidRPr="00843FE1">
        <w:rPr>
          <w:rFonts w:asciiTheme="majorBidi" w:hAnsiTheme="majorBidi" w:cstheme="majorBidi"/>
          <w:sz w:val="20"/>
          <w:szCs w:val="20"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381"/>
        <w:gridCol w:w="6806"/>
      </w:tblGrid>
      <w:tr w:rsidR="005A4A0F" w14:paraId="00790A2E" w14:textId="77777777" w:rsidTr="009D5968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B8EF1D5" w14:textId="77777777" w:rsidR="005A4A0F" w:rsidRDefault="005A4A0F" w:rsidP="005A4A0F">
            <w:pPr>
              <w:pStyle w:val="SingleTxtG"/>
              <w:ind w:left="0" w:right="-105"/>
              <w:rPr>
                <w:rFonts w:asciiTheme="majorBidi" w:hAnsiTheme="majorBidi" w:cstheme="majorBidi"/>
                <w:sz w:val="20"/>
                <w:szCs w:val="20"/>
              </w:rPr>
            </w:pPr>
            <w:r w:rsidRPr="00843FE1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5.6.2.1.3</w:t>
            </w:r>
            <w:r w:rsidR="00AF6859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14:paraId="05E021E5" w14:textId="77777777" w:rsidR="004F4891" w:rsidRPr="004F4891" w:rsidRDefault="004F4891" w:rsidP="00BC64D3">
            <w:pPr>
              <w:pStyle w:val="SingleTxtG"/>
              <w:tabs>
                <w:tab w:val="left" w:pos="6555"/>
              </w:tabs>
              <w:ind w:left="-14" w:right="30"/>
              <w:rPr>
                <w:rFonts w:asciiTheme="majorBidi" w:hAnsiTheme="majorBidi" w:cstheme="majorBidi"/>
                <w:sz w:val="20"/>
                <w:szCs w:val="20"/>
              </w:rPr>
            </w:pPr>
            <w:r w:rsidRPr="004F4891">
              <w:rPr>
                <w:rFonts w:asciiTheme="majorBidi" w:hAnsiTheme="majorBidi" w:cstheme="majorBidi"/>
                <w:sz w:val="20"/>
                <w:szCs w:val="20"/>
              </w:rPr>
              <w:t xml:space="preserve">The system shall be designed so that excessive intervention of steering control is suppressed to ensure the steering operability by the driver and to avoid unexpected vehicle </w:t>
            </w:r>
            <w:proofErr w:type="spellStart"/>
            <w:r w:rsidRPr="004F4891">
              <w:rPr>
                <w:rFonts w:asciiTheme="majorBidi" w:hAnsiTheme="majorBidi" w:cstheme="majorBidi"/>
                <w:sz w:val="20"/>
                <w:szCs w:val="20"/>
              </w:rPr>
              <w:t>behaviour</w:t>
            </w:r>
            <w:proofErr w:type="spellEnd"/>
            <w:r w:rsidRPr="004F4891">
              <w:rPr>
                <w:rFonts w:asciiTheme="majorBidi" w:hAnsiTheme="majorBidi" w:cstheme="majorBidi"/>
                <w:sz w:val="20"/>
                <w:szCs w:val="20"/>
              </w:rPr>
              <w:t>, during its operation. To ensure this, the following requirements shall be fulfilled:</w:t>
            </w:r>
            <w:bookmarkStart w:id="1" w:name="_GoBack"/>
            <w:bookmarkEnd w:id="1"/>
          </w:p>
          <w:p w14:paraId="0280F36F" w14:textId="77777777" w:rsidR="004F4891" w:rsidRPr="004F4891" w:rsidRDefault="00D10773" w:rsidP="00BC64D3">
            <w:pPr>
              <w:pStyle w:val="SingleTxtG"/>
              <w:tabs>
                <w:tab w:val="left" w:pos="6555"/>
              </w:tabs>
              <w:ind w:left="0" w:right="3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(a) </w:t>
            </w:r>
            <w:r w:rsidR="004F4891" w:rsidRPr="004F4891">
              <w:rPr>
                <w:rFonts w:asciiTheme="majorBidi" w:hAnsiTheme="majorBidi" w:cstheme="majorBidi"/>
                <w:sz w:val="20"/>
                <w:szCs w:val="20"/>
              </w:rPr>
              <w:t>The steering control effort necessary to override the directional control provided by the system shall not exceed 50 N;</w:t>
            </w:r>
          </w:p>
          <w:p w14:paraId="2807A75E" w14:textId="77777777" w:rsidR="004F4891" w:rsidRDefault="00D10773" w:rsidP="00D10773">
            <w:pPr>
              <w:pStyle w:val="Heading1"/>
              <w:keepNext/>
              <w:keepLines/>
              <w:numPr>
                <w:ilvl w:val="0"/>
                <w:numId w:val="0"/>
              </w:numPr>
              <w:ind w:hanging="44"/>
              <w:outlineLvl w:val="0"/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4891">
              <w:rPr>
                <w:rFonts w:asciiTheme="majorBidi" w:hAnsiTheme="majorBidi" w:cstheme="majorBidi"/>
              </w:rPr>
              <w:t xml:space="preserve">(b) </w:t>
            </w:r>
            <w:r w:rsidR="004F4891" w:rsidRPr="004F4891">
              <w:rPr>
                <w:rFonts w:asciiTheme="majorBidi" w:hAnsiTheme="majorBidi" w:cstheme="majorBidi"/>
              </w:rPr>
              <w:t xml:space="preserve">The specified maximum lateral acceleration </w:t>
            </w:r>
            <w:proofErr w:type="spellStart"/>
            <w:r w:rsidR="004F4891" w:rsidRPr="004F4891">
              <w:rPr>
                <w:rFonts w:asciiTheme="majorBidi" w:hAnsiTheme="majorBidi" w:cstheme="majorBidi"/>
              </w:rPr>
              <w:t>aysmax</w:t>
            </w:r>
            <w:proofErr w:type="spellEnd"/>
            <w:r w:rsidR="004F4891" w:rsidRPr="004F4891">
              <w:rPr>
                <w:rFonts w:asciiTheme="majorBidi" w:hAnsiTheme="majorBidi" w:cstheme="majorBidi"/>
              </w:rPr>
              <w:t xml:space="preserve"> shall be within the limits as defined in the following table:</w:t>
            </w:r>
            <w:r w:rsidR="004F4891">
              <w:t xml:space="preserve"> </w:t>
            </w:r>
          </w:p>
          <w:p w14:paraId="48AC83E9" w14:textId="77777777" w:rsidR="004F4891" w:rsidRDefault="004F4891" w:rsidP="004F4891">
            <w:pPr>
              <w:pStyle w:val="Heading1"/>
              <w:keepNext/>
              <w:keepLines/>
              <w:numPr>
                <w:ilvl w:val="0"/>
                <w:numId w:val="0"/>
              </w:numPr>
              <w:ind w:left="226" w:hanging="44"/>
              <w:outlineLvl w:val="0"/>
            </w:pPr>
          </w:p>
          <w:p w14:paraId="1D4D6C6B" w14:textId="77777777" w:rsidR="004F4891" w:rsidRPr="00AF6859" w:rsidRDefault="004F4891" w:rsidP="004F4891">
            <w:pPr>
              <w:pStyle w:val="Heading1"/>
              <w:keepNext/>
              <w:keepLines/>
              <w:numPr>
                <w:ilvl w:val="0"/>
                <w:numId w:val="0"/>
              </w:numPr>
              <w:ind w:left="226" w:hanging="44"/>
              <w:outlineLvl w:val="0"/>
            </w:pPr>
            <w:r w:rsidRPr="00AF6859">
              <w:t xml:space="preserve"> Table 1</w:t>
            </w:r>
          </w:p>
          <w:tbl>
            <w:tblPr>
              <w:tblW w:w="6275" w:type="dxa"/>
              <w:tblInd w:w="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1055"/>
              <w:gridCol w:w="1064"/>
              <w:gridCol w:w="1061"/>
              <w:gridCol w:w="912"/>
            </w:tblGrid>
            <w:tr w:rsidR="004F4891" w:rsidRPr="00AF6859" w14:paraId="7BC96885" w14:textId="77777777" w:rsidTr="004F4891">
              <w:trPr>
                <w:trHeight w:val="255"/>
              </w:trPr>
              <w:tc>
                <w:tcPr>
                  <w:tcW w:w="6275" w:type="dxa"/>
                  <w:gridSpan w:val="5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3E45187E" w14:textId="77777777" w:rsidR="004F4891" w:rsidRPr="00AF6859" w:rsidRDefault="004F4891" w:rsidP="004F4891">
                  <w:pPr>
                    <w:pStyle w:val="SingleTxtG"/>
                    <w:keepNext/>
                    <w:keepLines/>
                    <w:spacing w:after="0"/>
                    <w:ind w:left="86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b/>
                      <w:lang w:eastAsia="de-DE"/>
                    </w:rPr>
                    <w:t>For vehicles of category M</w:t>
                  </w:r>
                  <w:r w:rsidRPr="00AF6859">
                    <w:rPr>
                      <w:rFonts w:ascii="Times New Roman" w:hAnsi="Times New Roman" w:cs="Times New Roman"/>
                      <w:b/>
                      <w:vertAlign w:val="subscript"/>
                      <w:lang w:eastAsia="de-DE"/>
                    </w:rPr>
                    <w:t>1</w:t>
                  </w:r>
                  <w:r w:rsidRPr="00AF6859">
                    <w:rPr>
                      <w:rFonts w:ascii="Times New Roman" w:hAnsi="Times New Roman" w:cs="Times New Roman"/>
                      <w:b/>
                      <w:lang w:eastAsia="de-DE"/>
                    </w:rPr>
                    <w:t>, N</w:t>
                  </w:r>
                  <w:r w:rsidRPr="00AF6859">
                    <w:rPr>
                      <w:rFonts w:ascii="Times New Roman" w:hAnsi="Times New Roman" w:cs="Times New Roman"/>
                      <w:b/>
                      <w:vertAlign w:val="subscript"/>
                      <w:lang w:eastAsia="de-DE"/>
                    </w:rPr>
                    <w:t>1</w:t>
                  </w:r>
                </w:p>
              </w:tc>
            </w:tr>
            <w:tr w:rsidR="004F4891" w:rsidRPr="00AF6859" w14:paraId="058ECAAA" w14:textId="77777777" w:rsidTr="004F4891">
              <w:trPr>
                <w:trHeight w:val="255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BBB2D8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  <w:lang w:eastAsia="de-DE"/>
                    </w:rPr>
                    <w:t>Speed range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90479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  <w:t>10 - 60 km/h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D8779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  <w:t>&gt; 60 - 100 km/h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30DEA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  <w:t>&gt; 100 - 130 km/h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9A57E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  <w:t>&gt; 130 km/h</w:t>
                  </w:r>
                </w:p>
              </w:tc>
            </w:tr>
            <w:tr w:rsidR="004F4891" w:rsidRPr="00AF6859" w14:paraId="38137184" w14:textId="77777777" w:rsidTr="004F4891">
              <w:trPr>
                <w:trHeight w:val="255"/>
              </w:trPr>
              <w:tc>
                <w:tcPr>
                  <w:tcW w:w="21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0180D9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 xml:space="preserve">Maximum value for the specified maximum lateral acceleration </w:t>
                  </w:r>
                </w:p>
              </w:tc>
              <w:tc>
                <w:tcPr>
                  <w:tcW w:w="105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B8DB4D" w14:textId="05E697C0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C23C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eastAsia="de-DE"/>
                    </w:rPr>
                    <w:t>3</w:t>
                  </w:r>
                  <w:r w:rsidR="00340019" w:rsidRPr="00C23C9B"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  <w:t xml:space="preserve"> </w:t>
                  </w:r>
                  <w:r w:rsidR="00340019" w:rsidRPr="003400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de-DE"/>
                    </w:rPr>
                    <w:t>4</w:t>
                  </w: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 xml:space="preserve"> m/s²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C1E3FA" w14:textId="1E16074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C23C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eastAsia="de-DE"/>
                    </w:rPr>
                    <w:t>3</w:t>
                  </w:r>
                  <w:r w:rsidR="00340019" w:rsidRPr="00C23C9B"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  <w:t xml:space="preserve"> </w:t>
                  </w:r>
                  <w:r w:rsidR="00340019" w:rsidRPr="003400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de-DE"/>
                    </w:rPr>
                    <w:t>4</w:t>
                  </w: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 xml:space="preserve"> m/s²</w:t>
                  </w:r>
                </w:p>
              </w:tc>
              <w:tc>
                <w:tcPr>
                  <w:tcW w:w="106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3C0D8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3 m/s²</w:t>
                  </w:r>
                </w:p>
              </w:tc>
              <w:tc>
                <w:tcPr>
                  <w:tcW w:w="91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19DBD5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3 m/s²</w:t>
                  </w:r>
                </w:p>
              </w:tc>
            </w:tr>
            <w:tr w:rsidR="004F4891" w:rsidRPr="00AF6859" w14:paraId="2633A800" w14:textId="77777777" w:rsidTr="004F4891">
              <w:trPr>
                <w:trHeight w:val="25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F6A773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Minimum value for the specified maximum lateral acceleration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82C017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0 m/s²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101FFA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0.5 m/s²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789C5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de-DE"/>
                    </w:rPr>
                    <w:t>0.8</w:t>
                  </w:r>
                  <w:r w:rsidRPr="00AF6859">
                    <w:rPr>
                      <w:rFonts w:ascii="Times New Roman" w:hAnsi="Times New Roman" w:cs="Times New Roman"/>
                      <w:bCs/>
                      <w:color w:val="FF0000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m/s²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D1D24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0.3 m/s²</w:t>
                  </w:r>
                </w:p>
              </w:tc>
            </w:tr>
            <w:tr w:rsidR="004F4891" w:rsidRPr="00AF6859" w14:paraId="1943AF5D" w14:textId="77777777" w:rsidTr="004F4891">
              <w:trPr>
                <w:trHeight w:val="255"/>
              </w:trPr>
              <w:tc>
                <w:tcPr>
                  <w:tcW w:w="4302" w:type="dxa"/>
                  <w:gridSpan w:val="3"/>
                  <w:noWrap/>
                  <w:vAlign w:val="center"/>
                  <w:hideMark/>
                </w:tcPr>
                <w:p w14:paraId="26C0CB23" w14:textId="77777777" w:rsidR="004F4891" w:rsidRPr="00AF6859" w:rsidRDefault="004F4891" w:rsidP="004F4891">
                  <w:pPr>
                    <w:pStyle w:val="SingleTxtG"/>
                    <w:keepNext/>
                    <w:keepLines/>
                    <w:spacing w:after="0"/>
                    <w:ind w:left="86"/>
                    <w:rPr>
                      <w:rFonts w:ascii="Times New Roman" w:hAnsi="Times New Roman" w:cs="Times New Roman"/>
                      <w:b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b/>
                      <w:lang w:eastAsia="de-DE"/>
                    </w:rPr>
                    <w:t>For vehicles of category M</w:t>
                  </w:r>
                  <w:r w:rsidRPr="00AF6859">
                    <w:rPr>
                      <w:rFonts w:ascii="Times New Roman" w:hAnsi="Times New Roman" w:cs="Times New Roman"/>
                      <w:b/>
                      <w:vertAlign w:val="subscript"/>
                      <w:lang w:eastAsia="de-DE"/>
                    </w:rPr>
                    <w:t>2</w:t>
                  </w:r>
                  <w:r w:rsidRPr="00AF6859">
                    <w:rPr>
                      <w:rFonts w:ascii="Times New Roman" w:hAnsi="Times New Roman" w:cs="Times New Roman"/>
                      <w:b/>
                      <w:lang w:eastAsia="de-DE"/>
                    </w:rPr>
                    <w:t>, M</w:t>
                  </w:r>
                  <w:r w:rsidRPr="00AF6859">
                    <w:rPr>
                      <w:rFonts w:ascii="Times New Roman" w:hAnsi="Times New Roman" w:cs="Times New Roman"/>
                      <w:b/>
                      <w:vertAlign w:val="subscript"/>
                      <w:lang w:eastAsia="de-DE"/>
                    </w:rPr>
                    <w:t>3</w:t>
                  </w:r>
                  <w:r w:rsidRPr="00AF6859">
                    <w:rPr>
                      <w:rFonts w:ascii="Times New Roman" w:hAnsi="Times New Roman" w:cs="Times New Roman"/>
                      <w:b/>
                      <w:lang w:eastAsia="de-DE"/>
                    </w:rPr>
                    <w:t>, N</w:t>
                  </w:r>
                  <w:r w:rsidRPr="00AF6859">
                    <w:rPr>
                      <w:rFonts w:ascii="Times New Roman" w:hAnsi="Times New Roman" w:cs="Times New Roman"/>
                      <w:b/>
                      <w:vertAlign w:val="subscript"/>
                      <w:lang w:eastAsia="de-DE"/>
                    </w:rPr>
                    <w:t>2</w:t>
                  </w:r>
                  <w:r w:rsidRPr="00AF6859">
                    <w:rPr>
                      <w:rFonts w:ascii="Times New Roman" w:hAnsi="Times New Roman" w:cs="Times New Roman"/>
                      <w:b/>
                      <w:lang w:eastAsia="de-DE"/>
                    </w:rPr>
                    <w:t>, N</w:t>
                  </w:r>
                  <w:r w:rsidRPr="00AF6859">
                    <w:rPr>
                      <w:rFonts w:ascii="Times New Roman" w:hAnsi="Times New Roman" w:cs="Times New Roman"/>
                      <w:b/>
                      <w:vertAlign w:val="subscript"/>
                      <w:lang w:eastAsia="de-DE"/>
                    </w:rPr>
                    <w:t>3</w:t>
                  </w:r>
                  <w:r w:rsidRPr="00AF6859">
                    <w:rPr>
                      <w:rFonts w:ascii="Times New Roman" w:hAnsi="Times New Roman" w:cs="Times New Roman"/>
                      <w:b/>
                      <w:lang w:eastAsia="de-DE"/>
                    </w:rPr>
                    <w:t> </w:t>
                  </w:r>
                </w:p>
              </w:tc>
              <w:tc>
                <w:tcPr>
                  <w:tcW w:w="1061" w:type="dxa"/>
                  <w:noWrap/>
                  <w:vAlign w:val="center"/>
                </w:tcPr>
                <w:p w14:paraId="4D3DCDF6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6"/>
                      <w:lang w:eastAsia="de-DE"/>
                    </w:rPr>
                  </w:pPr>
                </w:p>
              </w:tc>
              <w:tc>
                <w:tcPr>
                  <w:tcW w:w="912" w:type="dxa"/>
                  <w:noWrap/>
                  <w:vAlign w:val="center"/>
                </w:tcPr>
                <w:p w14:paraId="571344CF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6"/>
                      <w:lang w:eastAsia="de-DE"/>
                    </w:rPr>
                  </w:pPr>
                </w:p>
              </w:tc>
            </w:tr>
            <w:tr w:rsidR="004F4891" w:rsidRPr="00AF6859" w14:paraId="23BA3E9C" w14:textId="77777777" w:rsidTr="004F4891">
              <w:trPr>
                <w:trHeight w:val="255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AB476B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  <w:lang w:eastAsia="de-DE"/>
                    </w:rPr>
                    <w:t>Speed range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FBC65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  <w:t>10 - 30 km/h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B5771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  <w:t>&gt; 30 - 60 km/h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66158" w14:textId="77777777" w:rsidR="004F4891" w:rsidRPr="00AF6859" w:rsidRDefault="004F4891" w:rsidP="004F4891">
                  <w:pPr>
                    <w:keepNext/>
                    <w:keepLines/>
                    <w:spacing w:before="80" w:after="80" w:line="20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de-DE"/>
                    </w:rPr>
                    <w:t>&gt; 60 km/h</w:t>
                  </w:r>
                </w:p>
              </w:tc>
              <w:tc>
                <w:tcPr>
                  <w:tcW w:w="912" w:type="dxa"/>
                  <w:noWrap/>
                  <w:vAlign w:val="center"/>
                </w:tcPr>
                <w:p w14:paraId="42B137E6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4F4891" w:rsidRPr="00AF6859" w14:paraId="3CA571B0" w14:textId="77777777" w:rsidTr="004F4891">
              <w:trPr>
                <w:trHeight w:val="255"/>
              </w:trPr>
              <w:tc>
                <w:tcPr>
                  <w:tcW w:w="21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00A829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 xml:space="preserve">Maximum value for the specified maximum lateral acceleration </w:t>
                  </w:r>
                </w:p>
              </w:tc>
              <w:tc>
                <w:tcPr>
                  <w:tcW w:w="105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FFD4B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  <w:t>2.5 m/s²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4FC43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  <w:t>2.5 m/s²</w:t>
                  </w:r>
                </w:p>
              </w:tc>
              <w:tc>
                <w:tcPr>
                  <w:tcW w:w="106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E8443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  <w:t>2.5 m/s²</w:t>
                  </w:r>
                </w:p>
              </w:tc>
              <w:tc>
                <w:tcPr>
                  <w:tcW w:w="912" w:type="dxa"/>
                  <w:noWrap/>
                  <w:vAlign w:val="center"/>
                </w:tcPr>
                <w:p w14:paraId="4914C3B9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4F4891" w:rsidRPr="00AF6859" w14:paraId="30A4B32C" w14:textId="77777777" w:rsidTr="004F4891">
              <w:trPr>
                <w:trHeight w:val="25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0752D7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Minimum value for the specified maximum lateral acceleration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01DD24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de-DE"/>
                    </w:rPr>
                    <w:t>0 m/s²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DA285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  <w:t>0.3 m/s²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08622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AF6859"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  <w:t>0.5 m/s²</w:t>
                  </w:r>
                </w:p>
              </w:tc>
              <w:tc>
                <w:tcPr>
                  <w:tcW w:w="912" w:type="dxa"/>
                  <w:noWrap/>
                  <w:vAlign w:val="center"/>
                </w:tcPr>
                <w:p w14:paraId="75469A91" w14:textId="77777777" w:rsidR="004F4891" w:rsidRPr="00AF6859" w:rsidRDefault="004F4891" w:rsidP="004F4891">
                  <w:pPr>
                    <w:keepNext/>
                    <w:keepLines/>
                    <w:spacing w:before="40" w:afterLines="40" w:after="96" w:line="220" w:lineRule="exact"/>
                    <w:ind w:left="86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14:paraId="397A7A9F" w14:textId="77777777" w:rsidR="004F4891" w:rsidRDefault="004F4891" w:rsidP="004F4891">
            <w:pPr>
              <w:pStyle w:val="SingleTxtG"/>
              <w:ind w:left="-14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ABF0539" w14:textId="77777777" w:rsidR="004F4891" w:rsidRDefault="004F4891" w:rsidP="004F4891">
            <w:pPr>
              <w:pStyle w:val="SingleTxtG"/>
              <w:ind w:left="-14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266595B" w14:textId="1ED8697A" w:rsidR="0075644B" w:rsidRPr="00340019" w:rsidRDefault="004F4891">
            <w:pPr>
              <w:pStyle w:val="SingleTxtG"/>
              <w:ind w:left="0" w:right="3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59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(c) </w:t>
            </w:r>
            <w:r w:rsidR="003400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the presence of weather conditions which have the potential to adversely affect vehicle performance, the maximum lateral acceleration shall be limited to 3 m/s</w:t>
            </w:r>
            <w:r w:rsidR="00340019" w:rsidRPr="0034001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 w:rsidR="003400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across all speed categories for M1 and N1 category vehicles. </w:t>
            </w:r>
            <w:r w:rsidR="00C72E40" w:rsidRPr="00340019">
              <w:rPr>
                <w:rFonts w:asciiTheme="majorBidi" w:hAnsiTheme="majorBidi" w:cstheme="majorBid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</w:p>
          <w:p w14:paraId="3EE208D1" w14:textId="3A251385" w:rsidR="005A4A0F" w:rsidRPr="0075644B" w:rsidRDefault="00A1079B" w:rsidP="00A1079B">
            <w:pPr>
              <w:pStyle w:val="SingleTxtG"/>
              <w:ind w:left="0" w:right="3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The</w:t>
            </w:r>
            <w:r w:rsidR="0075644B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control </w:t>
            </w:r>
            <w:r w:rsidR="0075644B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strategies</w:t>
            </w:r>
            <w:r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for the detection of weather conditions</w:t>
            </w:r>
            <w:r w:rsidR="008F5CCF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shall</w:t>
            </w:r>
            <w:r w:rsidR="0075644B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be declared </w:t>
            </w:r>
            <w:r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to the satisfaction of the Technical Service</w:t>
            </w:r>
            <w:r w:rsidR="0075644B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, and</w:t>
            </w:r>
            <w:r w:rsidR="006751EE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the methodology shall</w:t>
            </w:r>
            <w:r w:rsidR="0075644B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be </w:t>
            </w:r>
            <w:r w:rsidR="003B3A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included in</w:t>
            </w:r>
            <w:r w:rsidR="0075644B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the </w:t>
            </w:r>
            <w:r w:rsid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Annex 6</w:t>
            </w:r>
            <w:r w:rsidR="003B3A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report</w:t>
            </w:r>
            <w:r w:rsidR="0075644B" w:rsidRPr="0034001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296F00F" w14:textId="77777777" w:rsidR="002E0C29" w:rsidRPr="00843FE1" w:rsidRDefault="002E0C29" w:rsidP="00843FE1">
      <w:pPr>
        <w:pStyle w:val="H1G"/>
        <w:rPr>
          <w:rFonts w:asciiTheme="majorBidi" w:hAnsiTheme="majorBidi" w:cstheme="majorBidi"/>
          <w:lang w:val="en-GB"/>
        </w:rPr>
      </w:pPr>
      <w:r w:rsidRPr="00843FE1">
        <w:rPr>
          <w:rFonts w:asciiTheme="majorBidi" w:hAnsiTheme="majorBidi" w:cstheme="majorBidi"/>
        </w:rPr>
        <w:lastRenderedPageBreak/>
        <w:tab/>
        <w:t>I</w:t>
      </w:r>
      <w:r w:rsidR="000230AB" w:rsidRPr="00843FE1">
        <w:rPr>
          <w:rFonts w:asciiTheme="majorBidi" w:hAnsiTheme="majorBidi" w:cstheme="majorBidi"/>
        </w:rPr>
        <w:t>I</w:t>
      </w:r>
      <w:r w:rsidRPr="00843FE1">
        <w:rPr>
          <w:rFonts w:asciiTheme="majorBidi" w:hAnsiTheme="majorBidi" w:cstheme="majorBidi"/>
        </w:rPr>
        <w:t>.</w:t>
      </w:r>
      <w:r w:rsidRPr="00843FE1">
        <w:rPr>
          <w:rFonts w:asciiTheme="majorBidi" w:hAnsiTheme="majorBidi" w:cstheme="majorBidi"/>
        </w:rPr>
        <w:tab/>
        <w:t>Justification</w:t>
      </w:r>
    </w:p>
    <w:p w14:paraId="63844AA3" w14:textId="77777777" w:rsidR="00AF6859" w:rsidRPr="00AF6859" w:rsidRDefault="00AF6859" w:rsidP="00AF6859">
      <w:pPr>
        <w:pStyle w:val="SingleTxtG"/>
        <w:numPr>
          <w:ilvl w:val="0"/>
          <w:numId w:val="5"/>
        </w:numPr>
        <w:tabs>
          <w:tab w:val="left" w:pos="1701"/>
        </w:tabs>
        <w:ind w:left="1170" w:hanging="540"/>
        <w:rPr>
          <w:rFonts w:asciiTheme="majorBidi" w:hAnsiTheme="majorBidi" w:cstheme="majorBidi"/>
          <w:b/>
          <w:sz w:val="24"/>
          <w:szCs w:val="20"/>
        </w:rPr>
      </w:pPr>
      <w:r w:rsidRPr="00AF6859">
        <w:rPr>
          <w:rFonts w:asciiTheme="majorBidi" w:hAnsiTheme="majorBidi" w:cstheme="majorBidi"/>
          <w:b/>
          <w:sz w:val="24"/>
          <w:szCs w:val="20"/>
        </w:rPr>
        <w:t>Paragraph 5.6.2.1.3</w:t>
      </w:r>
      <w:r>
        <w:rPr>
          <w:rFonts w:asciiTheme="majorBidi" w:hAnsiTheme="majorBidi" w:cstheme="majorBidi"/>
          <w:b/>
          <w:sz w:val="24"/>
          <w:szCs w:val="20"/>
        </w:rPr>
        <w:t>.</w:t>
      </w:r>
    </w:p>
    <w:p w14:paraId="105D51EF" w14:textId="37CA1647" w:rsidR="009D5968" w:rsidRDefault="00203209" w:rsidP="00203209">
      <w:pPr>
        <w:pStyle w:val="SingleTxtG"/>
        <w:numPr>
          <w:ilvl w:val="0"/>
          <w:numId w:val="7"/>
        </w:numPr>
        <w:tabs>
          <w:tab w:val="left" w:pos="1701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Based on input received from the contracting parties, we propose to limit our proposal to a 100 km/h. A limit of 100 km/h still does not encompass all the cases where a vehicle may experience lateral acceleration values above 3 m/s² based on manual driving data that was collected. This is especially problematic in situations (such as interchanges or exits) where a curve becomes progressively tighter. Reducing this limit further will increase the number of situations where the vehicle is not able to maintain a safe position in the curve, resulting in confusing behavior for the driver and surrounding traffic, and a safety risk by the potential departure of the vehicle from the lane. A manufacturer will not design the system to reach the 4 m/s² value at all times as this would not be a desirable experience for the driver. Nonetheless, the increased limit should be maintained to ensure a safe performance in a multitude of environments.</w:t>
      </w:r>
      <w:r w:rsidR="0022759E">
        <w:rPr>
          <w:rFonts w:asciiTheme="majorBidi" w:hAnsiTheme="majorBidi" w:cstheme="majorBidi"/>
          <w:sz w:val="20"/>
          <w:szCs w:val="20"/>
        </w:rPr>
        <w:t xml:space="preserve"> The following data is from 500 vehicles over the course of 30 days. </w:t>
      </w:r>
    </w:p>
    <w:p w14:paraId="45FE4309" w14:textId="323257C4" w:rsidR="002B2FBB" w:rsidRDefault="002B2FBB" w:rsidP="0022759E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2E5E1B12" w14:textId="6F7ED69D" w:rsidR="0022759E" w:rsidRDefault="00C23D10" w:rsidP="0022759E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</w:rPr>
      </w:pPr>
      <w:r w:rsidRPr="0022759E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6FFC429D" wp14:editId="7D40EA5F">
            <wp:extent cx="2732459" cy="17437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2459" cy="174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F372" w14:textId="3E8C9134" w:rsidR="0022759E" w:rsidRPr="0022759E" w:rsidRDefault="0022759E" w:rsidP="00C23D10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</w:rPr>
      </w:pPr>
      <w:r w:rsidRPr="0022759E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73EC509A" wp14:editId="53B3AE01">
            <wp:extent cx="2500768" cy="20859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0768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59E" w:rsidRPr="0022759E" w:rsidSect="00F84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3B83" w14:textId="77777777" w:rsidR="00690EE6" w:rsidRDefault="00690EE6" w:rsidP="00F20403">
      <w:pPr>
        <w:spacing w:after="0" w:line="240" w:lineRule="auto"/>
      </w:pPr>
      <w:r>
        <w:separator/>
      </w:r>
    </w:p>
  </w:endnote>
  <w:endnote w:type="continuationSeparator" w:id="0">
    <w:p w14:paraId="0D8B5B39" w14:textId="77777777" w:rsidR="00690EE6" w:rsidRDefault="00690EE6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BC28BF" w14:paraId="142C5F09" w14:textId="77777777" w:rsidTr="3ACB9013">
      <w:tc>
        <w:tcPr>
          <w:tcW w:w="3213" w:type="dxa"/>
        </w:tcPr>
        <w:p w14:paraId="26173216" w14:textId="277A792B" w:rsidR="00BC28BF" w:rsidRDefault="00BC28BF" w:rsidP="009D5968">
          <w:pPr>
            <w:ind w:left="-115"/>
          </w:pPr>
        </w:p>
      </w:tc>
      <w:tc>
        <w:tcPr>
          <w:tcW w:w="3213" w:type="dxa"/>
        </w:tcPr>
        <w:p w14:paraId="2BA5B9F7" w14:textId="670D5076" w:rsidR="00BC28BF" w:rsidRDefault="00BC28BF" w:rsidP="009D5968">
          <w:pPr>
            <w:jc w:val="center"/>
          </w:pPr>
        </w:p>
      </w:tc>
      <w:tc>
        <w:tcPr>
          <w:tcW w:w="3213" w:type="dxa"/>
        </w:tcPr>
        <w:p w14:paraId="06D1FDF0" w14:textId="0564012C" w:rsidR="00BC28BF" w:rsidRDefault="00BC28BF" w:rsidP="009D5968">
          <w:pPr>
            <w:ind w:right="-115"/>
            <w:jc w:val="right"/>
          </w:pPr>
        </w:p>
      </w:tc>
    </w:tr>
  </w:tbl>
  <w:p w14:paraId="51FB1EFE" w14:textId="65E98C3F" w:rsidR="00BC28BF" w:rsidRDefault="00BC28BF" w:rsidP="009D5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BC28BF" w14:paraId="5243E0E3" w14:textId="77777777" w:rsidTr="3ACB9013">
      <w:tc>
        <w:tcPr>
          <w:tcW w:w="3213" w:type="dxa"/>
        </w:tcPr>
        <w:p w14:paraId="2869426D" w14:textId="3A539A81" w:rsidR="00BC28BF" w:rsidRDefault="00BC28BF" w:rsidP="009D5968">
          <w:pPr>
            <w:ind w:left="-115"/>
          </w:pPr>
        </w:p>
      </w:tc>
      <w:tc>
        <w:tcPr>
          <w:tcW w:w="3213" w:type="dxa"/>
        </w:tcPr>
        <w:p w14:paraId="6459F23F" w14:textId="454DFCC1" w:rsidR="00BC28BF" w:rsidRDefault="00BC28BF" w:rsidP="009D5968">
          <w:pPr>
            <w:jc w:val="center"/>
          </w:pPr>
        </w:p>
      </w:tc>
      <w:tc>
        <w:tcPr>
          <w:tcW w:w="3213" w:type="dxa"/>
        </w:tcPr>
        <w:p w14:paraId="736B4AC6" w14:textId="760068A0" w:rsidR="00BC28BF" w:rsidRDefault="00BC28BF" w:rsidP="009D5968">
          <w:pPr>
            <w:ind w:right="-115"/>
            <w:jc w:val="right"/>
          </w:pPr>
        </w:p>
      </w:tc>
    </w:tr>
  </w:tbl>
  <w:p w14:paraId="232024A3" w14:textId="5A4D4EFB" w:rsidR="00BC28BF" w:rsidRDefault="00BC28BF" w:rsidP="009D5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2276" w14:textId="77777777" w:rsidR="00BC28BF" w:rsidRDefault="00BC28BF" w:rsidP="00AC03B4">
    <w:pPr>
      <w:pStyle w:val="Footer"/>
      <w:pBdr>
        <w:bottom w:val="single" w:sz="6" w:space="1" w:color="auto"/>
      </w:pBdr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5E5D" w14:textId="77777777" w:rsidR="00690EE6" w:rsidRDefault="00690EE6" w:rsidP="00F20403">
      <w:pPr>
        <w:spacing w:after="0" w:line="240" w:lineRule="auto"/>
      </w:pPr>
      <w:r>
        <w:separator/>
      </w:r>
    </w:p>
  </w:footnote>
  <w:footnote w:type="continuationSeparator" w:id="0">
    <w:p w14:paraId="53D65211" w14:textId="77777777" w:rsidR="00690EE6" w:rsidRDefault="00690EE6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BC28BF" w14:paraId="7356F5BB" w14:textId="77777777" w:rsidTr="3ACB9013">
      <w:tc>
        <w:tcPr>
          <w:tcW w:w="3213" w:type="dxa"/>
        </w:tcPr>
        <w:p w14:paraId="260E2B66" w14:textId="7B44405C" w:rsidR="00BC28BF" w:rsidRDefault="00BC28BF" w:rsidP="009D5968">
          <w:pPr>
            <w:ind w:left="-115"/>
          </w:pPr>
        </w:p>
      </w:tc>
      <w:tc>
        <w:tcPr>
          <w:tcW w:w="3213" w:type="dxa"/>
        </w:tcPr>
        <w:p w14:paraId="547C9ECE" w14:textId="5192BB9C" w:rsidR="00BC28BF" w:rsidRDefault="00BC28BF" w:rsidP="009D5968">
          <w:pPr>
            <w:jc w:val="center"/>
          </w:pPr>
        </w:p>
      </w:tc>
      <w:tc>
        <w:tcPr>
          <w:tcW w:w="3213" w:type="dxa"/>
        </w:tcPr>
        <w:p w14:paraId="17094FA9" w14:textId="0C638413" w:rsidR="00BC28BF" w:rsidRDefault="00BC28BF" w:rsidP="009D5968">
          <w:pPr>
            <w:ind w:right="-115"/>
            <w:jc w:val="right"/>
          </w:pPr>
        </w:p>
      </w:tc>
    </w:tr>
  </w:tbl>
  <w:p w14:paraId="135E0C25" w14:textId="28EEE56E" w:rsidR="00BC28BF" w:rsidRDefault="00BC28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BC28BF" w14:paraId="1294D2DD" w14:textId="77777777" w:rsidTr="3ACB9013">
      <w:tc>
        <w:tcPr>
          <w:tcW w:w="3213" w:type="dxa"/>
        </w:tcPr>
        <w:p w14:paraId="08F1F507" w14:textId="2EF3EC69" w:rsidR="00BC28BF" w:rsidRDefault="00BC28BF" w:rsidP="009D5968">
          <w:pPr>
            <w:ind w:left="-115"/>
          </w:pPr>
        </w:p>
      </w:tc>
      <w:tc>
        <w:tcPr>
          <w:tcW w:w="3213" w:type="dxa"/>
        </w:tcPr>
        <w:p w14:paraId="2A1AA037" w14:textId="7042C98A" w:rsidR="00BC28BF" w:rsidRDefault="00BC28BF" w:rsidP="009D5968">
          <w:pPr>
            <w:jc w:val="center"/>
          </w:pPr>
        </w:p>
      </w:tc>
      <w:tc>
        <w:tcPr>
          <w:tcW w:w="3213" w:type="dxa"/>
        </w:tcPr>
        <w:p w14:paraId="6F678BF8" w14:textId="38E8E569" w:rsidR="00BC28BF" w:rsidRDefault="00BC28BF" w:rsidP="009D5968">
          <w:pPr>
            <w:ind w:right="-115"/>
            <w:jc w:val="right"/>
          </w:pPr>
        </w:p>
      </w:tc>
    </w:tr>
  </w:tbl>
  <w:p w14:paraId="19565759" w14:textId="6F6EF5F7" w:rsidR="00BC28BF" w:rsidRDefault="00BC28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2"/>
      <w:gridCol w:w="4817"/>
    </w:tblGrid>
    <w:tr w:rsidR="00BC28BF" w:rsidRPr="00A77DBC" w14:paraId="7F4D4737" w14:textId="77777777" w:rsidTr="00825FDF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76EF6B05" w14:textId="77777777" w:rsidR="00BC28BF" w:rsidRPr="007168F5" w:rsidRDefault="00BC28BF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Submitted by the experts from </w:t>
          </w:r>
          <w:r>
            <w:rPr>
              <w:bCs/>
              <w:sz w:val="18"/>
              <w:szCs w:val="18"/>
              <w:lang w:val="en-GB"/>
            </w:rPr>
            <w:t xml:space="preserve">the </w:t>
          </w:r>
          <w:r>
            <w:rPr>
              <w:bCs/>
              <w:sz w:val="18"/>
              <w:szCs w:val="18"/>
              <w:lang w:val="en-GB"/>
            </w:rPr>
            <w:br/>
          </w:r>
          <w:r w:rsidRPr="007168F5">
            <w:rPr>
              <w:bCs/>
              <w:sz w:val="18"/>
              <w:szCs w:val="18"/>
              <w:lang w:val="en-GB"/>
            </w:rPr>
            <w:t>European Association of Electromobility (AVERE)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59E98910" w14:textId="6FCBC8B5" w:rsidR="00BC28BF" w:rsidRPr="00A77DBC" w:rsidRDefault="00BC28BF" w:rsidP="00843FE1">
          <w:pPr>
            <w:pStyle w:val="Header"/>
            <w:jc w:val="right"/>
            <w:rPr>
              <w:bCs/>
              <w:sz w:val="18"/>
              <w:szCs w:val="18"/>
              <w:lang w:val="fr-BE"/>
            </w:rPr>
          </w:pPr>
          <w:r w:rsidRPr="00A77DBC">
            <w:rPr>
              <w:bCs/>
              <w:sz w:val="18"/>
              <w:szCs w:val="18"/>
              <w:u w:val="single"/>
              <w:lang w:val="fr-BE"/>
            </w:rPr>
            <w:t>Informal document</w:t>
          </w:r>
          <w:r w:rsidRPr="00A77DBC">
            <w:rPr>
              <w:bCs/>
              <w:sz w:val="18"/>
              <w:szCs w:val="18"/>
              <w:lang w:val="fr-BE"/>
            </w:rPr>
            <w:t xml:space="preserve"> </w:t>
          </w:r>
          <w:r w:rsidRPr="00A77DBC">
            <w:rPr>
              <w:b/>
              <w:sz w:val="18"/>
              <w:szCs w:val="18"/>
              <w:lang w:val="fr-BE"/>
            </w:rPr>
            <w:t>GRVA-</w:t>
          </w:r>
          <w:r w:rsidR="00D17F28">
            <w:rPr>
              <w:b/>
              <w:sz w:val="18"/>
              <w:szCs w:val="18"/>
              <w:lang w:val="fr-BE"/>
            </w:rPr>
            <w:t>04</w:t>
          </w:r>
          <w:r w:rsidRPr="00A77DBC">
            <w:rPr>
              <w:b/>
              <w:sz w:val="18"/>
              <w:szCs w:val="18"/>
              <w:lang w:val="fr-BE"/>
            </w:rPr>
            <w:t>-</w:t>
          </w:r>
          <w:r w:rsidR="00D17F28">
            <w:rPr>
              <w:b/>
              <w:sz w:val="18"/>
              <w:szCs w:val="18"/>
              <w:lang w:val="fr-BE"/>
            </w:rPr>
            <w:t>41</w:t>
          </w:r>
        </w:p>
        <w:p w14:paraId="6F3C1A87" w14:textId="4DF83B05" w:rsidR="00BC28BF" w:rsidRPr="00A77DBC" w:rsidRDefault="00D17F28" w:rsidP="00843FE1">
          <w:pPr>
            <w:pStyle w:val="Header"/>
            <w:jc w:val="right"/>
            <w:rPr>
              <w:bCs/>
              <w:sz w:val="18"/>
              <w:szCs w:val="18"/>
              <w:lang w:val="fr-BE"/>
            </w:rPr>
          </w:pPr>
          <w:r>
            <w:rPr>
              <w:bCs/>
              <w:sz w:val="18"/>
              <w:szCs w:val="18"/>
              <w:lang w:val="fr-BE"/>
            </w:rPr>
            <w:t xml:space="preserve">4th </w:t>
          </w:r>
          <w:r w:rsidR="00BC28BF" w:rsidRPr="00A77DBC">
            <w:rPr>
              <w:bCs/>
              <w:sz w:val="18"/>
              <w:szCs w:val="18"/>
              <w:lang w:val="fr-BE"/>
            </w:rPr>
            <w:t xml:space="preserve">GRVA, </w:t>
          </w:r>
          <w:r>
            <w:rPr>
              <w:bCs/>
              <w:sz w:val="18"/>
              <w:szCs w:val="18"/>
              <w:lang w:val="fr-BE"/>
            </w:rPr>
            <w:t>24-27</w:t>
          </w:r>
          <w:r w:rsidR="00BC28BF" w:rsidRPr="00A77DBC">
            <w:rPr>
              <w:bCs/>
              <w:sz w:val="18"/>
              <w:szCs w:val="18"/>
              <w:lang w:val="fr-BE"/>
            </w:rPr>
            <w:t xml:space="preserve"> </w:t>
          </w:r>
          <w:proofErr w:type="spellStart"/>
          <w:r w:rsidR="00BC28BF" w:rsidRPr="00A77DBC">
            <w:rPr>
              <w:bCs/>
              <w:sz w:val="18"/>
              <w:szCs w:val="18"/>
              <w:lang w:val="fr-BE"/>
            </w:rPr>
            <w:t>September</w:t>
          </w:r>
          <w:proofErr w:type="spellEnd"/>
          <w:r w:rsidR="00BC28BF" w:rsidRPr="00A77DBC">
            <w:rPr>
              <w:bCs/>
              <w:sz w:val="18"/>
              <w:szCs w:val="18"/>
              <w:lang w:val="fr-BE"/>
            </w:rPr>
            <w:t xml:space="preserve"> 2019</w:t>
          </w:r>
        </w:p>
        <w:p w14:paraId="6FD2A693" w14:textId="772F0F8A" w:rsidR="00BC28BF" w:rsidRPr="00A77DBC" w:rsidRDefault="00BC28BF" w:rsidP="00843FE1">
          <w:pPr>
            <w:pStyle w:val="Header"/>
            <w:jc w:val="right"/>
            <w:rPr>
              <w:bCs/>
              <w:sz w:val="18"/>
              <w:szCs w:val="18"/>
              <w:lang w:val="fr-BE"/>
            </w:rPr>
          </w:pPr>
          <w:r w:rsidRPr="00A77DBC">
            <w:rPr>
              <w:bCs/>
              <w:sz w:val="18"/>
              <w:szCs w:val="18"/>
              <w:lang w:val="fr-BE"/>
            </w:rPr>
            <w:t xml:space="preserve">Agenda item </w:t>
          </w:r>
          <w:r w:rsidR="00D17F28">
            <w:rPr>
              <w:bCs/>
              <w:sz w:val="18"/>
              <w:szCs w:val="18"/>
              <w:lang w:val="fr-BE"/>
            </w:rPr>
            <w:t>6(a)</w:t>
          </w:r>
        </w:p>
      </w:tc>
    </w:tr>
  </w:tbl>
  <w:p w14:paraId="52B205E3" w14:textId="77777777" w:rsidR="00BC28BF" w:rsidRPr="00A77DBC" w:rsidRDefault="00BC28BF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2DC"/>
    <w:multiLevelType w:val="hybridMultilevel"/>
    <w:tmpl w:val="757811C6"/>
    <w:lvl w:ilvl="0" w:tplc="04090015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B695D69"/>
    <w:multiLevelType w:val="hybridMultilevel"/>
    <w:tmpl w:val="D4F4560C"/>
    <w:lvl w:ilvl="0" w:tplc="1BE0B1F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8937BD"/>
    <w:multiLevelType w:val="hybridMultilevel"/>
    <w:tmpl w:val="3A54FBD0"/>
    <w:lvl w:ilvl="0" w:tplc="B992C2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0F24158"/>
    <w:multiLevelType w:val="hybridMultilevel"/>
    <w:tmpl w:val="19A8CB76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E2463C"/>
    <w:multiLevelType w:val="hybridMultilevel"/>
    <w:tmpl w:val="618ED978"/>
    <w:lvl w:ilvl="0" w:tplc="8990C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6F32D2"/>
    <w:multiLevelType w:val="hybridMultilevel"/>
    <w:tmpl w:val="CBA8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E5B10"/>
    <w:multiLevelType w:val="hybridMultilevel"/>
    <w:tmpl w:val="B5B202FE"/>
    <w:lvl w:ilvl="0" w:tplc="38ACA20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1DB560F6"/>
    <w:multiLevelType w:val="hybridMultilevel"/>
    <w:tmpl w:val="59A20122"/>
    <w:lvl w:ilvl="0" w:tplc="46B2AB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1317E29"/>
    <w:multiLevelType w:val="hybridMultilevel"/>
    <w:tmpl w:val="59A20122"/>
    <w:lvl w:ilvl="0" w:tplc="46B2A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C70"/>
    <w:multiLevelType w:val="hybridMultilevel"/>
    <w:tmpl w:val="DBF28A1A"/>
    <w:lvl w:ilvl="0" w:tplc="7060749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A056F"/>
    <w:multiLevelType w:val="hybridMultilevel"/>
    <w:tmpl w:val="96A24B00"/>
    <w:lvl w:ilvl="0" w:tplc="970AE4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1666"/>
    <w:multiLevelType w:val="hybridMultilevel"/>
    <w:tmpl w:val="850C893A"/>
    <w:lvl w:ilvl="0" w:tplc="A5229C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B14804"/>
    <w:multiLevelType w:val="hybridMultilevel"/>
    <w:tmpl w:val="9C4A402A"/>
    <w:lvl w:ilvl="0" w:tplc="34B46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4FF30C4"/>
    <w:multiLevelType w:val="hybridMultilevel"/>
    <w:tmpl w:val="B5B202FE"/>
    <w:lvl w:ilvl="0" w:tplc="38ACA20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9A46D27"/>
    <w:multiLevelType w:val="hybridMultilevel"/>
    <w:tmpl w:val="15D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DE63520"/>
    <w:multiLevelType w:val="hybridMultilevel"/>
    <w:tmpl w:val="9B48B306"/>
    <w:lvl w:ilvl="0" w:tplc="73748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81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E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1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40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89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09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E3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2F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2F4"/>
    <w:multiLevelType w:val="hybridMultilevel"/>
    <w:tmpl w:val="850C893A"/>
    <w:lvl w:ilvl="0" w:tplc="A5229C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D2B5046"/>
    <w:multiLevelType w:val="hybridMultilevel"/>
    <w:tmpl w:val="B5B202FE"/>
    <w:lvl w:ilvl="0" w:tplc="38ACA20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6E504FD1"/>
    <w:multiLevelType w:val="hybridMultilevel"/>
    <w:tmpl w:val="F59AC816"/>
    <w:lvl w:ilvl="0" w:tplc="55D43A24">
      <w:start w:val="1"/>
      <w:numFmt w:val="lowerLetter"/>
      <w:lvlText w:val="(%1)"/>
      <w:lvlJc w:val="left"/>
      <w:pPr>
        <w:ind w:left="201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9"/>
  </w:num>
  <w:num w:numId="5">
    <w:abstractNumId w:val="3"/>
  </w:num>
  <w:num w:numId="6">
    <w:abstractNumId w:val="1"/>
  </w:num>
  <w:num w:numId="7">
    <w:abstractNumId w:val="12"/>
  </w:num>
  <w:num w:numId="8">
    <w:abstractNumId w:val="18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2"/>
  </w:num>
  <w:num w:numId="19">
    <w:abstractNumId w:val="14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17A64"/>
    <w:rsid w:val="000230AB"/>
    <w:rsid w:val="0004450B"/>
    <w:rsid w:val="00057179"/>
    <w:rsid w:val="000716D4"/>
    <w:rsid w:val="00081736"/>
    <w:rsid w:val="000A6EB1"/>
    <w:rsid w:val="000A7C31"/>
    <w:rsid w:val="000D44A0"/>
    <w:rsid w:val="000D4763"/>
    <w:rsid w:val="000F6828"/>
    <w:rsid w:val="00102E6E"/>
    <w:rsid w:val="0013391F"/>
    <w:rsid w:val="00134D7E"/>
    <w:rsid w:val="001371A8"/>
    <w:rsid w:val="001562E6"/>
    <w:rsid w:val="00167FA2"/>
    <w:rsid w:val="00175306"/>
    <w:rsid w:val="00181B46"/>
    <w:rsid w:val="001B3164"/>
    <w:rsid w:val="001E4E91"/>
    <w:rsid w:val="001F0BFE"/>
    <w:rsid w:val="001F5FFC"/>
    <w:rsid w:val="00203209"/>
    <w:rsid w:val="00225949"/>
    <w:rsid w:val="0022759E"/>
    <w:rsid w:val="00236232"/>
    <w:rsid w:val="00236B5A"/>
    <w:rsid w:val="00250033"/>
    <w:rsid w:val="0026471A"/>
    <w:rsid w:val="00276E01"/>
    <w:rsid w:val="00277F41"/>
    <w:rsid w:val="00284076"/>
    <w:rsid w:val="00295A49"/>
    <w:rsid w:val="002B02B0"/>
    <w:rsid w:val="002B2FBB"/>
    <w:rsid w:val="002B7154"/>
    <w:rsid w:val="002D0E2A"/>
    <w:rsid w:val="002E0C29"/>
    <w:rsid w:val="002F0B2D"/>
    <w:rsid w:val="002F27DD"/>
    <w:rsid w:val="003020F2"/>
    <w:rsid w:val="00311A39"/>
    <w:rsid w:val="00316B09"/>
    <w:rsid w:val="00316BFA"/>
    <w:rsid w:val="003220DE"/>
    <w:rsid w:val="00330D4A"/>
    <w:rsid w:val="00335122"/>
    <w:rsid w:val="00340019"/>
    <w:rsid w:val="00364EE7"/>
    <w:rsid w:val="003A20BA"/>
    <w:rsid w:val="003B3AE2"/>
    <w:rsid w:val="003C236B"/>
    <w:rsid w:val="003C7F31"/>
    <w:rsid w:val="003D7024"/>
    <w:rsid w:val="0040656D"/>
    <w:rsid w:val="00410F65"/>
    <w:rsid w:val="004242E9"/>
    <w:rsid w:val="00427ADF"/>
    <w:rsid w:val="00430917"/>
    <w:rsid w:val="00434428"/>
    <w:rsid w:val="00443A17"/>
    <w:rsid w:val="0044549A"/>
    <w:rsid w:val="00470BB8"/>
    <w:rsid w:val="00473718"/>
    <w:rsid w:val="0048424D"/>
    <w:rsid w:val="004870D7"/>
    <w:rsid w:val="004A2854"/>
    <w:rsid w:val="004C0352"/>
    <w:rsid w:val="004C2D62"/>
    <w:rsid w:val="004F4891"/>
    <w:rsid w:val="00525B22"/>
    <w:rsid w:val="0053706A"/>
    <w:rsid w:val="00546AB4"/>
    <w:rsid w:val="0056134B"/>
    <w:rsid w:val="00585C5D"/>
    <w:rsid w:val="00594F49"/>
    <w:rsid w:val="005A4A0F"/>
    <w:rsid w:val="005A7CFF"/>
    <w:rsid w:val="005C04C1"/>
    <w:rsid w:val="005E2A64"/>
    <w:rsid w:val="005F40AE"/>
    <w:rsid w:val="0063025B"/>
    <w:rsid w:val="0066296B"/>
    <w:rsid w:val="006751EE"/>
    <w:rsid w:val="00690EE6"/>
    <w:rsid w:val="00696228"/>
    <w:rsid w:val="006A155A"/>
    <w:rsid w:val="006A3CDB"/>
    <w:rsid w:val="006B4704"/>
    <w:rsid w:val="00700313"/>
    <w:rsid w:val="007168F5"/>
    <w:rsid w:val="00733E31"/>
    <w:rsid w:val="0073655F"/>
    <w:rsid w:val="0073682A"/>
    <w:rsid w:val="00744447"/>
    <w:rsid w:val="0075644B"/>
    <w:rsid w:val="00770C34"/>
    <w:rsid w:val="007A7B02"/>
    <w:rsid w:val="007B43AF"/>
    <w:rsid w:val="007D2B59"/>
    <w:rsid w:val="007E7D59"/>
    <w:rsid w:val="0081368A"/>
    <w:rsid w:val="008158FD"/>
    <w:rsid w:val="00825FDF"/>
    <w:rsid w:val="00843FE1"/>
    <w:rsid w:val="008902A4"/>
    <w:rsid w:val="00890DC0"/>
    <w:rsid w:val="00892C35"/>
    <w:rsid w:val="008C26FB"/>
    <w:rsid w:val="008F5CCF"/>
    <w:rsid w:val="0090794A"/>
    <w:rsid w:val="00923020"/>
    <w:rsid w:val="009472D6"/>
    <w:rsid w:val="00951B3F"/>
    <w:rsid w:val="00957D63"/>
    <w:rsid w:val="00996725"/>
    <w:rsid w:val="009A6C8A"/>
    <w:rsid w:val="009D5968"/>
    <w:rsid w:val="009D6819"/>
    <w:rsid w:val="009E484C"/>
    <w:rsid w:val="009E65F8"/>
    <w:rsid w:val="009E7E85"/>
    <w:rsid w:val="00A06918"/>
    <w:rsid w:val="00A1079B"/>
    <w:rsid w:val="00A22C7E"/>
    <w:rsid w:val="00A425B6"/>
    <w:rsid w:val="00A429F7"/>
    <w:rsid w:val="00A647D7"/>
    <w:rsid w:val="00A77DBC"/>
    <w:rsid w:val="00A86D19"/>
    <w:rsid w:val="00A956B7"/>
    <w:rsid w:val="00A965A8"/>
    <w:rsid w:val="00AC03B4"/>
    <w:rsid w:val="00AC17D8"/>
    <w:rsid w:val="00AE14FD"/>
    <w:rsid w:val="00AF6859"/>
    <w:rsid w:val="00AF7D2E"/>
    <w:rsid w:val="00B002DE"/>
    <w:rsid w:val="00B14DA6"/>
    <w:rsid w:val="00B218C7"/>
    <w:rsid w:val="00B659F5"/>
    <w:rsid w:val="00B70628"/>
    <w:rsid w:val="00BC28BF"/>
    <w:rsid w:val="00BC64D3"/>
    <w:rsid w:val="00BD1AEC"/>
    <w:rsid w:val="00BE1F7F"/>
    <w:rsid w:val="00C047C1"/>
    <w:rsid w:val="00C1393F"/>
    <w:rsid w:val="00C23C9B"/>
    <w:rsid w:val="00C23D10"/>
    <w:rsid w:val="00C40E8B"/>
    <w:rsid w:val="00C629D1"/>
    <w:rsid w:val="00C72E40"/>
    <w:rsid w:val="00C83FFE"/>
    <w:rsid w:val="00CB562F"/>
    <w:rsid w:val="00CC24C6"/>
    <w:rsid w:val="00CF1FB3"/>
    <w:rsid w:val="00CF2DC8"/>
    <w:rsid w:val="00D03678"/>
    <w:rsid w:val="00D10773"/>
    <w:rsid w:val="00D17F28"/>
    <w:rsid w:val="00D26029"/>
    <w:rsid w:val="00D35081"/>
    <w:rsid w:val="00D56BE0"/>
    <w:rsid w:val="00D61C89"/>
    <w:rsid w:val="00D73976"/>
    <w:rsid w:val="00D74914"/>
    <w:rsid w:val="00D94001"/>
    <w:rsid w:val="00DC7C3E"/>
    <w:rsid w:val="00DF75D7"/>
    <w:rsid w:val="00E13422"/>
    <w:rsid w:val="00E23AE0"/>
    <w:rsid w:val="00E56CF0"/>
    <w:rsid w:val="00E84CAD"/>
    <w:rsid w:val="00EA4106"/>
    <w:rsid w:val="00EA5D79"/>
    <w:rsid w:val="00F20403"/>
    <w:rsid w:val="00F52856"/>
    <w:rsid w:val="00F570AF"/>
    <w:rsid w:val="00F63A29"/>
    <w:rsid w:val="00F84EE8"/>
    <w:rsid w:val="00FB63CC"/>
    <w:rsid w:val="00FC157B"/>
    <w:rsid w:val="00FF781E"/>
    <w:rsid w:val="022E56FD"/>
    <w:rsid w:val="029D9A99"/>
    <w:rsid w:val="02D9B61D"/>
    <w:rsid w:val="05B91409"/>
    <w:rsid w:val="05BC3ECE"/>
    <w:rsid w:val="0771924E"/>
    <w:rsid w:val="08BAE848"/>
    <w:rsid w:val="0A4912DC"/>
    <w:rsid w:val="0C0CC931"/>
    <w:rsid w:val="0F697B89"/>
    <w:rsid w:val="0F6B7EBE"/>
    <w:rsid w:val="107D2891"/>
    <w:rsid w:val="12BCEF83"/>
    <w:rsid w:val="1557D47F"/>
    <w:rsid w:val="1621E1E1"/>
    <w:rsid w:val="176608A9"/>
    <w:rsid w:val="17A5A5AA"/>
    <w:rsid w:val="19B138AC"/>
    <w:rsid w:val="1BBB12DE"/>
    <w:rsid w:val="1BD03181"/>
    <w:rsid w:val="1C1FA7C4"/>
    <w:rsid w:val="1C3ABF2A"/>
    <w:rsid w:val="1F2D467B"/>
    <w:rsid w:val="205FC98F"/>
    <w:rsid w:val="220571C6"/>
    <w:rsid w:val="224B250A"/>
    <w:rsid w:val="228BEDD4"/>
    <w:rsid w:val="2426FD61"/>
    <w:rsid w:val="24B43532"/>
    <w:rsid w:val="24C4B0B4"/>
    <w:rsid w:val="24E1E272"/>
    <w:rsid w:val="273548C0"/>
    <w:rsid w:val="28351810"/>
    <w:rsid w:val="28BAF94A"/>
    <w:rsid w:val="29432EB4"/>
    <w:rsid w:val="29BFA1DA"/>
    <w:rsid w:val="2A2A867F"/>
    <w:rsid w:val="2BA574B0"/>
    <w:rsid w:val="2C681D52"/>
    <w:rsid w:val="2DE59E63"/>
    <w:rsid w:val="3003F3E9"/>
    <w:rsid w:val="33164430"/>
    <w:rsid w:val="38488104"/>
    <w:rsid w:val="39BBD7FD"/>
    <w:rsid w:val="3ACB9013"/>
    <w:rsid w:val="3E4F723C"/>
    <w:rsid w:val="3FAD4C6C"/>
    <w:rsid w:val="404DC4BA"/>
    <w:rsid w:val="4483A70E"/>
    <w:rsid w:val="44FBCCD9"/>
    <w:rsid w:val="4534BA12"/>
    <w:rsid w:val="4794AE79"/>
    <w:rsid w:val="4A5204DC"/>
    <w:rsid w:val="4A8E1940"/>
    <w:rsid w:val="4CE970DB"/>
    <w:rsid w:val="4D86B6C1"/>
    <w:rsid w:val="521B6363"/>
    <w:rsid w:val="59FA2821"/>
    <w:rsid w:val="5CC772C4"/>
    <w:rsid w:val="60752830"/>
    <w:rsid w:val="6309FBB3"/>
    <w:rsid w:val="65717D81"/>
    <w:rsid w:val="65F832C2"/>
    <w:rsid w:val="660A2A7A"/>
    <w:rsid w:val="67BA091F"/>
    <w:rsid w:val="680A0B8D"/>
    <w:rsid w:val="68CC4F85"/>
    <w:rsid w:val="6D546D6C"/>
    <w:rsid w:val="6D64B75B"/>
    <w:rsid w:val="6DD70CB2"/>
    <w:rsid w:val="6E133285"/>
    <w:rsid w:val="6E6A6DD3"/>
    <w:rsid w:val="6F836F03"/>
    <w:rsid w:val="713511DF"/>
    <w:rsid w:val="745B9B47"/>
    <w:rsid w:val="764C8EE5"/>
    <w:rsid w:val="7858DCC6"/>
    <w:rsid w:val="79C3924D"/>
    <w:rsid w:val="7A58C27F"/>
    <w:rsid w:val="7A718E6F"/>
    <w:rsid w:val="7B3F4908"/>
    <w:rsid w:val="7C07B8FF"/>
    <w:rsid w:val="7D570CA8"/>
    <w:rsid w:val="7E8C1DF6"/>
    <w:rsid w:val="7EBA87D1"/>
    <w:rsid w:val="7EC93728"/>
    <w:rsid w:val="7F864230"/>
    <w:rsid w:val="7F86A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4376F3"/>
  <w15:docId w15:val="{234708AA-2670-4B3A-B435-79DF413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4F4891"/>
    <w:pPr>
      <w:numPr>
        <w:numId w:val="4"/>
      </w:numPr>
      <w:spacing w:after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F4891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F4891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4F4891"/>
    <w:pPr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F4891"/>
    <w:pPr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4F4891"/>
    <w:pPr>
      <w:numPr>
        <w:ilvl w:val="5"/>
        <w:numId w:val="4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4F4891"/>
    <w:pPr>
      <w:numPr>
        <w:ilvl w:val="6"/>
        <w:numId w:val="4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4F4891"/>
    <w:pPr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4F4891"/>
    <w:pPr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semiHidden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semiHidden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F489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styleId="111111">
    <w:name w:val="Outline List 2"/>
    <w:basedOn w:val="NoList"/>
    <w:rsid w:val="004F4891"/>
    <w:pPr>
      <w:numPr>
        <w:numId w:val="4"/>
      </w:numPr>
    </w:pPr>
  </w:style>
  <w:style w:type="paragraph" w:customStyle="1" w:styleId="paragraph">
    <w:name w:val="paragraph"/>
    <w:basedOn w:val="Normal"/>
    <w:rsid w:val="00AE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pellingerror">
    <w:name w:val="spellingerror"/>
    <w:basedOn w:val="DefaultParagraphFont"/>
    <w:rsid w:val="00AE14FD"/>
  </w:style>
  <w:style w:type="character" w:customStyle="1" w:styleId="normaltextrun">
    <w:name w:val="normaltextrun"/>
    <w:basedOn w:val="DefaultParagraphFont"/>
    <w:rsid w:val="00AE14FD"/>
  </w:style>
  <w:style w:type="character" w:customStyle="1" w:styleId="eop">
    <w:name w:val="eop"/>
    <w:basedOn w:val="DefaultParagraphFont"/>
    <w:rsid w:val="00AE14FD"/>
  </w:style>
  <w:style w:type="character" w:customStyle="1" w:styleId="advancedproofingissue">
    <w:name w:val="advancedproofingissue"/>
    <w:basedOn w:val="DefaultParagraphFont"/>
    <w:rsid w:val="00AE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DD5D-1CD0-4291-8C83-E767A715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Impe</dc:creator>
  <cp:keywords/>
  <dc:description/>
  <cp:lastModifiedBy>Francois E. Guichard</cp:lastModifiedBy>
  <cp:revision>10</cp:revision>
  <cp:lastPrinted>2019-06-19T07:08:00Z</cp:lastPrinted>
  <dcterms:created xsi:type="dcterms:W3CDTF">2019-09-25T20:48:00Z</dcterms:created>
  <dcterms:modified xsi:type="dcterms:W3CDTF">2019-09-26T07:07:00Z</dcterms:modified>
</cp:coreProperties>
</file>