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C169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C1694" w:rsidP="000C1694">
            <w:pPr>
              <w:jc w:val="right"/>
            </w:pPr>
            <w:r w:rsidRPr="000C1694">
              <w:rPr>
                <w:sz w:val="40"/>
              </w:rPr>
              <w:t>ECE</w:t>
            </w:r>
            <w:r>
              <w:t>/TRANS/WP.29/GRVA/2019/11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C1694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0C1694" w:rsidRDefault="000C1694" w:rsidP="000C1694">
            <w:pPr>
              <w:spacing w:line="240" w:lineRule="exact"/>
            </w:pPr>
            <w:r>
              <w:t>19 novembre 2018</w:t>
            </w:r>
          </w:p>
          <w:p w:rsidR="000C1694" w:rsidRDefault="000C1694" w:rsidP="000C1694">
            <w:pPr>
              <w:spacing w:line="240" w:lineRule="exact"/>
            </w:pPr>
            <w:r>
              <w:t>Français</w:t>
            </w:r>
          </w:p>
          <w:p w:rsidR="000C1694" w:rsidRPr="00DB58B5" w:rsidRDefault="000C1694" w:rsidP="000C169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C1694" w:rsidRPr="000C1694" w:rsidRDefault="000C1694" w:rsidP="000C1694">
      <w:pPr>
        <w:spacing w:before="120"/>
        <w:rPr>
          <w:b/>
          <w:sz w:val="24"/>
          <w:szCs w:val="24"/>
          <w:lang w:val="fr-FR"/>
        </w:rPr>
      </w:pPr>
      <w:r w:rsidRPr="000C1694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>
        <w:rPr>
          <w:b/>
          <w:bCs/>
          <w:sz w:val="24"/>
          <w:szCs w:val="24"/>
          <w:lang w:val="fr-FR"/>
        </w:rPr>
        <w:br/>
      </w:r>
      <w:r w:rsidRPr="000C1694">
        <w:rPr>
          <w:b/>
          <w:bCs/>
          <w:sz w:val="24"/>
          <w:szCs w:val="24"/>
          <w:lang w:val="fr-FR"/>
        </w:rPr>
        <w:t>concernant les véhicules</w:t>
      </w:r>
    </w:p>
    <w:p w:rsidR="000C1694" w:rsidRPr="000C1694" w:rsidRDefault="000C1694" w:rsidP="000C1694">
      <w:pPr>
        <w:spacing w:before="120"/>
        <w:rPr>
          <w:b/>
          <w:lang w:val="fr-FR"/>
        </w:rPr>
      </w:pPr>
      <w:r w:rsidRPr="000C1694">
        <w:rPr>
          <w:b/>
          <w:lang w:val="fr-FR"/>
        </w:rPr>
        <w:t>Groupe de travail des véhicules automatisés/autonomes et connectés</w:t>
      </w:r>
      <w:r w:rsidRPr="000C1694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0C1694" w:rsidRPr="000C1694" w:rsidRDefault="000C1694" w:rsidP="000C1694">
      <w:pPr>
        <w:spacing w:before="120"/>
        <w:rPr>
          <w:b/>
          <w:lang w:val="fr-FR"/>
        </w:rPr>
      </w:pPr>
      <w:r w:rsidRPr="000C1694">
        <w:rPr>
          <w:b/>
          <w:bCs/>
          <w:lang w:val="fr-FR"/>
        </w:rPr>
        <w:t>Deuxième session</w:t>
      </w:r>
    </w:p>
    <w:p w:rsidR="000C1694" w:rsidRPr="000C1694" w:rsidRDefault="000C1694" w:rsidP="000C1694">
      <w:pPr>
        <w:rPr>
          <w:lang w:val="fr-FR"/>
        </w:rPr>
      </w:pPr>
      <w:r w:rsidRPr="000C1694">
        <w:rPr>
          <w:lang w:val="fr-FR"/>
        </w:rPr>
        <w:t>Genève, 28 janvier-1</w:t>
      </w:r>
      <w:r w:rsidRPr="000C1694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0C1694">
        <w:rPr>
          <w:lang w:val="fr-FR"/>
        </w:rPr>
        <w:t>février 2019</w:t>
      </w:r>
    </w:p>
    <w:p w:rsidR="000C1694" w:rsidRPr="000C1694" w:rsidRDefault="000C1694" w:rsidP="000C1694">
      <w:pPr>
        <w:rPr>
          <w:lang w:val="fr-FR"/>
        </w:rPr>
      </w:pPr>
      <w:r w:rsidRPr="000C1694">
        <w:rPr>
          <w:lang w:val="fr-FR"/>
        </w:rPr>
        <w:t>Point</w:t>
      </w:r>
      <w:r>
        <w:rPr>
          <w:lang w:val="fr-FR"/>
        </w:rPr>
        <w:t> </w:t>
      </w:r>
      <w:r w:rsidRPr="000C1694">
        <w:rPr>
          <w:lang w:val="fr-FR"/>
        </w:rPr>
        <w:t>12</w:t>
      </w:r>
      <w:r>
        <w:rPr>
          <w:lang w:val="fr-FR"/>
        </w:rPr>
        <w:t> </w:t>
      </w:r>
      <w:r w:rsidRPr="000C1694">
        <w:rPr>
          <w:lang w:val="fr-FR"/>
        </w:rPr>
        <w:t>b) de l’ordre du jour provisoire</w:t>
      </w:r>
    </w:p>
    <w:p w:rsidR="000C1694" w:rsidRPr="000C1694" w:rsidRDefault="000C1694" w:rsidP="000C1694">
      <w:pPr>
        <w:rPr>
          <w:b/>
          <w:lang w:val="fr-FR"/>
        </w:rPr>
      </w:pPr>
      <w:bookmarkStart w:id="1" w:name="OLE_LINK2"/>
      <w:r w:rsidRPr="000C1694">
        <w:rPr>
          <w:b/>
          <w:bCs/>
          <w:lang w:val="fr-FR"/>
        </w:rPr>
        <w:t>Révision 3 de l’Accord de 1958</w:t>
      </w:r>
      <w:r>
        <w:rPr>
          <w:b/>
          <w:bCs/>
          <w:lang w:val="fr-FR"/>
        </w:rPr>
        <w:t> </w:t>
      </w:r>
      <w:r w:rsidRPr="000C1694">
        <w:rPr>
          <w:b/>
          <w:bCs/>
          <w:lang w:val="fr-FR"/>
        </w:rPr>
        <w:t>:</w:t>
      </w:r>
    </w:p>
    <w:p w:rsidR="000C1694" w:rsidRPr="000C1694" w:rsidRDefault="000C1694" w:rsidP="000C1694">
      <w:pPr>
        <w:rPr>
          <w:b/>
          <w:lang w:val="fr-FR"/>
        </w:rPr>
      </w:pPr>
      <w:r w:rsidRPr="000C1694">
        <w:rPr>
          <w:b/>
          <w:bCs/>
          <w:lang w:val="fr-FR"/>
        </w:rPr>
        <w:t>Homologation de type internationale de l’ensemble du véhicule</w:t>
      </w:r>
    </w:p>
    <w:p w:rsidR="000C1694" w:rsidRPr="000C1694" w:rsidRDefault="000C1694" w:rsidP="000C1694">
      <w:pPr>
        <w:pStyle w:val="HChG"/>
        <w:rPr>
          <w:lang w:val="fr-FR"/>
        </w:rPr>
      </w:pPr>
      <w:r w:rsidRPr="000C1694">
        <w:rPr>
          <w:lang w:val="fr-FR"/>
        </w:rPr>
        <w:tab/>
      </w:r>
      <w:r w:rsidRPr="000C1694">
        <w:rPr>
          <w:lang w:val="fr-FR"/>
        </w:rPr>
        <w:tab/>
        <w:t xml:space="preserve">Proposition de complément à la série 02 d’amendements </w:t>
      </w:r>
      <w:r>
        <w:rPr>
          <w:lang w:val="fr-FR"/>
        </w:rPr>
        <w:br/>
      </w:r>
      <w:r w:rsidRPr="000C1694">
        <w:rPr>
          <w:lang w:val="fr-FR"/>
        </w:rPr>
        <w:t>au Règlement ONU n</w:t>
      </w:r>
      <w:r w:rsidRPr="000C169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C1694">
        <w:rPr>
          <w:lang w:val="fr-FR"/>
        </w:rPr>
        <w:t xml:space="preserve">90 (Garnitures, plaquettes, </w:t>
      </w:r>
      <w:r>
        <w:rPr>
          <w:lang w:val="fr-FR"/>
        </w:rPr>
        <w:br/>
      </w:r>
      <w:r w:rsidRPr="000C1694">
        <w:rPr>
          <w:lang w:val="fr-FR"/>
        </w:rPr>
        <w:t>disques et tambours de frein de rechange)</w:t>
      </w:r>
      <w:bookmarkEnd w:id="1"/>
    </w:p>
    <w:p w:rsidR="000C1694" w:rsidRPr="000F0427" w:rsidRDefault="000C1694" w:rsidP="000C1694">
      <w:pPr>
        <w:pStyle w:val="H1G"/>
        <w:rPr>
          <w:szCs w:val="24"/>
          <w:lang w:val="fr-FR"/>
        </w:rPr>
      </w:pPr>
      <w:r w:rsidRPr="000C1694">
        <w:rPr>
          <w:sz w:val="20"/>
          <w:lang w:val="fr-FR"/>
        </w:rPr>
        <w:tab/>
      </w:r>
      <w:r w:rsidRPr="00C350D2">
        <w:rPr>
          <w:lang w:val="fr-FR"/>
        </w:rPr>
        <w:tab/>
        <w:t>Communication de l</w:t>
      </w:r>
      <w:r>
        <w:rPr>
          <w:lang w:val="fr-FR"/>
        </w:rPr>
        <w:t>’</w:t>
      </w:r>
      <w:r w:rsidRPr="00C350D2">
        <w:rPr>
          <w:lang w:val="fr-FR"/>
        </w:rPr>
        <w:t>expert de la Fédération de Russie</w:t>
      </w:r>
      <w:r w:rsidRPr="000C1694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0C1694" w:rsidRPr="00C350D2" w:rsidRDefault="000C1694" w:rsidP="000C1694">
      <w:pPr>
        <w:pStyle w:val="SingleTxtG"/>
        <w:ind w:firstLine="567"/>
        <w:rPr>
          <w:lang w:val="fr-FR"/>
        </w:rPr>
      </w:pPr>
      <w:r w:rsidRPr="00C350D2">
        <w:rPr>
          <w:lang w:val="fr-FR"/>
        </w:rPr>
        <w:t xml:space="preserve">La présente proposition vise à </w:t>
      </w:r>
      <w:r w:rsidRPr="00C350D2">
        <w:rPr>
          <w:iCs/>
          <w:lang w:val="fr-FR"/>
        </w:rPr>
        <w:t xml:space="preserve">harmoniser les dispositions </w:t>
      </w:r>
      <w:r w:rsidRPr="00C350D2">
        <w:rPr>
          <w:lang w:val="fr-FR"/>
        </w:rPr>
        <w:t xml:space="preserve">du Règlement </w:t>
      </w:r>
      <w:r>
        <w:rPr>
          <w:lang w:val="fr-FR"/>
        </w:rPr>
        <w:t xml:space="preserve">ONU </w:t>
      </w:r>
      <w:r w:rsidRPr="00C350D2">
        <w:rPr>
          <w:lang w:val="fr-FR"/>
        </w:rPr>
        <w:t>n</w:t>
      </w:r>
      <w:r w:rsidRPr="000C169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C350D2">
        <w:rPr>
          <w:lang w:val="fr-FR"/>
        </w:rPr>
        <w:t xml:space="preserve">90 </w:t>
      </w:r>
      <w:r w:rsidRPr="00C350D2">
        <w:rPr>
          <w:iCs/>
          <w:lang w:val="fr-FR"/>
        </w:rPr>
        <w:t>relatives aux numéros et aux marques d</w:t>
      </w:r>
      <w:r>
        <w:rPr>
          <w:iCs/>
          <w:lang w:val="fr-FR"/>
        </w:rPr>
        <w:t>’</w:t>
      </w:r>
      <w:r w:rsidRPr="00C350D2">
        <w:rPr>
          <w:iCs/>
          <w:lang w:val="fr-FR"/>
        </w:rPr>
        <w:t>homologation avec celles</w:t>
      </w:r>
      <w:r>
        <w:rPr>
          <w:iCs/>
          <w:lang w:val="fr-FR"/>
        </w:rPr>
        <w:t xml:space="preserve"> de</w:t>
      </w:r>
      <w:r w:rsidRPr="00C350D2">
        <w:rPr>
          <w:iCs/>
          <w:lang w:val="fr-FR"/>
        </w:rPr>
        <w:t xml:space="preserve"> l</w:t>
      </w:r>
      <w:r>
        <w:rPr>
          <w:iCs/>
          <w:lang w:val="fr-FR"/>
        </w:rPr>
        <w:t>’</w:t>
      </w:r>
      <w:r w:rsidRPr="00C350D2">
        <w:rPr>
          <w:iCs/>
          <w:lang w:val="fr-FR"/>
        </w:rPr>
        <w:t>annexe</w:t>
      </w:r>
      <w:r>
        <w:rPr>
          <w:iCs/>
          <w:lang w:val="fr-FR"/>
        </w:rPr>
        <w:t> </w:t>
      </w:r>
      <w:r w:rsidRPr="00C350D2">
        <w:rPr>
          <w:iCs/>
          <w:lang w:val="fr-FR"/>
        </w:rPr>
        <w:t>4 de l</w:t>
      </w:r>
      <w:r>
        <w:rPr>
          <w:iCs/>
          <w:lang w:val="fr-FR"/>
        </w:rPr>
        <w:t>’</w:t>
      </w:r>
      <w:r w:rsidRPr="00C350D2">
        <w:rPr>
          <w:iCs/>
          <w:lang w:val="fr-FR"/>
        </w:rPr>
        <w:t>Accord de 1958</w:t>
      </w:r>
      <w:r w:rsidRPr="00C350D2">
        <w:rPr>
          <w:lang w:val="fr-FR"/>
        </w:rPr>
        <w:t xml:space="preserve"> afin de répondre aux préoccupations exprimées par le groupe de travail informel de l</w:t>
      </w:r>
      <w:r>
        <w:rPr>
          <w:lang w:val="fr-FR"/>
        </w:rPr>
        <w:t>’</w:t>
      </w:r>
      <w:r w:rsidRPr="00C350D2">
        <w:rPr>
          <w:lang w:val="fr-FR"/>
        </w:rPr>
        <w:t>homologation de type internationale de l</w:t>
      </w:r>
      <w:r>
        <w:rPr>
          <w:lang w:val="fr-FR"/>
        </w:rPr>
        <w:t>’</w:t>
      </w:r>
      <w:r w:rsidRPr="00C350D2">
        <w:rPr>
          <w:lang w:val="fr-FR"/>
        </w:rPr>
        <w:t>ensemble du véhicule (IWVTA) à la 175</w:t>
      </w:r>
      <w:r w:rsidRPr="000C1694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C350D2">
        <w:rPr>
          <w:lang w:val="fr-FR"/>
        </w:rPr>
        <w:t>session du Forum mondial de l</w:t>
      </w:r>
      <w:r>
        <w:rPr>
          <w:lang w:val="fr-FR"/>
        </w:rPr>
        <w:t>’</w:t>
      </w:r>
      <w:r w:rsidRPr="00C350D2">
        <w:rPr>
          <w:lang w:val="fr-FR"/>
        </w:rPr>
        <w:t>harmonisation des Règlements concernant les véhicules (WP.29) (ECE/TRANS/WP.29/1139, par.</w:t>
      </w:r>
      <w:r>
        <w:rPr>
          <w:lang w:val="fr-FR"/>
        </w:rPr>
        <w:t> </w:t>
      </w:r>
      <w:r w:rsidRPr="00C350D2">
        <w:rPr>
          <w:lang w:val="fr-FR"/>
        </w:rPr>
        <w:t xml:space="preserve">67). </w:t>
      </w:r>
      <w:r w:rsidRPr="00C350D2">
        <w:rPr>
          <w:iCs/>
          <w:lang w:val="fr-FR"/>
        </w:rPr>
        <w:t xml:space="preserve">Elle est fondée sur le document informel </w:t>
      </w:r>
      <w:r w:rsidRPr="00C350D2">
        <w:rPr>
          <w:lang w:val="fr-FR"/>
        </w:rPr>
        <w:t xml:space="preserve">GRVA-01-15. </w:t>
      </w:r>
      <w:r w:rsidRPr="00C350D2">
        <w:rPr>
          <w:iCs/>
          <w:lang w:val="fr-FR"/>
        </w:rPr>
        <w:t>Les modifications qu</w:t>
      </w:r>
      <w:r>
        <w:rPr>
          <w:iCs/>
          <w:lang w:val="fr-FR"/>
        </w:rPr>
        <w:t>’</w:t>
      </w:r>
      <w:r w:rsidRPr="00C350D2">
        <w:rPr>
          <w:iCs/>
          <w:lang w:val="fr-FR"/>
        </w:rPr>
        <w:t>il est proposé d</w:t>
      </w:r>
      <w:r>
        <w:rPr>
          <w:iCs/>
          <w:lang w:val="fr-FR"/>
        </w:rPr>
        <w:t>’</w:t>
      </w:r>
      <w:r w:rsidRPr="00C350D2">
        <w:rPr>
          <w:iCs/>
          <w:lang w:val="fr-FR"/>
        </w:rPr>
        <w:t>apporter figurent en caractères gras pour les ajouts et biffés pour les suppressions.</w:t>
      </w:r>
    </w:p>
    <w:p w:rsidR="000C1694" w:rsidRPr="000F0427" w:rsidRDefault="000C1694" w:rsidP="000C1694">
      <w:pPr>
        <w:pStyle w:val="HChG"/>
        <w:rPr>
          <w:lang w:val="fr-FR"/>
        </w:rPr>
      </w:pPr>
      <w:r w:rsidRPr="000F0427">
        <w:rPr>
          <w:lang w:val="fr-FR"/>
        </w:rPr>
        <w:br w:type="page"/>
      </w:r>
      <w:r w:rsidRPr="000F0427">
        <w:rPr>
          <w:lang w:val="fr-FR"/>
        </w:rPr>
        <w:lastRenderedPageBreak/>
        <w:tab/>
        <w:t>I.</w:t>
      </w:r>
      <w:r w:rsidRPr="000F0427">
        <w:rPr>
          <w:lang w:val="fr-FR"/>
        </w:rPr>
        <w:tab/>
        <w:t>Proposition</w:t>
      </w:r>
    </w:p>
    <w:p w:rsidR="000C1694" w:rsidRPr="00DA1E1D" w:rsidRDefault="000C1694" w:rsidP="000C1694">
      <w:pPr>
        <w:pStyle w:val="SingleTxtG"/>
        <w:rPr>
          <w:lang w:val="fr-FR"/>
        </w:rPr>
      </w:pPr>
      <w:r w:rsidRPr="00C350D2">
        <w:rPr>
          <w:lang w:val="fr-FR"/>
        </w:rPr>
        <w:t>[</w:t>
      </w:r>
      <w:r w:rsidRPr="000C1694">
        <w:rPr>
          <w:i/>
          <w:lang w:val="fr-FR"/>
        </w:rPr>
        <w:t xml:space="preserve">Au paragraphe 2, </w:t>
      </w:r>
      <w:r>
        <w:rPr>
          <w:i/>
        </w:rPr>
        <w:t>« </w:t>
      </w:r>
      <w:r w:rsidRPr="000C1694">
        <w:rPr>
          <w:i/>
          <w:lang w:val="fr-FR"/>
        </w:rPr>
        <w:t>Définitions</w:t>
      </w:r>
      <w:r>
        <w:rPr>
          <w:i/>
          <w:lang w:val="fr-FR"/>
        </w:rPr>
        <w:t> </w:t>
      </w:r>
      <w:r w:rsidRPr="00DA1E1D">
        <w:rPr>
          <w:i/>
          <w:lang w:val="fr-FR"/>
        </w:rPr>
        <w:t>»</w:t>
      </w:r>
      <w:r w:rsidRPr="00DA1E1D">
        <w:rPr>
          <w:lang w:val="fr-FR"/>
        </w:rPr>
        <w:t>, insérer les nouveaux paragraphes 2.1.4 et 2.1.5 comme suit :</w:t>
      </w:r>
    </w:p>
    <w:p w:rsidR="000C1694" w:rsidRPr="00C350D2" w:rsidRDefault="000C1694" w:rsidP="000C1694">
      <w:pPr>
        <w:pStyle w:val="SingleTxtG"/>
        <w:tabs>
          <w:tab w:val="left" w:pos="2268"/>
        </w:tabs>
        <w:ind w:left="2268" w:hanging="1134"/>
        <w:rPr>
          <w:bCs/>
          <w:lang w:val="fr-FR"/>
        </w:rPr>
      </w:pPr>
      <w:r>
        <w:rPr>
          <w:lang w:val="fr-FR"/>
        </w:rPr>
        <w:t>« </w:t>
      </w:r>
      <w:r w:rsidRPr="000C1694">
        <w:rPr>
          <w:b/>
          <w:lang w:val="fr-FR"/>
        </w:rPr>
        <w:t>2.1.4</w:t>
      </w:r>
      <w:r w:rsidRPr="000C1694">
        <w:rPr>
          <w:b/>
          <w:lang w:val="fr-FR"/>
        </w:rPr>
        <w:tab/>
      </w:r>
      <w:r w:rsidRPr="000C1694">
        <w:rPr>
          <w:b/>
        </w:rPr>
        <w:t>“</w:t>
      </w:r>
      <w:r w:rsidRPr="000C1694">
        <w:rPr>
          <w:b/>
          <w:i/>
          <w:iCs/>
          <w:lang w:val="fr-FR"/>
        </w:rPr>
        <w:t>Numéro d’homologation</w:t>
      </w:r>
      <w:r w:rsidRPr="000C1694">
        <w:rPr>
          <w:b/>
        </w:rPr>
        <w:t>”</w:t>
      </w:r>
      <w:r w:rsidRPr="000C1694">
        <w:rPr>
          <w:b/>
          <w:lang w:val="fr-FR"/>
        </w:rPr>
        <w:t xml:space="preserve">, un numéro attribué par une </w:t>
      </w:r>
      <w:r w:rsidRPr="000C1694">
        <w:rPr>
          <w:b/>
          <w:iCs/>
          <w:lang w:val="fr-FR"/>
        </w:rPr>
        <w:t xml:space="preserve">Partie contractante </w:t>
      </w:r>
      <w:r w:rsidRPr="000C1694">
        <w:rPr>
          <w:b/>
          <w:lang w:val="fr-FR"/>
        </w:rPr>
        <w:t xml:space="preserve">à un type de produit, conformément aux dispositions de </w:t>
      </w:r>
      <w:r w:rsidRPr="000C1694">
        <w:rPr>
          <w:b/>
          <w:bCs/>
          <w:lang w:val="fr-FR"/>
        </w:rPr>
        <w:t xml:space="preserve">l’annexe 4 </w:t>
      </w:r>
      <w:r w:rsidRPr="000C1694">
        <w:rPr>
          <w:b/>
          <w:lang w:val="fr-FR"/>
        </w:rPr>
        <w:t xml:space="preserve">de la </w:t>
      </w:r>
      <w:r w:rsidRPr="000C1694">
        <w:rPr>
          <w:b/>
          <w:iCs/>
          <w:lang w:val="fr-FR"/>
        </w:rPr>
        <w:t>Révision 3 de l’Accord de 1958</w:t>
      </w:r>
      <w:r w:rsidRPr="000C1694">
        <w:rPr>
          <w:b/>
          <w:lang w:val="fr-FR"/>
        </w:rPr>
        <w:t>.</w:t>
      </w:r>
    </w:p>
    <w:p w:rsidR="000C1694" w:rsidRPr="00C350D2" w:rsidRDefault="000C1694" w:rsidP="000C1694">
      <w:pPr>
        <w:pStyle w:val="SingleTxtG"/>
        <w:tabs>
          <w:tab w:val="left" w:pos="2268"/>
        </w:tabs>
        <w:ind w:left="2268" w:hanging="1134"/>
        <w:rPr>
          <w:b/>
          <w:bCs/>
          <w:lang w:val="fr-FR"/>
        </w:rPr>
      </w:pPr>
      <w:r w:rsidRPr="00C350D2">
        <w:rPr>
          <w:b/>
          <w:lang w:val="fr-FR"/>
        </w:rPr>
        <w:t>2.1.5</w:t>
      </w:r>
      <w:r w:rsidRPr="00C350D2">
        <w:rPr>
          <w:b/>
          <w:lang w:val="fr-FR"/>
        </w:rPr>
        <w:tab/>
      </w:r>
      <w:r w:rsidRPr="000C1694">
        <w:rPr>
          <w:b/>
        </w:rPr>
        <w:t>“</w:t>
      </w:r>
      <w:r>
        <w:rPr>
          <w:b/>
          <w:i/>
          <w:lang w:val="fr-FR"/>
        </w:rPr>
        <w:t xml:space="preserve">Code </w:t>
      </w:r>
      <w:r w:rsidRPr="00737825">
        <w:rPr>
          <w:b/>
          <w:i/>
          <w:lang w:val="fr-FR"/>
        </w:rPr>
        <w:t>d</w:t>
      </w:r>
      <w:r>
        <w:rPr>
          <w:b/>
          <w:i/>
          <w:lang w:val="fr-FR"/>
        </w:rPr>
        <w:t>’</w:t>
      </w:r>
      <w:r w:rsidRPr="00737825">
        <w:rPr>
          <w:b/>
          <w:i/>
          <w:lang w:val="fr-FR"/>
        </w:rPr>
        <w:t>homologation</w:t>
      </w:r>
      <w:r w:rsidRPr="000C1694">
        <w:rPr>
          <w:b/>
        </w:rPr>
        <w:t>”</w:t>
      </w:r>
      <w:r w:rsidRPr="00C350D2">
        <w:rPr>
          <w:b/>
          <w:lang w:val="fr-FR"/>
        </w:rPr>
        <w:t xml:space="preserve">, un numéro attribué par une </w:t>
      </w:r>
      <w:r>
        <w:rPr>
          <w:b/>
          <w:lang w:val="fr-FR"/>
        </w:rPr>
        <w:t>P</w:t>
      </w:r>
      <w:r w:rsidRPr="00C350D2">
        <w:rPr>
          <w:b/>
          <w:lang w:val="fr-FR"/>
        </w:rPr>
        <w:t>artie contractante à un type de produit,</w:t>
      </w:r>
      <w:r>
        <w:rPr>
          <w:b/>
          <w:lang w:val="fr-FR"/>
        </w:rPr>
        <w:t xml:space="preserve"> conformément aux dispositions du </w:t>
      </w:r>
      <w:r w:rsidRPr="00C350D2">
        <w:rPr>
          <w:b/>
          <w:lang w:val="fr-FR"/>
        </w:rPr>
        <w:t>paragraphe</w:t>
      </w:r>
      <w:r>
        <w:rPr>
          <w:b/>
          <w:lang w:val="fr-FR"/>
        </w:rPr>
        <w:t> </w:t>
      </w:r>
      <w:r w:rsidRPr="00C350D2">
        <w:rPr>
          <w:b/>
          <w:lang w:val="fr-FR"/>
        </w:rPr>
        <w:t>4.2</w:t>
      </w:r>
      <w:r>
        <w:rPr>
          <w:b/>
          <w:lang w:val="fr-FR"/>
        </w:rPr>
        <w:t>,</w:t>
      </w:r>
      <w:r w:rsidRPr="00C350D2">
        <w:rPr>
          <w:b/>
          <w:lang w:val="fr-FR"/>
        </w:rPr>
        <w:t xml:space="preserve"> et utilisé comme </w:t>
      </w:r>
      <w:r w:rsidRPr="00C350D2">
        <w:rPr>
          <w:b/>
          <w:iCs/>
          <w:lang w:val="fr-FR"/>
        </w:rPr>
        <w:t>marque d</w:t>
      </w:r>
      <w:r>
        <w:rPr>
          <w:b/>
          <w:iCs/>
          <w:lang w:val="fr-FR"/>
        </w:rPr>
        <w:t>’</w:t>
      </w:r>
      <w:r w:rsidRPr="00C350D2">
        <w:rPr>
          <w:b/>
          <w:iCs/>
          <w:lang w:val="fr-FR"/>
        </w:rPr>
        <w:t xml:space="preserve">homologation </w:t>
      </w:r>
      <w:r w:rsidRPr="00C350D2">
        <w:rPr>
          <w:b/>
          <w:lang w:val="fr-FR"/>
        </w:rPr>
        <w:t>pour ce produit.</w:t>
      </w:r>
      <w:r>
        <w:rPr>
          <w:b/>
          <w:lang w:val="fr-FR"/>
        </w:rPr>
        <w:t> ».</w:t>
      </w:r>
      <w:r w:rsidRPr="00C350D2">
        <w:rPr>
          <w:lang w:val="fr-FR"/>
        </w:rPr>
        <w:t>]</w:t>
      </w:r>
    </w:p>
    <w:p w:rsidR="000C1694" w:rsidRPr="000F0427" w:rsidRDefault="000C1694" w:rsidP="000C1694">
      <w:pPr>
        <w:pStyle w:val="SingleTxtG"/>
        <w:rPr>
          <w:lang w:val="fr-FR"/>
        </w:rPr>
      </w:pPr>
      <w:r w:rsidRPr="000F0427">
        <w:rPr>
          <w:i/>
          <w:iCs/>
          <w:lang w:val="fr-FR"/>
        </w:rPr>
        <w:t>Paragraphe 4</w:t>
      </w:r>
      <w:r>
        <w:rPr>
          <w:iCs/>
          <w:lang w:val="fr-FR"/>
        </w:rPr>
        <w:t>, lire </w:t>
      </w:r>
      <w:r w:rsidRPr="000C1694">
        <w:rPr>
          <w:iCs/>
          <w:lang w:val="fr-FR"/>
        </w:rPr>
        <w:t>:</w:t>
      </w:r>
    </w:p>
    <w:p w:rsidR="000C1694" w:rsidRPr="000F0427" w:rsidRDefault="003D258F" w:rsidP="003D258F">
      <w:pPr>
        <w:pStyle w:val="HChG"/>
        <w:tabs>
          <w:tab w:val="right" w:pos="2268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3D258F">
        <w:rPr>
          <w:b w:val="0"/>
          <w:sz w:val="20"/>
          <w:lang w:val="fr-FR"/>
        </w:rPr>
        <w:t>« </w:t>
      </w:r>
      <w:r w:rsidR="000C1694" w:rsidRPr="000F0427">
        <w:rPr>
          <w:lang w:val="fr-FR"/>
        </w:rPr>
        <w:t>4.</w:t>
      </w:r>
      <w:r w:rsidR="000C1694" w:rsidRPr="000F0427">
        <w:rPr>
          <w:lang w:val="fr-FR"/>
        </w:rPr>
        <w:tab/>
      </w:r>
      <w:r>
        <w:rPr>
          <w:lang w:val="fr-FR"/>
        </w:rPr>
        <w:tab/>
      </w:r>
      <w:r w:rsidR="000C1694" w:rsidRPr="000F0427">
        <w:rPr>
          <w:lang w:val="fr-FR"/>
        </w:rPr>
        <w:t>Homologation</w:t>
      </w:r>
    </w:p>
    <w:p w:rsidR="000C1694" w:rsidRPr="000F0427" w:rsidRDefault="000C1694" w:rsidP="003D258F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0F0427">
        <w:rPr>
          <w:lang w:val="fr-FR"/>
        </w:rPr>
        <w:t>4.1</w:t>
      </w:r>
      <w:r w:rsidRPr="000F0427">
        <w:rPr>
          <w:lang w:val="fr-FR"/>
        </w:rPr>
        <w:tab/>
        <w:t>Si la pièce</w:t>
      </w:r>
      <w:r w:rsidRPr="000F0427">
        <w:rPr>
          <w:bCs/>
          <w:lang w:val="fr-FR"/>
        </w:rPr>
        <w:t xml:space="preserve"> de rechange</w:t>
      </w:r>
      <w:r w:rsidRPr="000F0427">
        <w:rPr>
          <w:lang w:val="fr-FR"/>
        </w:rPr>
        <w:t xml:space="preserve"> présentée à l</w:t>
      </w:r>
      <w:r>
        <w:rPr>
          <w:lang w:val="fr-FR"/>
        </w:rPr>
        <w:t>’</w:t>
      </w:r>
      <w:r w:rsidRPr="000F0427">
        <w:rPr>
          <w:lang w:val="fr-FR"/>
        </w:rPr>
        <w:t>homologation en application du présent Règlement satisfait aux prescriptions du paragraphe</w:t>
      </w:r>
      <w:r w:rsidR="003D258F">
        <w:rPr>
          <w:lang w:val="fr-FR"/>
        </w:rPr>
        <w:t> </w:t>
      </w:r>
      <w:r w:rsidRPr="000F0427">
        <w:rPr>
          <w:lang w:val="fr-FR"/>
        </w:rPr>
        <w:t>5 ci-dessous, l</w:t>
      </w:r>
      <w:r>
        <w:rPr>
          <w:lang w:val="fr-FR"/>
        </w:rPr>
        <w:t>’</w:t>
      </w:r>
      <w:r w:rsidRPr="000F0427">
        <w:rPr>
          <w:lang w:val="fr-FR"/>
        </w:rPr>
        <w:t xml:space="preserve">homologation pour cette </w:t>
      </w:r>
      <w:r w:rsidRPr="000F0427">
        <w:rPr>
          <w:bCs/>
          <w:lang w:val="fr-FR"/>
        </w:rPr>
        <w:t>pièce de rechange</w:t>
      </w:r>
      <w:r w:rsidRPr="000F0427">
        <w:rPr>
          <w:lang w:val="fr-FR"/>
        </w:rPr>
        <w:t xml:space="preserve"> est accordée.</w:t>
      </w:r>
    </w:p>
    <w:p w:rsidR="000C1694" w:rsidRPr="000F0427" w:rsidRDefault="000C1694" w:rsidP="003D258F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0F0427">
        <w:rPr>
          <w:lang w:val="fr-FR"/>
        </w:rPr>
        <w:t>4.1.1</w:t>
      </w:r>
      <w:r w:rsidRPr="000F0427">
        <w:rPr>
          <w:lang w:val="fr-FR"/>
        </w:rPr>
        <w:tab/>
        <w:t>Dans le cas de garnitures de frein assemblées de rechange</w:t>
      </w:r>
      <w:r>
        <w:rPr>
          <w:lang w:val="fr-FR"/>
        </w:rPr>
        <w:t xml:space="preserve"> </w:t>
      </w:r>
      <w:r w:rsidRPr="000F0427">
        <w:rPr>
          <w:lang w:val="fr-FR"/>
        </w:rPr>
        <w:t>pour des véhicules de la catégorie L équipés d</w:t>
      </w:r>
      <w:r>
        <w:rPr>
          <w:lang w:val="fr-FR"/>
        </w:rPr>
        <w:t>’</w:t>
      </w:r>
      <w:r w:rsidRPr="000F0427">
        <w:rPr>
          <w:lang w:val="fr-FR"/>
        </w:rPr>
        <w:t>un système de freinage combiné tel qu</w:t>
      </w:r>
      <w:r>
        <w:rPr>
          <w:lang w:val="fr-FR"/>
        </w:rPr>
        <w:t>’</w:t>
      </w:r>
      <w:r w:rsidRPr="000F0427">
        <w:rPr>
          <w:lang w:val="fr-FR"/>
        </w:rPr>
        <w:t>il est défini au</w:t>
      </w:r>
      <w:r w:rsidR="003D258F">
        <w:rPr>
          <w:lang w:val="fr-FR"/>
        </w:rPr>
        <w:t xml:space="preserve"> paragraphe 2.9 du Règlement </w:t>
      </w:r>
      <w:r w:rsidR="003D258F" w:rsidRPr="000F0427">
        <w:rPr>
          <w:szCs w:val="24"/>
          <w:lang w:val="fr-FR"/>
        </w:rPr>
        <w:t>n</w:t>
      </w:r>
      <w:r w:rsidRPr="003D258F">
        <w:rPr>
          <w:szCs w:val="24"/>
          <w:vertAlign w:val="superscript"/>
          <w:lang w:val="fr-FR"/>
        </w:rPr>
        <w:t>o</w:t>
      </w:r>
      <w:r w:rsidRPr="000F0427">
        <w:rPr>
          <w:szCs w:val="24"/>
          <w:lang w:val="fr-FR"/>
        </w:rPr>
        <w:t> </w:t>
      </w:r>
      <w:r w:rsidRPr="000F0427">
        <w:rPr>
          <w:lang w:val="fr-FR"/>
        </w:rPr>
        <w:t>78, l</w:t>
      </w:r>
      <w:r>
        <w:rPr>
          <w:lang w:val="fr-FR"/>
        </w:rPr>
        <w:t>’</w:t>
      </w:r>
      <w:r w:rsidRPr="000F0427">
        <w:rPr>
          <w:lang w:val="fr-FR"/>
        </w:rPr>
        <w:t>homologation doit être réservée à la (les) combinaison(s) de garnitures de frein assemblées qui est (sont) celle(s) des essieux du véhicule soumis aux essais conformément à l</w:t>
      </w:r>
      <w:r>
        <w:rPr>
          <w:lang w:val="fr-FR"/>
        </w:rPr>
        <w:t>’</w:t>
      </w:r>
      <w:r w:rsidRPr="000F0427">
        <w:rPr>
          <w:lang w:val="fr-FR"/>
        </w:rPr>
        <w:t>annexe 7 du présent Règlement.</w:t>
      </w:r>
    </w:p>
    <w:p w:rsidR="000C1694" w:rsidRPr="000F0427" w:rsidRDefault="000C1694" w:rsidP="003D258F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0F0427">
        <w:rPr>
          <w:lang w:val="fr-FR"/>
        </w:rPr>
        <w:t>4.2</w:t>
      </w:r>
      <w:r w:rsidRPr="000F0427">
        <w:rPr>
          <w:lang w:val="fr-FR"/>
        </w:rPr>
        <w:tab/>
        <w:t xml:space="preserve">Chaque </w:t>
      </w:r>
      <w:r w:rsidRPr="000F0427">
        <w:rPr>
          <w:bCs/>
          <w:lang w:val="fr-FR"/>
        </w:rPr>
        <w:t>pièce de rechange</w:t>
      </w:r>
      <w:r w:rsidRPr="000F0427">
        <w:rPr>
          <w:lang w:val="fr-FR"/>
        </w:rPr>
        <w:t xml:space="preserve"> homologuée reçoit un numéro d</w:t>
      </w:r>
      <w:r>
        <w:rPr>
          <w:lang w:val="fr-FR"/>
        </w:rPr>
        <w:t>’</w:t>
      </w:r>
      <w:r w:rsidRPr="000F0427">
        <w:rPr>
          <w:lang w:val="fr-FR"/>
        </w:rPr>
        <w:t xml:space="preserve">homologation </w:t>
      </w:r>
      <w:r w:rsidRPr="000F0427">
        <w:rPr>
          <w:b/>
          <w:lang w:val="fr-FR"/>
        </w:rPr>
        <w:t xml:space="preserve">conformément à </w:t>
      </w:r>
      <w:r w:rsidRPr="000F0427"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 w:rsidRPr="000F0427">
        <w:rPr>
          <w:b/>
          <w:bCs/>
          <w:lang w:val="fr-FR"/>
        </w:rPr>
        <w:t>annexe</w:t>
      </w:r>
      <w:r w:rsidR="003D258F">
        <w:rPr>
          <w:b/>
          <w:bCs/>
          <w:lang w:val="fr-FR"/>
        </w:rPr>
        <w:t> </w:t>
      </w:r>
      <w:r w:rsidRPr="000F0427">
        <w:rPr>
          <w:b/>
          <w:bCs/>
          <w:lang w:val="fr-FR"/>
        </w:rPr>
        <w:t xml:space="preserve">4 </w:t>
      </w:r>
      <w:r w:rsidRPr="000F0427">
        <w:rPr>
          <w:b/>
          <w:lang w:val="fr-FR"/>
        </w:rPr>
        <w:t xml:space="preserve">de la </w:t>
      </w:r>
      <w:r>
        <w:rPr>
          <w:b/>
          <w:iCs/>
          <w:lang w:val="fr-FR"/>
        </w:rPr>
        <w:t>R</w:t>
      </w:r>
      <w:r w:rsidRPr="000F0427">
        <w:rPr>
          <w:b/>
          <w:iCs/>
          <w:lang w:val="fr-FR"/>
        </w:rPr>
        <w:t>évision</w:t>
      </w:r>
      <w:r w:rsidR="003D258F">
        <w:rPr>
          <w:b/>
          <w:iCs/>
          <w:lang w:val="fr-FR"/>
        </w:rPr>
        <w:t> </w:t>
      </w:r>
      <w:r w:rsidRPr="000F0427">
        <w:rPr>
          <w:b/>
          <w:iCs/>
          <w:lang w:val="fr-FR"/>
        </w:rPr>
        <w:t>3 de l</w:t>
      </w:r>
      <w:r>
        <w:rPr>
          <w:b/>
          <w:iCs/>
          <w:lang w:val="fr-FR"/>
        </w:rPr>
        <w:t>’</w:t>
      </w:r>
      <w:r w:rsidRPr="000F0427">
        <w:rPr>
          <w:b/>
          <w:iCs/>
          <w:lang w:val="fr-FR"/>
        </w:rPr>
        <w:t>Accord de 1958</w:t>
      </w:r>
      <w:r w:rsidRPr="000F0427">
        <w:rPr>
          <w:b/>
          <w:i/>
          <w:iCs/>
          <w:lang w:val="fr-FR"/>
        </w:rPr>
        <w:t xml:space="preserve"> </w:t>
      </w:r>
      <w:r w:rsidRPr="000F0427">
        <w:rPr>
          <w:b/>
          <w:lang w:val="fr-FR"/>
        </w:rPr>
        <w:t>et un code d</w:t>
      </w:r>
      <w:r>
        <w:rPr>
          <w:b/>
          <w:lang w:val="fr-FR"/>
        </w:rPr>
        <w:t>’</w:t>
      </w:r>
      <w:r w:rsidRPr="000F0427">
        <w:rPr>
          <w:b/>
          <w:lang w:val="fr-FR"/>
        </w:rPr>
        <w:t>homologation</w:t>
      </w:r>
      <w:r w:rsidRPr="000F0427">
        <w:rPr>
          <w:lang w:val="fr-FR"/>
        </w:rPr>
        <w:t>, comprenant quatre groupes de chiffres</w:t>
      </w:r>
      <w:r w:rsidR="005D6E28">
        <w:rPr>
          <w:lang w:val="fr-FR"/>
        </w:rPr>
        <w:t> </w:t>
      </w:r>
      <w:r w:rsidRPr="000F0427">
        <w:rPr>
          <w:lang w:val="fr-FR"/>
        </w:rPr>
        <w:t>:</w:t>
      </w:r>
    </w:p>
    <w:p w:rsidR="000C1694" w:rsidRPr="00A932D2" w:rsidRDefault="003D258F" w:rsidP="003D258F">
      <w:pPr>
        <w:pStyle w:val="SingleTxtG"/>
        <w:tabs>
          <w:tab w:val="left" w:pos="2268"/>
        </w:tabs>
        <w:ind w:left="2268" w:hanging="1134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4.2.1</w:t>
      </w:r>
      <w:r w:rsidR="000C1694" w:rsidRPr="00A932D2"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 w:rsidR="000C1694" w:rsidRPr="00A932D2">
        <w:rPr>
          <w:rFonts w:eastAsia="Times New Roman"/>
          <w:lang w:val="fr-FR"/>
        </w:rPr>
        <w:t>...</w:t>
      </w:r>
    </w:p>
    <w:p w:rsidR="000C1694" w:rsidRPr="000F0427" w:rsidRDefault="000C1694" w:rsidP="003D258F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0F0427">
        <w:rPr>
          <w:lang w:val="fr-FR"/>
        </w:rPr>
        <w:t>4.3</w:t>
      </w:r>
      <w:r w:rsidRPr="000F0427">
        <w:rPr>
          <w:lang w:val="fr-FR"/>
        </w:rPr>
        <w:tab/>
        <w:t>Une même Partie contractante ne peut attribuer le même numéro d</w:t>
      </w:r>
      <w:r>
        <w:rPr>
          <w:lang w:val="fr-FR"/>
        </w:rPr>
        <w:t>’</w:t>
      </w:r>
      <w:r w:rsidRPr="000F0427">
        <w:rPr>
          <w:lang w:val="fr-FR"/>
        </w:rPr>
        <w:t xml:space="preserve">homologation </w:t>
      </w:r>
      <w:r w:rsidRPr="000F0427">
        <w:rPr>
          <w:b/>
          <w:lang w:val="fr-FR"/>
        </w:rPr>
        <w:t>et/ou le même code d</w:t>
      </w:r>
      <w:r>
        <w:rPr>
          <w:b/>
          <w:lang w:val="fr-FR"/>
        </w:rPr>
        <w:t>’</w:t>
      </w:r>
      <w:r w:rsidRPr="000F0427">
        <w:rPr>
          <w:b/>
          <w:lang w:val="fr-FR"/>
        </w:rPr>
        <w:t>homologation</w:t>
      </w:r>
      <w:r w:rsidRPr="000F0427">
        <w:rPr>
          <w:lang w:val="fr-FR"/>
        </w:rPr>
        <w:t xml:space="preserve"> à une autre pièce de rechange. Le même numéro d</w:t>
      </w:r>
      <w:r>
        <w:rPr>
          <w:lang w:val="fr-FR"/>
        </w:rPr>
        <w:t>’</w:t>
      </w:r>
      <w:r w:rsidRPr="000F0427">
        <w:rPr>
          <w:lang w:val="fr-FR"/>
        </w:rPr>
        <w:t xml:space="preserve">homologation, </w:t>
      </w:r>
      <w:proofErr w:type="gramStart"/>
      <w:r w:rsidRPr="000F0427">
        <w:rPr>
          <w:lang w:val="fr-FR"/>
        </w:rPr>
        <w:t>par contre</w:t>
      </w:r>
      <w:proofErr w:type="gramEnd"/>
      <w:r w:rsidRPr="000F0427">
        <w:rPr>
          <w:lang w:val="fr-FR"/>
        </w:rPr>
        <w:t>, peut s</w:t>
      </w:r>
      <w:r>
        <w:rPr>
          <w:lang w:val="fr-FR"/>
        </w:rPr>
        <w:t>’</w:t>
      </w:r>
      <w:r w:rsidRPr="000F0427">
        <w:rPr>
          <w:lang w:val="fr-FR"/>
        </w:rPr>
        <w:t>appliquer à l</w:t>
      </w:r>
      <w:r>
        <w:rPr>
          <w:lang w:val="fr-FR"/>
        </w:rPr>
        <w:t>’</w:t>
      </w:r>
      <w:r w:rsidRPr="000F0427">
        <w:rPr>
          <w:lang w:val="fr-FR"/>
        </w:rPr>
        <w:t>utilisation de cette pièce de rechange sur un certain nombre de types de véhicules différents.</w:t>
      </w:r>
    </w:p>
    <w:p w:rsidR="000C1694" w:rsidRPr="000F0427" w:rsidRDefault="000C1694" w:rsidP="003D258F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0F0427">
        <w:rPr>
          <w:lang w:val="fr-FR"/>
        </w:rPr>
        <w:t>4.4</w:t>
      </w:r>
      <w:r w:rsidRPr="000F0427">
        <w:rPr>
          <w:lang w:val="fr-FR"/>
        </w:rPr>
        <w:tab/>
        <w:t>L</w:t>
      </w:r>
      <w:r>
        <w:rPr>
          <w:lang w:val="fr-FR"/>
        </w:rPr>
        <w:t>’</w:t>
      </w:r>
      <w:r w:rsidRPr="000F0427">
        <w:rPr>
          <w:lang w:val="fr-FR"/>
        </w:rPr>
        <w:t>homologation ou l</w:t>
      </w:r>
      <w:r>
        <w:rPr>
          <w:lang w:val="fr-FR"/>
        </w:rPr>
        <w:t>’</w:t>
      </w:r>
      <w:r w:rsidRPr="000F0427">
        <w:rPr>
          <w:lang w:val="fr-FR"/>
        </w:rPr>
        <w:t>extension ou le refus de l</w:t>
      </w:r>
      <w:r>
        <w:rPr>
          <w:lang w:val="fr-FR"/>
        </w:rPr>
        <w:t>’</w:t>
      </w:r>
      <w:r w:rsidRPr="000F0427">
        <w:rPr>
          <w:lang w:val="fr-FR"/>
        </w:rPr>
        <w:t>homologation ou le retrait de l</w:t>
      </w:r>
      <w:r>
        <w:rPr>
          <w:lang w:val="fr-FR"/>
        </w:rPr>
        <w:t>’</w:t>
      </w:r>
      <w:r w:rsidRPr="000F0427">
        <w:rPr>
          <w:lang w:val="fr-FR"/>
        </w:rPr>
        <w:t>homologation ou l</w:t>
      </w:r>
      <w:r>
        <w:rPr>
          <w:lang w:val="fr-FR"/>
        </w:rPr>
        <w:t>’</w:t>
      </w:r>
      <w:r w:rsidRPr="000F0427">
        <w:rPr>
          <w:lang w:val="fr-FR"/>
        </w:rPr>
        <w:t>arrêt définitif de la production d</w:t>
      </w:r>
      <w:r>
        <w:rPr>
          <w:lang w:val="fr-FR"/>
        </w:rPr>
        <w:t>’</w:t>
      </w:r>
      <w:r w:rsidRPr="000F0427">
        <w:rPr>
          <w:lang w:val="fr-FR"/>
        </w:rPr>
        <w:t xml:space="preserve">une </w:t>
      </w:r>
      <w:r w:rsidRPr="000F0427">
        <w:rPr>
          <w:bCs/>
          <w:lang w:val="fr-FR"/>
        </w:rPr>
        <w:t>pièce de rechange</w:t>
      </w:r>
      <w:r w:rsidRPr="000F0427">
        <w:rPr>
          <w:lang w:val="fr-FR"/>
        </w:rPr>
        <w:t xml:space="preserve"> en application du présent Règlement est notifié aux Parties à l</w:t>
      </w:r>
      <w:r>
        <w:rPr>
          <w:lang w:val="fr-FR"/>
        </w:rPr>
        <w:t>’</w:t>
      </w:r>
      <w:r w:rsidRPr="000F0427">
        <w:rPr>
          <w:lang w:val="fr-FR"/>
        </w:rPr>
        <w:t>Accord de 1958 appliquant le présent Règlement au moyen d</w:t>
      </w:r>
      <w:r>
        <w:rPr>
          <w:lang w:val="fr-FR"/>
        </w:rPr>
        <w:t>’</w:t>
      </w:r>
      <w:r w:rsidRPr="000F0427">
        <w:rPr>
          <w:lang w:val="fr-FR"/>
        </w:rPr>
        <w:t>une fiche conforme au modèle de l</w:t>
      </w:r>
      <w:r>
        <w:rPr>
          <w:lang w:val="fr-FR"/>
        </w:rPr>
        <w:t>’</w:t>
      </w:r>
      <w:r w:rsidRPr="000F0427">
        <w:rPr>
          <w:lang w:val="fr-FR"/>
        </w:rPr>
        <w:t>annexe 1 du présent Règlement.</w:t>
      </w:r>
    </w:p>
    <w:p w:rsidR="000C1694" w:rsidRPr="000F0427" w:rsidRDefault="000C1694" w:rsidP="003D258F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0F0427">
        <w:rPr>
          <w:lang w:val="fr-FR"/>
        </w:rPr>
        <w:t>4.5</w:t>
      </w:r>
      <w:r w:rsidRPr="000F0427">
        <w:rPr>
          <w:lang w:val="fr-FR"/>
        </w:rPr>
        <w:tab/>
        <w:t>Sur toute pièce de rechange homologuée conformément au présent Règlement, il est apposé de manière visible, en un endroit facilement accessible, une marque d</w:t>
      </w:r>
      <w:r>
        <w:rPr>
          <w:lang w:val="fr-FR"/>
        </w:rPr>
        <w:t>’</w:t>
      </w:r>
      <w:r w:rsidRPr="000F0427">
        <w:rPr>
          <w:lang w:val="fr-FR"/>
        </w:rPr>
        <w:t>homologation internationale composée</w:t>
      </w:r>
      <w:r w:rsidR="003D258F">
        <w:rPr>
          <w:lang w:val="fr-FR"/>
        </w:rPr>
        <w:t> </w:t>
      </w:r>
      <w:r w:rsidRPr="000F0427">
        <w:rPr>
          <w:lang w:val="fr-FR"/>
        </w:rPr>
        <w:t>:</w:t>
      </w:r>
    </w:p>
    <w:p w:rsidR="000C1694" w:rsidRDefault="000C1694" w:rsidP="003D258F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0F0427">
        <w:rPr>
          <w:lang w:val="fr-FR"/>
        </w:rPr>
        <w:t>4.5.1</w:t>
      </w:r>
      <w:r w:rsidRPr="000F0427">
        <w:rPr>
          <w:lang w:val="fr-FR"/>
        </w:rPr>
        <w:tab/>
        <w:t>D</w:t>
      </w:r>
      <w:r>
        <w:rPr>
          <w:lang w:val="fr-FR"/>
        </w:rPr>
        <w:t>’</w:t>
      </w:r>
      <w:r w:rsidRPr="000F0427">
        <w:rPr>
          <w:lang w:val="fr-FR"/>
        </w:rPr>
        <w:t>un cercle à l</w:t>
      </w:r>
      <w:r>
        <w:rPr>
          <w:lang w:val="fr-FR"/>
        </w:rPr>
        <w:t>’</w:t>
      </w:r>
      <w:r w:rsidRPr="000F0427">
        <w:rPr>
          <w:lang w:val="fr-FR"/>
        </w:rPr>
        <w:t xml:space="preserve">intérieur duquel est placée la lettre </w:t>
      </w:r>
      <w:r w:rsidR="003D258F" w:rsidRPr="003D258F">
        <w:t>“</w:t>
      </w:r>
      <w:r w:rsidRPr="000F0427">
        <w:rPr>
          <w:lang w:val="fr-FR"/>
        </w:rPr>
        <w:t>E</w:t>
      </w:r>
      <w:r w:rsidR="003D258F" w:rsidRPr="003D258F">
        <w:t>”</w:t>
      </w:r>
      <w:r w:rsidRPr="000F0427">
        <w:rPr>
          <w:lang w:val="fr-FR"/>
        </w:rPr>
        <w:t>, suivie du numéro distinctif du pays qui a accordé l</w:t>
      </w:r>
      <w:r>
        <w:rPr>
          <w:lang w:val="fr-FR"/>
        </w:rPr>
        <w:t>’</w:t>
      </w:r>
      <w:r w:rsidRPr="000F0427">
        <w:rPr>
          <w:lang w:val="fr-FR"/>
        </w:rPr>
        <w:t>homologation</w:t>
      </w:r>
      <w:r w:rsidRPr="002201F3">
        <w:rPr>
          <w:sz w:val="18"/>
          <w:szCs w:val="18"/>
          <w:vertAlign w:val="superscript"/>
          <w:lang w:val="fr-FR"/>
        </w:rPr>
        <w:t>3</w:t>
      </w:r>
      <w:r w:rsidR="002201F3">
        <w:rPr>
          <w:vertAlign w:val="superscript"/>
          <w:lang w:val="fr-FR"/>
        </w:rPr>
        <w:t> </w:t>
      </w:r>
      <w:r w:rsidRPr="000F0427">
        <w:rPr>
          <w:lang w:val="fr-FR"/>
        </w:rPr>
        <w:t>;</w:t>
      </w:r>
    </w:p>
    <w:p w:rsidR="000C1694" w:rsidRPr="00A932D2" w:rsidRDefault="000C1694" w:rsidP="003D258F">
      <w:pPr>
        <w:pStyle w:val="SingleTxtG"/>
        <w:tabs>
          <w:tab w:val="left" w:pos="2268"/>
        </w:tabs>
        <w:ind w:left="2268" w:hanging="1134"/>
        <w:rPr>
          <w:rFonts w:eastAsia="Times New Roman"/>
          <w:spacing w:val="-4"/>
          <w:lang w:val="fr-FR"/>
        </w:rPr>
      </w:pPr>
      <w:r w:rsidRPr="000F0427">
        <w:rPr>
          <w:lang w:val="fr-FR"/>
        </w:rPr>
        <w:t>4.5.2</w:t>
      </w:r>
      <w:r w:rsidRPr="000F0427">
        <w:rPr>
          <w:lang w:val="fr-FR"/>
        </w:rPr>
        <w:tab/>
        <w:t xml:space="preserve">Du numéro du présent Règlement, suivi de la lettre </w:t>
      </w:r>
      <w:r w:rsidR="003D258F" w:rsidRPr="003D258F">
        <w:t>“</w:t>
      </w:r>
      <w:r w:rsidRPr="000F0427">
        <w:rPr>
          <w:lang w:val="fr-FR"/>
        </w:rPr>
        <w:t>R</w:t>
      </w:r>
      <w:r w:rsidR="003D258F" w:rsidRPr="003D258F">
        <w:t>”</w:t>
      </w:r>
      <w:r w:rsidRPr="000F0427">
        <w:rPr>
          <w:lang w:val="fr-FR"/>
        </w:rPr>
        <w:t>, d</w:t>
      </w:r>
      <w:r>
        <w:rPr>
          <w:lang w:val="fr-FR"/>
        </w:rPr>
        <w:t>’</w:t>
      </w:r>
      <w:r w:rsidRPr="000F0427">
        <w:rPr>
          <w:lang w:val="fr-FR"/>
        </w:rPr>
        <w:t xml:space="preserve">un tiret et du </w:t>
      </w:r>
      <w:proofErr w:type="spellStart"/>
      <w:r w:rsidRPr="000F0427">
        <w:rPr>
          <w:strike/>
          <w:lang w:val="fr-FR"/>
        </w:rPr>
        <w:t>numéro</w:t>
      </w:r>
      <w:r w:rsidRPr="000F0427">
        <w:rPr>
          <w:b/>
          <w:lang w:val="fr-FR"/>
        </w:rPr>
        <w:t>code</w:t>
      </w:r>
      <w:proofErr w:type="spellEnd"/>
      <w:r w:rsidRPr="000F0427">
        <w:rPr>
          <w:lang w:val="fr-FR"/>
        </w:rPr>
        <w:t xml:space="preserve"> d</w:t>
      </w:r>
      <w:r>
        <w:rPr>
          <w:lang w:val="fr-FR"/>
        </w:rPr>
        <w:t>’</w:t>
      </w:r>
      <w:r w:rsidRPr="000F0427">
        <w:rPr>
          <w:lang w:val="fr-FR"/>
        </w:rPr>
        <w:t>homologation, placés à la droite du cercle prévu au paragraphe 4.5.1.</w:t>
      </w:r>
    </w:p>
    <w:p w:rsidR="000C1694" w:rsidRPr="00A932D2" w:rsidRDefault="000C1694" w:rsidP="003D258F">
      <w:pPr>
        <w:pStyle w:val="SingleTxtG"/>
        <w:tabs>
          <w:tab w:val="left" w:pos="2268"/>
        </w:tabs>
        <w:ind w:left="2268" w:hanging="1134"/>
        <w:rPr>
          <w:rFonts w:eastAsia="Times New Roman"/>
          <w:lang w:val="fr-FR"/>
        </w:rPr>
      </w:pPr>
      <w:r w:rsidRPr="00A932D2">
        <w:rPr>
          <w:rFonts w:eastAsia="Times New Roman"/>
          <w:lang w:val="fr-FR"/>
        </w:rPr>
        <w:t>4.6</w:t>
      </w:r>
      <w:r w:rsidRPr="00A932D2">
        <w:rPr>
          <w:rFonts w:eastAsia="Times New Roman"/>
          <w:lang w:val="fr-FR"/>
        </w:rPr>
        <w:tab/>
      </w:r>
      <w:r w:rsidR="002201F3">
        <w:rPr>
          <w:rFonts w:eastAsia="Times New Roman"/>
          <w:lang w:val="fr-FR"/>
        </w:rPr>
        <w:t>... »</w:t>
      </w:r>
      <w:r>
        <w:rPr>
          <w:rFonts w:eastAsia="Times New Roman"/>
          <w:lang w:val="fr-FR"/>
        </w:rPr>
        <w:t>.</w:t>
      </w:r>
    </w:p>
    <w:p w:rsidR="000C1694" w:rsidRPr="00A932D2" w:rsidRDefault="000C1694" w:rsidP="007B5C5E">
      <w:pPr>
        <w:pStyle w:val="SingleTxtG"/>
        <w:rPr>
          <w:lang w:val="fr-FR"/>
        </w:rPr>
      </w:pPr>
      <w:r w:rsidRPr="00A932D2">
        <w:rPr>
          <w:lang w:val="fr-FR"/>
        </w:rPr>
        <w:t>(</w:t>
      </w:r>
      <w:r w:rsidRPr="007B5C5E">
        <w:rPr>
          <w:i/>
          <w:lang w:val="fr-FR"/>
        </w:rPr>
        <w:t>La note de bas de page 3 reste inchangée</w:t>
      </w:r>
      <w:r>
        <w:rPr>
          <w:lang w:val="fr-FR"/>
        </w:rPr>
        <w:t>.</w:t>
      </w:r>
      <w:r w:rsidRPr="00A932D2">
        <w:rPr>
          <w:lang w:val="fr-FR"/>
        </w:rPr>
        <w:t>)</w:t>
      </w:r>
    </w:p>
    <w:p w:rsidR="000C1694" w:rsidRPr="00A932D2" w:rsidRDefault="000C1694" w:rsidP="00ED4D7F">
      <w:pPr>
        <w:pStyle w:val="SingleTxtG"/>
        <w:keepNext/>
        <w:tabs>
          <w:tab w:val="left" w:pos="2268"/>
        </w:tabs>
        <w:ind w:left="2268" w:hanging="1134"/>
        <w:rPr>
          <w:rFonts w:eastAsia="Times New Roman"/>
          <w:lang w:val="fr-FR"/>
        </w:rPr>
      </w:pPr>
      <w:r w:rsidRPr="00A932D2">
        <w:rPr>
          <w:rFonts w:eastAsia="Times New Roman"/>
          <w:i/>
          <w:lang w:val="fr-FR"/>
        </w:rPr>
        <w:lastRenderedPageBreak/>
        <w:t>Paragraph</w:t>
      </w:r>
      <w:r w:rsidRPr="000F0427">
        <w:rPr>
          <w:rFonts w:eastAsia="Times New Roman"/>
          <w:i/>
          <w:lang w:val="fr-FR"/>
        </w:rPr>
        <w:t>e</w:t>
      </w:r>
      <w:r w:rsidRPr="00A932D2">
        <w:rPr>
          <w:rFonts w:eastAsia="Times New Roman"/>
          <w:i/>
          <w:lang w:val="fr-FR"/>
        </w:rPr>
        <w:t xml:space="preserve"> 6.2.2 </w:t>
      </w:r>
      <w:r w:rsidRPr="000F0427">
        <w:rPr>
          <w:rFonts w:eastAsia="Times New Roman"/>
          <w:i/>
          <w:lang w:val="fr-FR"/>
        </w:rPr>
        <w:t xml:space="preserve">et </w:t>
      </w:r>
      <w:r w:rsidRPr="00A932D2">
        <w:rPr>
          <w:rFonts w:eastAsia="Times New Roman"/>
          <w:i/>
          <w:lang w:val="fr-FR"/>
        </w:rPr>
        <w:t>s</w:t>
      </w:r>
      <w:r w:rsidRPr="000F0427">
        <w:rPr>
          <w:rFonts w:eastAsia="Times New Roman"/>
          <w:i/>
          <w:lang w:val="fr-FR"/>
        </w:rPr>
        <w:t>ous-</w:t>
      </w:r>
      <w:r w:rsidRPr="00A932D2">
        <w:rPr>
          <w:rFonts w:eastAsia="Times New Roman"/>
          <w:i/>
          <w:lang w:val="fr-FR"/>
        </w:rPr>
        <w:t>paragraph</w:t>
      </w:r>
      <w:r w:rsidRPr="000F0427">
        <w:rPr>
          <w:rFonts w:eastAsia="Times New Roman"/>
          <w:i/>
          <w:lang w:val="fr-FR"/>
        </w:rPr>
        <w:t>e</w:t>
      </w:r>
      <w:r w:rsidRPr="00A932D2">
        <w:rPr>
          <w:rFonts w:eastAsia="Times New Roman"/>
          <w:i/>
          <w:lang w:val="fr-FR"/>
        </w:rPr>
        <w:t>s</w:t>
      </w:r>
      <w:r w:rsidRPr="00A932D2">
        <w:rPr>
          <w:rFonts w:eastAsia="Times New Roman"/>
          <w:b/>
          <w:i/>
          <w:lang w:val="fr-FR"/>
        </w:rPr>
        <w:t xml:space="preserve"> </w:t>
      </w:r>
      <w:r w:rsidRPr="000F0427">
        <w:rPr>
          <w:rFonts w:eastAsia="Times New Roman"/>
          <w:i/>
          <w:lang w:val="fr-FR"/>
        </w:rPr>
        <w:t>(Emballage et marquage)</w:t>
      </w:r>
      <w:r w:rsidRPr="007B5C5E">
        <w:rPr>
          <w:rFonts w:eastAsia="Times New Roman"/>
          <w:lang w:val="fr-FR"/>
        </w:rPr>
        <w:t xml:space="preserve">, </w:t>
      </w:r>
      <w:r w:rsidR="007B5C5E">
        <w:rPr>
          <w:rFonts w:eastAsia="Times New Roman"/>
          <w:iCs/>
          <w:lang w:val="fr-FR"/>
        </w:rPr>
        <w:t>lire </w:t>
      </w:r>
      <w:r w:rsidRPr="007B5C5E">
        <w:rPr>
          <w:rFonts w:eastAsia="Times New Roman"/>
          <w:iCs/>
          <w:lang w:val="fr-FR"/>
        </w:rPr>
        <w:t>:</w:t>
      </w:r>
    </w:p>
    <w:p w:rsidR="000C1694" w:rsidRPr="000F0427" w:rsidRDefault="00ED4D7F" w:rsidP="00ED4D7F">
      <w:pPr>
        <w:pStyle w:val="SingleTxtG"/>
        <w:keepNext/>
        <w:tabs>
          <w:tab w:val="left" w:pos="2268"/>
        </w:tabs>
        <w:ind w:left="2268" w:hanging="1134"/>
        <w:rPr>
          <w:lang w:val="fr-FR"/>
        </w:rPr>
      </w:pPr>
      <w:r>
        <w:rPr>
          <w:rFonts w:eastAsia="Times New Roman"/>
          <w:lang w:val="fr-FR"/>
        </w:rPr>
        <w:t>« </w:t>
      </w:r>
      <w:r w:rsidR="000C1694" w:rsidRPr="000F0427">
        <w:rPr>
          <w:lang w:val="fr-FR"/>
        </w:rPr>
        <w:t>6.2.2</w:t>
      </w:r>
      <w:r w:rsidR="000C1694" w:rsidRPr="000F0427">
        <w:rPr>
          <w:lang w:val="fr-FR"/>
        </w:rPr>
        <w:tab/>
        <w:t>Marquage</w:t>
      </w:r>
    </w:p>
    <w:p w:rsidR="000C1694" w:rsidRPr="000F0427" w:rsidRDefault="000C1694" w:rsidP="00ED4D7F">
      <w:pPr>
        <w:pStyle w:val="SingleTxtG"/>
        <w:ind w:left="2268"/>
        <w:rPr>
          <w:lang w:val="fr-FR"/>
        </w:rPr>
      </w:pPr>
      <w:r w:rsidRPr="000F0427">
        <w:rPr>
          <w:lang w:val="fr-FR"/>
        </w:rPr>
        <w:tab/>
        <w:t>Chaque disque/tambour de frein homologué conformément au présent Règlement doit porter un marquage durable comprenant au moins les informations suivantes</w:t>
      </w:r>
      <w:r w:rsidR="00ED4D7F">
        <w:rPr>
          <w:lang w:val="fr-FR"/>
        </w:rPr>
        <w:t> </w:t>
      </w:r>
      <w:r w:rsidRPr="000F0427">
        <w:rPr>
          <w:lang w:val="fr-FR"/>
        </w:rPr>
        <w:t>:</w:t>
      </w:r>
    </w:p>
    <w:p w:rsidR="000C1694" w:rsidRPr="000F0427" w:rsidRDefault="000C1694" w:rsidP="003D258F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0F0427">
        <w:rPr>
          <w:lang w:val="fr-FR"/>
        </w:rPr>
        <w:t>6.2.2.1</w:t>
      </w:r>
      <w:r w:rsidRPr="000F0427">
        <w:rPr>
          <w:lang w:val="fr-FR"/>
        </w:rPr>
        <w:tab/>
        <w:t>Nom du constructeur ou désignation commerciale</w:t>
      </w:r>
      <w:r w:rsidR="00ED4D7F">
        <w:rPr>
          <w:lang w:val="fr-FR"/>
        </w:rPr>
        <w:t> </w:t>
      </w:r>
      <w:r w:rsidRPr="000F0427">
        <w:rPr>
          <w:lang w:val="fr-FR"/>
        </w:rPr>
        <w:t>;</w:t>
      </w:r>
    </w:p>
    <w:p w:rsidR="000C1694" w:rsidRPr="000F0427" w:rsidRDefault="000C1694" w:rsidP="003D258F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0F0427">
        <w:rPr>
          <w:lang w:val="fr-FR"/>
        </w:rPr>
        <w:t>6.2.2.2</w:t>
      </w:r>
      <w:r w:rsidRPr="000F0427">
        <w:rPr>
          <w:lang w:val="fr-FR"/>
        </w:rPr>
        <w:tab/>
      </w:r>
      <w:proofErr w:type="spellStart"/>
      <w:r w:rsidRPr="000F0427">
        <w:rPr>
          <w:strike/>
          <w:lang w:val="fr-FR"/>
        </w:rPr>
        <w:t>Numéro</w:t>
      </w:r>
      <w:r w:rsidRPr="000F0427">
        <w:rPr>
          <w:b/>
          <w:lang w:val="fr-FR"/>
        </w:rPr>
        <w:t>Code</w:t>
      </w:r>
      <w:proofErr w:type="spellEnd"/>
      <w:r w:rsidRPr="000F0427">
        <w:rPr>
          <w:lang w:val="fr-FR"/>
        </w:rPr>
        <w:t xml:space="preserve"> d</w:t>
      </w:r>
      <w:r>
        <w:rPr>
          <w:lang w:val="fr-FR"/>
        </w:rPr>
        <w:t>’</w:t>
      </w:r>
      <w:r w:rsidRPr="000F0427">
        <w:rPr>
          <w:lang w:val="fr-FR"/>
        </w:rPr>
        <w:t>homologation</w:t>
      </w:r>
      <w:r w:rsidR="00ED4D7F">
        <w:rPr>
          <w:lang w:val="fr-FR"/>
        </w:rPr>
        <w:t> </w:t>
      </w:r>
      <w:r w:rsidRPr="000F0427">
        <w:rPr>
          <w:lang w:val="fr-FR"/>
        </w:rPr>
        <w:t>;</w:t>
      </w:r>
    </w:p>
    <w:p w:rsidR="000C1694" w:rsidRPr="00A932D2" w:rsidRDefault="000C1694" w:rsidP="003D258F">
      <w:pPr>
        <w:pStyle w:val="SingleTxtG"/>
        <w:tabs>
          <w:tab w:val="left" w:pos="2268"/>
        </w:tabs>
        <w:ind w:left="2268" w:hanging="1134"/>
        <w:rPr>
          <w:rFonts w:eastAsia="Times New Roman"/>
          <w:lang w:val="fr-FR"/>
        </w:rPr>
      </w:pPr>
      <w:r w:rsidRPr="00A932D2">
        <w:rPr>
          <w:rFonts w:eastAsia="Times New Roman"/>
          <w:lang w:val="fr-FR"/>
        </w:rPr>
        <w:t>6.2.2.3</w:t>
      </w:r>
      <w:r w:rsidR="00ED4D7F">
        <w:rPr>
          <w:rFonts w:eastAsia="Times New Roman"/>
          <w:lang w:val="fr-FR"/>
        </w:rPr>
        <w:tab/>
        <w:t>… »</w:t>
      </w:r>
      <w:r>
        <w:rPr>
          <w:rFonts w:eastAsia="Times New Roman"/>
          <w:lang w:val="fr-FR"/>
        </w:rPr>
        <w:t>.</w:t>
      </w:r>
    </w:p>
    <w:p w:rsidR="000C1694" w:rsidRPr="00A932D2" w:rsidRDefault="000C1694" w:rsidP="002E2213">
      <w:pPr>
        <w:pStyle w:val="SingleTxtG"/>
        <w:keepNext/>
        <w:tabs>
          <w:tab w:val="left" w:pos="2268"/>
        </w:tabs>
        <w:rPr>
          <w:rFonts w:eastAsia="Times New Roman"/>
          <w:lang w:val="fr-FR"/>
        </w:rPr>
      </w:pPr>
      <w:r w:rsidRPr="00A932D2">
        <w:rPr>
          <w:rFonts w:eastAsia="Times New Roman"/>
          <w:i/>
          <w:lang w:val="fr-FR"/>
        </w:rPr>
        <w:t>Annex</w:t>
      </w:r>
      <w:r w:rsidRPr="000F0427">
        <w:rPr>
          <w:rFonts w:eastAsia="Times New Roman"/>
          <w:i/>
          <w:lang w:val="fr-FR"/>
        </w:rPr>
        <w:t>e</w:t>
      </w:r>
      <w:r w:rsidRPr="00A932D2">
        <w:rPr>
          <w:rFonts w:eastAsia="Times New Roman"/>
          <w:i/>
          <w:lang w:val="fr-FR"/>
        </w:rPr>
        <w:t xml:space="preserve"> 1A, «</w:t>
      </w:r>
      <w:r w:rsidR="00E82986">
        <w:rPr>
          <w:rFonts w:eastAsia="Times New Roman"/>
          <w:i/>
          <w:lang w:val="fr-FR"/>
        </w:rPr>
        <w:t> </w:t>
      </w:r>
      <w:r w:rsidRPr="00A932D2">
        <w:rPr>
          <w:rFonts w:eastAsia="Times New Roman"/>
          <w:i/>
          <w:lang w:val="fr-FR"/>
        </w:rPr>
        <w:t>Communication</w:t>
      </w:r>
      <w:r w:rsidR="00E82986">
        <w:rPr>
          <w:rFonts w:eastAsia="Times New Roman"/>
          <w:i/>
          <w:lang w:val="fr-FR"/>
        </w:rPr>
        <w:t> </w:t>
      </w:r>
      <w:r w:rsidRPr="00A932D2">
        <w:rPr>
          <w:rFonts w:eastAsia="Times New Roman"/>
          <w:i/>
          <w:lang w:val="fr-FR"/>
        </w:rPr>
        <w:t>»</w:t>
      </w:r>
      <w:r w:rsidRPr="000F0427">
        <w:rPr>
          <w:rFonts w:eastAsia="Times New Roman"/>
          <w:lang w:val="fr-FR"/>
        </w:rPr>
        <w:t xml:space="preserve">, </w:t>
      </w:r>
      <w:r w:rsidRPr="00E82986">
        <w:rPr>
          <w:rFonts w:eastAsia="Times New Roman"/>
          <w:lang w:val="fr-FR"/>
        </w:rPr>
        <w:t>modifier comme suit, y compris l’ajout des deux nouvelles notes de bas de page</w:t>
      </w:r>
      <w:r w:rsidR="00D90D9B">
        <w:rPr>
          <w:rFonts w:eastAsia="Times New Roman"/>
          <w:lang w:val="fr-FR"/>
        </w:rPr>
        <w:t> </w:t>
      </w:r>
      <w:r w:rsidRPr="00E82986">
        <w:rPr>
          <w:rFonts w:eastAsia="Times New Roman"/>
          <w:lang w:val="fr-FR"/>
        </w:rPr>
        <w:t>3 et 4</w:t>
      </w:r>
      <w:r w:rsidR="00E82986" w:rsidRPr="00E82986">
        <w:rPr>
          <w:rFonts w:eastAsia="Times New Roman"/>
          <w:lang w:val="fr-FR"/>
        </w:rPr>
        <w:t> </w:t>
      </w:r>
      <w:r w:rsidRPr="00E82986">
        <w:rPr>
          <w:rFonts w:eastAsia="Times New Roman"/>
          <w:lang w:val="fr-FR"/>
        </w:rPr>
        <w:t>:</w:t>
      </w:r>
    </w:p>
    <w:p w:rsidR="000C1694" w:rsidRPr="00A932D2" w:rsidRDefault="000C1694" w:rsidP="00E82986">
      <w:pPr>
        <w:pStyle w:val="HChG"/>
        <w:tabs>
          <w:tab w:val="right" w:pos="2268"/>
        </w:tabs>
        <w:rPr>
          <w:rFonts w:eastAsia="Times New Roman"/>
          <w:lang w:val="fr-FR"/>
        </w:rPr>
      </w:pPr>
      <w:r w:rsidRPr="00A932D2">
        <w:rPr>
          <w:rFonts w:eastAsia="Times New Roman"/>
          <w:lang w:val="fr-FR"/>
        </w:rPr>
        <w:tab/>
      </w:r>
      <w:r w:rsidRPr="00A932D2">
        <w:rPr>
          <w:rFonts w:eastAsia="Times New Roman"/>
          <w:lang w:val="fr-FR"/>
        </w:rPr>
        <w:tab/>
      </w:r>
      <w:r w:rsidR="00E82986" w:rsidRPr="00E82986">
        <w:rPr>
          <w:rFonts w:eastAsia="Times New Roman"/>
          <w:b w:val="0"/>
          <w:sz w:val="20"/>
          <w:lang w:val="fr-FR"/>
        </w:rPr>
        <w:t>« </w:t>
      </w:r>
      <w:r w:rsidRPr="00A932D2">
        <w:rPr>
          <w:rFonts w:eastAsia="Times New Roman"/>
          <w:lang w:val="fr-FR"/>
        </w:rPr>
        <w:t>Annex</w:t>
      </w:r>
      <w:r w:rsidRPr="000F0427">
        <w:rPr>
          <w:rFonts w:eastAsia="Times New Roman"/>
          <w:lang w:val="fr-FR"/>
        </w:rPr>
        <w:t>e</w:t>
      </w:r>
      <w:r w:rsidRPr="00A932D2">
        <w:rPr>
          <w:rFonts w:eastAsia="Times New Roman"/>
          <w:lang w:val="fr-FR"/>
        </w:rPr>
        <w:t xml:space="preserve"> 1A</w:t>
      </w:r>
    </w:p>
    <w:p w:rsidR="000C1694" w:rsidRDefault="000C1694" w:rsidP="00E82986">
      <w:pPr>
        <w:pStyle w:val="HChG"/>
        <w:rPr>
          <w:lang w:val="fr-FR"/>
        </w:rPr>
      </w:pPr>
      <w:r w:rsidRPr="00A932D2">
        <w:rPr>
          <w:lang w:val="fr-FR"/>
        </w:rPr>
        <w:tab/>
      </w:r>
      <w:r w:rsidRPr="00A932D2">
        <w:rPr>
          <w:lang w:val="fr-FR"/>
        </w:rPr>
        <w:tab/>
        <w:t>Communication</w:t>
      </w:r>
    </w:p>
    <w:p w:rsidR="00D26327" w:rsidRPr="00D96394" w:rsidRDefault="00D26327" w:rsidP="00D26327">
      <w:pPr>
        <w:pStyle w:val="SingleTxtG"/>
      </w:pPr>
      <w:r w:rsidRPr="00D96394">
        <w:t>(</w:t>
      </w:r>
      <w:proofErr w:type="gramStart"/>
      <w:r w:rsidRPr="00D96394">
        <w:t>format</w:t>
      </w:r>
      <w:proofErr w:type="gramEnd"/>
      <w:r w:rsidRPr="00D96394">
        <w:t xml:space="preserve"> maximal</w:t>
      </w:r>
      <w:r>
        <w:t> </w:t>
      </w:r>
      <w:r w:rsidRPr="00D96394">
        <w:t>: A4 (210 x 297 mm))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969"/>
      </w:tblGrid>
      <w:tr w:rsidR="00D26327" w:rsidRPr="00D96394" w:rsidTr="000E6D54">
        <w:tc>
          <w:tcPr>
            <w:tcW w:w="3402" w:type="dxa"/>
          </w:tcPr>
          <w:bookmarkStart w:id="2" w:name="_MON_1420453160"/>
          <w:bookmarkEnd w:id="2"/>
          <w:bookmarkStart w:id="3" w:name="_MON_1420453756"/>
          <w:bookmarkEnd w:id="3"/>
          <w:p w:rsidR="00D26327" w:rsidRPr="00D96394" w:rsidRDefault="00D26327" w:rsidP="000E6D54">
            <w:pPr>
              <w:pStyle w:val="SingleTxtG"/>
              <w:spacing w:after="0"/>
              <w:ind w:left="0"/>
            </w:pPr>
            <w:r w:rsidRPr="00D96394">
              <w:object w:dxaOrig="1684" w:dyaOrig="1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4pt" o:ole="">
                  <v:imagedata r:id="rId8" o:title=""/>
                </v:shape>
                <o:OLEObject Type="Embed" ProgID="Word.Picture.8" ShapeID="_x0000_i1025" DrawAspect="Content" ObjectID="_1606200073" r:id="rId9"/>
              </w:object>
            </w:r>
          </w:p>
        </w:tc>
        <w:tc>
          <w:tcPr>
            <w:tcW w:w="3969" w:type="dxa"/>
          </w:tcPr>
          <w:p w:rsidR="00D26327" w:rsidRPr="00D96394" w:rsidRDefault="00D26327" w:rsidP="000E6D54">
            <w:pPr>
              <w:ind w:left="1701" w:hanging="1701"/>
            </w:pPr>
            <w:r w:rsidRPr="00D96394">
              <w:t>Émanant de</w:t>
            </w:r>
            <w:r w:rsidR="00B02FFB">
              <w:t> </w:t>
            </w:r>
            <w:r w:rsidRPr="00D96394">
              <w:t>:</w:t>
            </w:r>
            <w:r w:rsidRPr="00D96394">
              <w:tab/>
              <w:t>Nom de l’administration</w:t>
            </w:r>
            <w:r w:rsidR="00B02FFB">
              <w:t> </w:t>
            </w:r>
            <w:r w:rsidRPr="00D96394">
              <w:t>:</w:t>
            </w:r>
          </w:p>
          <w:p w:rsidR="00D26327" w:rsidRPr="00D96394" w:rsidRDefault="00D26327" w:rsidP="000E6D54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D96394">
              <w:tab/>
            </w:r>
          </w:p>
          <w:p w:rsidR="00D26327" w:rsidRPr="00D96394" w:rsidRDefault="00D26327" w:rsidP="000E6D54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D96394">
              <w:tab/>
            </w:r>
          </w:p>
          <w:p w:rsidR="00D26327" w:rsidRPr="00D96394" w:rsidRDefault="00D26327" w:rsidP="000E6D54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D96394">
              <w:tab/>
            </w:r>
          </w:p>
        </w:tc>
      </w:tr>
    </w:tbl>
    <w:p w:rsidR="00D26327" w:rsidRPr="00D96394" w:rsidRDefault="00D26327" w:rsidP="00D26327">
      <w:pPr>
        <w:pStyle w:val="SingleTxtG"/>
        <w:spacing w:before="120"/>
        <w:ind w:left="2552" w:hanging="1418"/>
        <w:jc w:val="left"/>
      </w:pPr>
      <w:proofErr w:type="gramStart"/>
      <w:r w:rsidRPr="00D96394">
        <w:t>concernant</w:t>
      </w:r>
      <w:proofErr w:type="gramEnd"/>
      <w:r w:rsidR="00B02FFB" w:rsidRPr="00B02FFB">
        <w:rPr>
          <w:sz w:val="18"/>
          <w:szCs w:val="18"/>
          <w:vertAlign w:val="superscript"/>
        </w:rPr>
        <w:t>2</w:t>
      </w:r>
      <w:r w:rsidR="00B02FFB">
        <w:t> </w:t>
      </w:r>
      <w:r w:rsidRPr="00D96394">
        <w:t>:</w:t>
      </w:r>
      <w:r w:rsidRPr="00D96394">
        <w:tab/>
        <w:t>Délivrance d’une homologation</w:t>
      </w:r>
      <w:r w:rsidRPr="00D96394">
        <w:br/>
        <w:t>Extension d’homologation</w:t>
      </w:r>
      <w:r w:rsidRPr="00D96394">
        <w:br/>
        <w:t>Refus d’homologation</w:t>
      </w:r>
      <w:r w:rsidRPr="00D96394">
        <w:br/>
        <w:t>Retrait d’homologation</w:t>
      </w:r>
      <w:r w:rsidRPr="00D96394">
        <w:br/>
        <w:t>Arrêt définitif de la production</w:t>
      </w:r>
    </w:p>
    <w:p w:rsidR="00D26327" w:rsidRPr="00D96394" w:rsidRDefault="00B02FFB" w:rsidP="00B02FFB">
      <w:pPr>
        <w:pStyle w:val="SingleTxtG"/>
      </w:pPr>
      <w:proofErr w:type="gramStart"/>
      <w:r w:rsidRPr="000F0427">
        <w:rPr>
          <w:lang w:val="fr-FR"/>
        </w:rPr>
        <w:t>de</w:t>
      </w:r>
      <w:proofErr w:type="gramEnd"/>
      <w:r w:rsidRPr="000F0427">
        <w:rPr>
          <w:lang w:val="fr-FR"/>
        </w:rPr>
        <w:t xml:space="preserve"> garnitures de frein assemblées de rechange ou de garnitures de frein à tambour de rechange,</w:t>
      </w:r>
      <w:r>
        <w:rPr>
          <w:lang w:val="fr-FR"/>
        </w:rPr>
        <w:t xml:space="preserve"> </w:t>
      </w:r>
      <w:r w:rsidRPr="000F0427">
        <w:rPr>
          <w:lang w:val="fr-FR"/>
        </w:rPr>
        <w:t xml:space="preserve">en application du Règlement </w:t>
      </w:r>
      <w:r w:rsidR="005D6E28" w:rsidRPr="000F0427">
        <w:rPr>
          <w:szCs w:val="24"/>
          <w:lang w:val="fr-FR"/>
        </w:rPr>
        <w:t>n</w:t>
      </w:r>
      <w:r w:rsidRPr="005D6E28">
        <w:rPr>
          <w:szCs w:val="24"/>
          <w:vertAlign w:val="superscript"/>
          <w:lang w:val="fr-FR"/>
        </w:rPr>
        <w:t>o</w:t>
      </w:r>
      <w:r w:rsidRPr="000F0427">
        <w:rPr>
          <w:szCs w:val="24"/>
          <w:lang w:val="fr-FR"/>
        </w:rPr>
        <w:t> </w:t>
      </w:r>
      <w:r w:rsidRPr="000F0427">
        <w:rPr>
          <w:lang w:val="fr-FR"/>
        </w:rPr>
        <w:t>90</w:t>
      </w:r>
      <w:r w:rsidR="00D26327" w:rsidRPr="00D96394">
        <w:t>.</w:t>
      </w:r>
    </w:p>
    <w:p w:rsidR="00D26327" w:rsidRPr="00D96394" w:rsidRDefault="00D26327" w:rsidP="00D26327">
      <w:pPr>
        <w:pStyle w:val="SingleTxtG"/>
        <w:tabs>
          <w:tab w:val="right" w:leader="dot" w:pos="4253"/>
          <w:tab w:val="left" w:pos="4536"/>
          <w:tab w:val="right" w:leader="dot" w:pos="8505"/>
        </w:tabs>
        <w:jc w:val="left"/>
      </w:pPr>
      <w:r w:rsidRPr="00D96394">
        <w:t>N</w:t>
      </w:r>
      <w:r w:rsidRPr="00D96394">
        <w:rPr>
          <w:vertAlign w:val="superscript"/>
        </w:rPr>
        <w:t>o</w:t>
      </w:r>
      <w:r w:rsidRPr="00D96394">
        <w:t xml:space="preserve"> d’homologation</w:t>
      </w:r>
      <w:r w:rsidR="00B02FFB" w:rsidRPr="00B02FFB">
        <w:rPr>
          <w:b/>
          <w:sz w:val="18"/>
          <w:szCs w:val="18"/>
          <w:vertAlign w:val="superscript"/>
        </w:rPr>
        <w:t>3</w:t>
      </w:r>
      <w:r w:rsidR="00B02FFB">
        <w:t xml:space="preserve"> </w:t>
      </w:r>
      <w:r w:rsidRPr="00D96394">
        <w:tab/>
      </w:r>
      <w:r w:rsidRPr="00D96394">
        <w:tab/>
      </w:r>
      <w:r w:rsidR="00B02FFB" w:rsidRPr="00A932D2">
        <w:rPr>
          <w:rFonts w:eastAsia="Times New Roman"/>
          <w:b/>
          <w:lang w:val="fr-FR"/>
        </w:rPr>
        <w:t>Code</w:t>
      </w:r>
      <w:r w:rsidR="00B02FFB" w:rsidRPr="000F0427">
        <w:rPr>
          <w:rFonts w:eastAsia="Times New Roman"/>
          <w:b/>
          <w:lang w:val="fr-FR"/>
        </w:rPr>
        <w:t xml:space="preserve"> d</w:t>
      </w:r>
      <w:r w:rsidR="00B02FFB">
        <w:rPr>
          <w:rFonts w:eastAsia="Times New Roman"/>
          <w:b/>
          <w:lang w:val="fr-FR"/>
        </w:rPr>
        <w:t>’</w:t>
      </w:r>
      <w:r w:rsidR="00B02FFB" w:rsidRPr="000F0427">
        <w:rPr>
          <w:rFonts w:eastAsia="Times New Roman"/>
          <w:b/>
          <w:lang w:val="fr-FR"/>
        </w:rPr>
        <w:t>homologation</w:t>
      </w:r>
      <w:r w:rsidR="00B02FFB" w:rsidRPr="00A932D2">
        <w:rPr>
          <w:rFonts w:eastAsia="Times New Roman"/>
          <w:b/>
          <w:vertAlign w:val="superscript"/>
          <w:lang w:val="fr-FR"/>
        </w:rPr>
        <w:t>4</w:t>
      </w:r>
      <w:r w:rsidR="00B02FFB" w:rsidRPr="00A932D2">
        <w:rPr>
          <w:rFonts w:eastAsia="Times New Roman"/>
          <w:lang w:val="fr-FR"/>
        </w:rPr>
        <w:t xml:space="preserve"> </w:t>
      </w:r>
      <w:r w:rsidR="00B02FFB" w:rsidRPr="00A932D2">
        <w:rPr>
          <w:rFonts w:eastAsia="Times New Roman"/>
          <w:strike/>
          <w:lang w:val="fr-FR"/>
        </w:rPr>
        <w:t>Extension No</w:t>
      </w:r>
      <w:r w:rsidR="00B02FFB">
        <w:rPr>
          <w:rFonts w:eastAsia="Times New Roman"/>
          <w:strike/>
          <w:lang w:val="fr-FR"/>
        </w:rPr>
        <w:t xml:space="preserve"> </w:t>
      </w:r>
      <w:r w:rsidRPr="00D96394">
        <w:tab/>
      </w:r>
    </w:p>
    <w:p w:rsidR="000C1694" w:rsidRPr="00A932D2" w:rsidRDefault="00B02FFB" w:rsidP="00B02FFB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... »</w:t>
      </w:r>
      <w:r w:rsidR="000C1694">
        <w:rPr>
          <w:lang w:val="fr-FR"/>
        </w:rPr>
        <w:t>.</w:t>
      </w:r>
    </w:p>
    <w:p w:rsidR="000C1694" w:rsidRPr="00A932D2" w:rsidRDefault="000C1694" w:rsidP="000C1694">
      <w:pPr>
        <w:rPr>
          <w:rFonts w:eastAsia="Times New Roman"/>
          <w:lang w:val="fr-FR"/>
        </w:rPr>
      </w:pPr>
      <w:r w:rsidRPr="00A932D2">
        <w:rPr>
          <w:rFonts w:eastAsia="Times New Roman"/>
          <w:lang w:val="fr-FR"/>
        </w:rPr>
        <w:t>_________________________</w:t>
      </w:r>
    </w:p>
    <w:p w:rsidR="000C1694" w:rsidRPr="00A932D2" w:rsidRDefault="00A74EA2" w:rsidP="002E2213">
      <w:pPr>
        <w:spacing w:before="120"/>
        <w:ind w:left="1134" w:hanging="567"/>
        <w:rPr>
          <w:rFonts w:eastAsia="Times New Roman"/>
          <w:sz w:val="18"/>
          <w:lang w:val="fr-FR"/>
        </w:rPr>
      </w:pPr>
      <w:r>
        <w:rPr>
          <w:rFonts w:eastAsia="Times New Roman"/>
          <w:sz w:val="18"/>
          <w:lang w:val="fr-FR"/>
        </w:rPr>
        <w:t>« </w:t>
      </w:r>
      <w:r w:rsidR="000C1694" w:rsidRPr="00A932D2">
        <w:rPr>
          <w:rFonts w:eastAsia="Times New Roman"/>
          <w:sz w:val="18"/>
          <w:vertAlign w:val="superscript"/>
          <w:lang w:val="fr-FR"/>
        </w:rPr>
        <w:t>1</w:t>
      </w:r>
      <w:r w:rsidR="000C1694" w:rsidRPr="00A932D2">
        <w:rPr>
          <w:rFonts w:eastAsia="Times New Roman"/>
          <w:sz w:val="18"/>
          <w:lang w:val="fr-FR"/>
        </w:rPr>
        <w:tab/>
      </w:r>
      <w:r w:rsidR="000C1694" w:rsidRPr="000F0427">
        <w:rPr>
          <w:rFonts w:eastAsia="Times New Roman"/>
          <w:sz w:val="18"/>
          <w:lang w:val="fr-FR"/>
        </w:rPr>
        <w:t>Numéro distinctif du pays qui a délivré/étendu/refusé/retiré l</w:t>
      </w:r>
      <w:r w:rsidR="000C1694">
        <w:rPr>
          <w:rFonts w:eastAsia="Times New Roman"/>
          <w:sz w:val="18"/>
          <w:lang w:val="fr-FR"/>
        </w:rPr>
        <w:t>’</w:t>
      </w:r>
      <w:r w:rsidR="000C1694" w:rsidRPr="000F0427">
        <w:rPr>
          <w:rFonts w:eastAsia="Times New Roman"/>
          <w:sz w:val="18"/>
          <w:lang w:val="fr-FR"/>
        </w:rPr>
        <w:t>homologation (voir les dispositions du Règlement relatives à l</w:t>
      </w:r>
      <w:r w:rsidR="000C1694">
        <w:rPr>
          <w:rFonts w:eastAsia="Times New Roman"/>
          <w:sz w:val="18"/>
          <w:lang w:val="fr-FR"/>
        </w:rPr>
        <w:t>’</w:t>
      </w:r>
      <w:r w:rsidR="000C1694" w:rsidRPr="000F0427">
        <w:rPr>
          <w:rFonts w:eastAsia="Times New Roman"/>
          <w:sz w:val="18"/>
          <w:lang w:val="fr-FR"/>
        </w:rPr>
        <w:t>homologation).</w:t>
      </w:r>
    </w:p>
    <w:p w:rsidR="000C1694" w:rsidRPr="00A932D2" w:rsidRDefault="000C1694" w:rsidP="006A097D">
      <w:pPr>
        <w:ind w:left="1134" w:hanging="567"/>
        <w:rPr>
          <w:rFonts w:eastAsia="Times New Roman"/>
          <w:sz w:val="18"/>
          <w:lang w:val="fr-FR"/>
        </w:rPr>
      </w:pPr>
      <w:r w:rsidRPr="006A097D">
        <w:rPr>
          <w:rFonts w:eastAsia="Times New Roman"/>
          <w:sz w:val="18"/>
          <w:vertAlign w:val="superscript"/>
          <w:lang w:val="fr-FR"/>
        </w:rPr>
        <w:t>2</w:t>
      </w:r>
      <w:r w:rsidRPr="00A932D2">
        <w:rPr>
          <w:rFonts w:eastAsia="Times New Roman"/>
          <w:sz w:val="18"/>
          <w:lang w:val="fr-FR"/>
        </w:rPr>
        <w:tab/>
      </w:r>
      <w:r w:rsidRPr="000F0427">
        <w:rPr>
          <w:rFonts w:eastAsia="Times New Roman"/>
          <w:sz w:val="18"/>
          <w:lang w:val="fr-FR"/>
        </w:rPr>
        <w:t>Biffer les mentions inutiles</w:t>
      </w:r>
      <w:r w:rsidRPr="00A932D2">
        <w:rPr>
          <w:rFonts w:eastAsia="Times New Roman"/>
          <w:sz w:val="18"/>
          <w:lang w:val="fr-FR"/>
        </w:rPr>
        <w:t>.</w:t>
      </w:r>
    </w:p>
    <w:p w:rsidR="000C1694" w:rsidRPr="00A932D2" w:rsidRDefault="000C1694" w:rsidP="006A097D">
      <w:pPr>
        <w:ind w:left="1134" w:hanging="567"/>
        <w:rPr>
          <w:rFonts w:eastAsia="Times New Roman"/>
          <w:sz w:val="18"/>
          <w:lang w:val="fr-FR"/>
        </w:rPr>
      </w:pPr>
      <w:r w:rsidRPr="000F0427">
        <w:rPr>
          <w:rFonts w:eastAsia="Times New Roman"/>
          <w:b/>
          <w:sz w:val="18"/>
          <w:vertAlign w:val="superscript"/>
          <w:lang w:val="fr-FR"/>
        </w:rPr>
        <w:t>3</w:t>
      </w:r>
      <w:r w:rsidRPr="00A932D2">
        <w:rPr>
          <w:rFonts w:eastAsia="Times New Roman"/>
          <w:b/>
          <w:sz w:val="18"/>
          <w:lang w:val="fr-FR"/>
        </w:rPr>
        <w:tab/>
      </w:r>
      <w:r w:rsidRPr="000F0427">
        <w:rPr>
          <w:rFonts w:eastAsia="Times New Roman"/>
          <w:b/>
          <w:sz w:val="18"/>
          <w:lang w:val="fr-FR"/>
        </w:rPr>
        <w:t xml:space="preserve">Conformément à </w:t>
      </w:r>
      <w:r w:rsidRPr="000F0427">
        <w:rPr>
          <w:rFonts w:eastAsia="Times New Roman"/>
          <w:b/>
          <w:bCs/>
          <w:sz w:val="18"/>
          <w:lang w:val="fr-FR"/>
        </w:rPr>
        <w:t>l</w:t>
      </w:r>
      <w:r>
        <w:rPr>
          <w:rFonts w:eastAsia="Times New Roman"/>
          <w:b/>
          <w:bCs/>
          <w:sz w:val="18"/>
          <w:lang w:val="fr-FR"/>
        </w:rPr>
        <w:t>’</w:t>
      </w:r>
      <w:r w:rsidRPr="000F0427">
        <w:rPr>
          <w:rFonts w:eastAsia="Times New Roman"/>
          <w:b/>
          <w:bCs/>
          <w:sz w:val="18"/>
          <w:lang w:val="fr-FR"/>
        </w:rPr>
        <w:t xml:space="preserve">annexe 4 </w:t>
      </w:r>
      <w:r w:rsidRPr="000F0427">
        <w:rPr>
          <w:rFonts w:eastAsia="Times New Roman"/>
          <w:b/>
          <w:iCs/>
          <w:sz w:val="18"/>
          <w:lang w:val="fr-FR"/>
        </w:rPr>
        <w:t>de l</w:t>
      </w:r>
      <w:r>
        <w:rPr>
          <w:rFonts w:eastAsia="Times New Roman"/>
          <w:b/>
          <w:iCs/>
          <w:sz w:val="18"/>
          <w:lang w:val="fr-FR"/>
        </w:rPr>
        <w:t>’</w:t>
      </w:r>
      <w:r w:rsidRPr="000F0427">
        <w:rPr>
          <w:rFonts w:eastAsia="Times New Roman"/>
          <w:b/>
          <w:iCs/>
          <w:sz w:val="18"/>
          <w:lang w:val="fr-FR"/>
        </w:rPr>
        <w:t>Accord de 1958</w:t>
      </w:r>
      <w:r w:rsidRPr="00A932D2">
        <w:rPr>
          <w:rFonts w:eastAsia="Times New Roman"/>
          <w:sz w:val="18"/>
          <w:lang w:val="fr-FR"/>
        </w:rPr>
        <w:t>.</w:t>
      </w:r>
    </w:p>
    <w:p w:rsidR="000C1694" w:rsidRDefault="000C1694" w:rsidP="006A097D">
      <w:pPr>
        <w:ind w:left="1134" w:hanging="567"/>
        <w:rPr>
          <w:rFonts w:eastAsia="Times New Roman"/>
          <w:sz w:val="18"/>
          <w:lang w:val="fr-FR"/>
        </w:rPr>
      </w:pPr>
      <w:r w:rsidRPr="000F0427">
        <w:rPr>
          <w:rFonts w:eastAsia="Times New Roman"/>
          <w:b/>
          <w:sz w:val="18"/>
          <w:vertAlign w:val="superscript"/>
          <w:lang w:val="fr-FR"/>
        </w:rPr>
        <w:t>4</w:t>
      </w:r>
      <w:r w:rsidRPr="00A932D2">
        <w:rPr>
          <w:rFonts w:eastAsia="Times New Roman"/>
          <w:b/>
          <w:sz w:val="18"/>
          <w:lang w:val="fr-FR"/>
        </w:rPr>
        <w:tab/>
      </w:r>
      <w:r w:rsidRPr="000F0427">
        <w:rPr>
          <w:rFonts w:eastAsia="Times New Roman"/>
          <w:b/>
          <w:sz w:val="18"/>
          <w:lang w:val="fr-FR"/>
        </w:rPr>
        <w:t xml:space="preserve">Conformément au </w:t>
      </w:r>
      <w:r w:rsidRPr="00A932D2">
        <w:rPr>
          <w:rFonts w:eastAsia="Times New Roman"/>
          <w:b/>
          <w:sz w:val="18"/>
          <w:lang w:val="fr-FR"/>
        </w:rPr>
        <w:t>paragraph</w:t>
      </w:r>
      <w:r w:rsidRPr="000F0427">
        <w:rPr>
          <w:rFonts w:eastAsia="Times New Roman"/>
          <w:b/>
          <w:sz w:val="18"/>
          <w:lang w:val="fr-FR"/>
        </w:rPr>
        <w:t>e</w:t>
      </w:r>
      <w:r w:rsidRPr="00A932D2">
        <w:rPr>
          <w:rFonts w:eastAsia="Times New Roman"/>
          <w:b/>
          <w:sz w:val="18"/>
          <w:lang w:val="fr-FR"/>
        </w:rPr>
        <w:t xml:space="preserve"> 4.2 </w:t>
      </w:r>
      <w:r w:rsidRPr="000F0427">
        <w:rPr>
          <w:rFonts w:eastAsia="Times New Roman"/>
          <w:b/>
          <w:sz w:val="18"/>
          <w:lang w:val="fr-FR"/>
        </w:rPr>
        <w:t>du présent Règlement</w:t>
      </w:r>
      <w:r w:rsidRPr="00A932D2">
        <w:rPr>
          <w:rFonts w:eastAsia="Times New Roman"/>
          <w:b/>
          <w:sz w:val="18"/>
          <w:lang w:val="fr-FR"/>
        </w:rPr>
        <w:t>.</w:t>
      </w:r>
      <w:r w:rsidR="00A74EA2">
        <w:rPr>
          <w:rFonts w:eastAsia="Times New Roman"/>
          <w:sz w:val="18"/>
          <w:lang w:val="fr-FR"/>
        </w:rPr>
        <w:t> »</w:t>
      </w:r>
      <w:r>
        <w:rPr>
          <w:rFonts w:eastAsia="Times New Roman"/>
          <w:sz w:val="18"/>
          <w:lang w:val="fr-FR"/>
        </w:rPr>
        <w:t>.</w:t>
      </w:r>
    </w:p>
    <w:p w:rsidR="000C1694" w:rsidRPr="00A932D2" w:rsidRDefault="000A42AD" w:rsidP="000A42AD">
      <w:pPr>
        <w:pStyle w:val="SingleTxtG"/>
        <w:rPr>
          <w:lang w:val="fr-FR"/>
        </w:rPr>
      </w:pPr>
      <w:r>
        <w:rPr>
          <w:lang w:val="fr-FR"/>
        </w:rPr>
        <w:br w:type="page"/>
      </w:r>
      <w:r w:rsidR="000C1694" w:rsidRPr="000A42AD">
        <w:rPr>
          <w:i/>
          <w:lang w:val="fr-FR"/>
        </w:rPr>
        <w:lastRenderedPageBreak/>
        <w:t xml:space="preserve">Annexe 1B, </w:t>
      </w:r>
      <w:r w:rsidRPr="000A42AD">
        <w:rPr>
          <w:i/>
          <w:lang w:val="fr-FR"/>
        </w:rPr>
        <w:t>« </w:t>
      </w:r>
      <w:r w:rsidR="000C1694" w:rsidRPr="000A42AD">
        <w:rPr>
          <w:i/>
          <w:lang w:val="fr-FR"/>
        </w:rPr>
        <w:t>Communication</w:t>
      </w:r>
      <w:r w:rsidRPr="000A42AD">
        <w:rPr>
          <w:i/>
          <w:lang w:val="fr-FR"/>
        </w:rPr>
        <w:t> »</w:t>
      </w:r>
      <w:r w:rsidR="000C1694" w:rsidRPr="00A932D2">
        <w:rPr>
          <w:lang w:val="fr-FR"/>
        </w:rPr>
        <w:t xml:space="preserve">, </w:t>
      </w:r>
      <w:r w:rsidR="000C1694" w:rsidRPr="00701632">
        <w:rPr>
          <w:lang w:val="fr-FR"/>
        </w:rPr>
        <w:t>modifier comme suit, y compris l</w:t>
      </w:r>
      <w:r w:rsidR="000C1694">
        <w:rPr>
          <w:lang w:val="fr-FR"/>
        </w:rPr>
        <w:t>’</w:t>
      </w:r>
      <w:r w:rsidR="000C1694" w:rsidRPr="00701632">
        <w:rPr>
          <w:lang w:val="fr-FR"/>
        </w:rPr>
        <w:t>ajout des</w:t>
      </w:r>
      <w:r w:rsidR="000C1694" w:rsidRPr="000F0427">
        <w:rPr>
          <w:lang w:val="fr-FR"/>
        </w:rPr>
        <w:t xml:space="preserve"> deux nouvelles notes de bas de page 3</w:t>
      </w:r>
      <w:r w:rsidR="00D90D9B">
        <w:rPr>
          <w:lang w:val="fr-FR"/>
        </w:rPr>
        <w:t xml:space="preserve"> </w:t>
      </w:r>
      <w:r w:rsidR="000C1694" w:rsidRPr="000F0427">
        <w:rPr>
          <w:lang w:val="fr-FR"/>
        </w:rPr>
        <w:t>et 4</w:t>
      </w:r>
      <w:r>
        <w:rPr>
          <w:lang w:val="fr-FR"/>
        </w:rPr>
        <w:t> </w:t>
      </w:r>
      <w:r w:rsidR="000C1694" w:rsidRPr="000F0427">
        <w:rPr>
          <w:lang w:val="fr-FR"/>
        </w:rPr>
        <w:t>:</w:t>
      </w:r>
    </w:p>
    <w:p w:rsidR="000C1694" w:rsidRPr="00A932D2" w:rsidRDefault="000C1694" w:rsidP="00505BFE">
      <w:pPr>
        <w:pStyle w:val="HChG"/>
        <w:tabs>
          <w:tab w:val="right" w:pos="2268"/>
        </w:tabs>
        <w:rPr>
          <w:rFonts w:eastAsia="Times New Roman"/>
          <w:lang w:val="fr-FR"/>
        </w:rPr>
      </w:pPr>
      <w:r w:rsidRPr="00A932D2">
        <w:rPr>
          <w:rFonts w:eastAsia="Times New Roman"/>
          <w:lang w:val="fr-FR"/>
        </w:rPr>
        <w:tab/>
      </w:r>
      <w:r w:rsidRPr="00A932D2">
        <w:rPr>
          <w:rFonts w:eastAsia="Times New Roman"/>
          <w:lang w:val="fr-FR"/>
        </w:rPr>
        <w:tab/>
      </w:r>
      <w:r w:rsidR="00505BFE" w:rsidRPr="00505BFE">
        <w:rPr>
          <w:rFonts w:eastAsia="Times New Roman"/>
          <w:b w:val="0"/>
          <w:sz w:val="20"/>
          <w:lang w:val="fr-FR"/>
        </w:rPr>
        <w:t>« </w:t>
      </w:r>
      <w:r w:rsidRPr="00A932D2">
        <w:rPr>
          <w:rFonts w:eastAsia="Times New Roman"/>
          <w:lang w:val="fr-FR"/>
        </w:rPr>
        <w:t>Annex</w:t>
      </w:r>
      <w:r w:rsidRPr="000F0427">
        <w:rPr>
          <w:rFonts w:eastAsia="Times New Roman"/>
          <w:lang w:val="fr-FR"/>
        </w:rPr>
        <w:t>e</w:t>
      </w:r>
      <w:r w:rsidRPr="00A932D2">
        <w:rPr>
          <w:rFonts w:eastAsia="Times New Roman"/>
          <w:lang w:val="fr-FR"/>
        </w:rPr>
        <w:t xml:space="preserve"> 1B</w:t>
      </w:r>
    </w:p>
    <w:p w:rsidR="000C1694" w:rsidRDefault="000C1694" w:rsidP="00505BFE">
      <w:pPr>
        <w:pStyle w:val="HChG"/>
        <w:rPr>
          <w:lang w:val="fr-FR"/>
        </w:rPr>
      </w:pPr>
      <w:r w:rsidRPr="00A932D2">
        <w:rPr>
          <w:rFonts w:eastAsia="Times New Roman"/>
          <w:lang w:val="fr-FR"/>
        </w:rPr>
        <w:tab/>
      </w:r>
      <w:r w:rsidR="00505BFE">
        <w:rPr>
          <w:lang w:val="fr-FR"/>
        </w:rPr>
        <w:tab/>
      </w:r>
      <w:r w:rsidRPr="000F0427">
        <w:rPr>
          <w:lang w:val="fr-FR"/>
        </w:rPr>
        <w:t>Communication</w:t>
      </w:r>
    </w:p>
    <w:p w:rsidR="00505BFE" w:rsidRPr="00D96394" w:rsidRDefault="00505BFE" w:rsidP="00505BFE">
      <w:pPr>
        <w:pStyle w:val="SingleTxtG"/>
      </w:pPr>
      <w:r w:rsidRPr="00D96394">
        <w:t>(</w:t>
      </w:r>
      <w:proofErr w:type="gramStart"/>
      <w:r w:rsidRPr="00D96394">
        <w:t>format</w:t>
      </w:r>
      <w:proofErr w:type="gramEnd"/>
      <w:r w:rsidRPr="00D96394">
        <w:t xml:space="preserve"> maximal</w:t>
      </w:r>
      <w:r>
        <w:t> </w:t>
      </w:r>
      <w:r w:rsidRPr="00D96394">
        <w:t>: A4 (210 x 297 mm))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969"/>
      </w:tblGrid>
      <w:tr w:rsidR="00505BFE" w:rsidRPr="00D96394" w:rsidTr="000E6D54">
        <w:tc>
          <w:tcPr>
            <w:tcW w:w="3402" w:type="dxa"/>
          </w:tcPr>
          <w:p w:rsidR="00505BFE" w:rsidRPr="00D96394" w:rsidRDefault="00505BFE" w:rsidP="000E6D54">
            <w:pPr>
              <w:pStyle w:val="SingleTxtG"/>
              <w:spacing w:after="0"/>
              <w:ind w:left="0"/>
            </w:pPr>
            <w:r w:rsidRPr="00D96394">
              <w:object w:dxaOrig="1684" w:dyaOrig="1675">
                <v:shape id="_x0000_i1026" type="#_x0000_t75" style="width:84pt;height:84pt" o:ole="">
                  <v:imagedata r:id="rId8" o:title=""/>
                </v:shape>
                <o:OLEObject Type="Embed" ProgID="Word.Picture.8" ShapeID="_x0000_i1026" DrawAspect="Content" ObjectID="_1606200074" r:id="rId10"/>
              </w:object>
            </w:r>
          </w:p>
        </w:tc>
        <w:tc>
          <w:tcPr>
            <w:tcW w:w="3969" w:type="dxa"/>
          </w:tcPr>
          <w:p w:rsidR="00505BFE" w:rsidRPr="00D96394" w:rsidRDefault="00505BFE" w:rsidP="000E6D54">
            <w:pPr>
              <w:ind w:left="1701" w:hanging="1701"/>
            </w:pPr>
            <w:r w:rsidRPr="00D96394">
              <w:t>Émanant de</w:t>
            </w:r>
            <w:r>
              <w:t> </w:t>
            </w:r>
            <w:r w:rsidRPr="00D96394">
              <w:t>:</w:t>
            </w:r>
            <w:r w:rsidRPr="00D96394">
              <w:tab/>
              <w:t>Nom de l’administration</w:t>
            </w:r>
            <w:r>
              <w:t> </w:t>
            </w:r>
            <w:r w:rsidRPr="00D96394">
              <w:t>:</w:t>
            </w:r>
          </w:p>
          <w:p w:rsidR="00505BFE" w:rsidRPr="00D96394" w:rsidRDefault="00505BFE" w:rsidP="000E6D54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D96394">
              <w:tab/>
            </w:r>
          </w:p>
          <w:p w:rsidR="00505BFE" w:rsidRPr="00D96394" w:rsidRDefault="00505BFE" w:rsidP="000E6D54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D96394">
              <w:tab/>
            </w:r>
          </w:p>
          <w:p w:rsidR="00505BFE" w:rsidRPr="00D96394" w:rsidRDefault="00505BFE" w:rsidP="000E6D54">
            <w:pPr>
              <w:pStyle w:val="SingleTxtG"/>
              <w:tabs>
                <w:tab w:val="right" w:leader="dot" w:pos="3686"/>
              </w:tabs>
              <w:spacing w:after="0"/>
              <w:ind w:left="1701" w:right="0"/>
            </w:pPr>
            <w:r w:rsidRPr="00D96394">
              <w:tab/>
            </w:r>
          </w:p>
        </w:tc>
      </w:tr>
    </w:tbl>
    <w:p w:rsidR="00505BFE" w:rsidRPr="00D96394" w:rsidRDefault="00505BFE" w:rsidP="00505BFE">
      <w:pPr>
        <w:pStyle w:val="SingleTxtG"/>
        <w:spacing w:before="120"/>
        <w:ind w:left="2552" w:hanging="1418"/>
        <w:jc w:val="left"/>
      </w:pPr>
      <w:proofErr w:type="gramStart"/>
      <w:r w:rsidRPr="00D96394">
        <w:t>concernant</w:t>
      </w:r>
      <w:proofErr w:type="gramEnd"/>
      <w:r>
        <w:rPr>
          <w:rStyle w:val="FootnoteReference"/>
        </w:rPr>
        <w:t>2</w:t>
      </w:r>
      <w:r>
        <w:t> </w:t>
      </w:r>
      <w:r w:rsidRPr="00D96394">
        <w:t>:</w:t>
      </w:r>
      <w:r w:rsidRPr="00D96394">
        <w:tab/>
        <w:t>Délivrance d’une homologation</w:t>
      </w:r>
      <w:r w:rsidRPr="00D96394">
        <w:br/>
        <w:t>Extension d’homologation</w:t>
      </w:r>
      <w:r w:rsidRPr="00D96394">
        <w:br/>
        <w:t>Refus d’homologation</w:t>
      </w:r>
      <w:r w:rsidRPr="00D96394">
        <w:br/>
        <w:t>Retrait d’homologation</w:t>
      </w:r>
      <w:r w:rsidRPr="00D96394">
        <w:br/>
        <w:t>Arrêt définitif de la production</w:t>
      </w:r>
    </w:p>
    <w:p w:rsidR="00505BFE" w:rsidRPr="00D96394" w:rsidRDefault="00505BFE" w:rsidP="00505BFE">
      <w:pPr>
        <w:pStyle w:val="SingleTxtG"/>
      </w:pPr>
      <w:proofErr w:type="gramStart"/>
      <w:r w:rsidRPr="000F0427">
        <w:rPr>
          <w:lang w:val="fr-FR"/>
        </w:rPr>
        <w:t>d</w:t>
      </w:r>
      <w:r>
        <w:rPr>
          <w:lang w:val="fr-FR"/>
        </w:rPr>
        <w:t>’</w:t>
      </w:r>
      <w:r w:rsidRPr="000F0427">
        <w:rPr>
          <w:lang w:val="fr-FR"/>
        </w:rPr>
        <w:t>un</w:t>
      </w:r>
      <w:proofErr w:type="gramEnd"/>
      <w:r w:rsidRPr="000F0427">
        <w:rPr>
          <w:lang w:val="fr-FR"/>
        </w:rPr>
        <w:t xml:space="preserve"> disque de frein de rechange ou d</w:t>
      </w:r>
      <w:r>
        <w:rPr>
          <w:lang w:val="fr-FR"/>
        </w:rPr>
        <w:t>’</w:t>
      </w:r>
      <w:r w:rsidRPr="000F0427">
        <w:rPr>
          <w:lang w:val="fr-FR"/>
        </w:rPr>
        <w:t xml:space="preserve">un tambour de frein de rechange en application du Règlement </w:t>
      </w:r>
      <w:r w:rsidRPr="000F0427">
        <w:rPr>
          <w:szCs w:val="24"/>
          <w:lang w:val="fr-FR"/>
        </w:rPr>
        <w:t>n</w:t>
      </w:r>
      <w:r w:rsidRPr="00505BFE">
        <w:rPr>
          <w:szCs w:val="24"/>
          <w:vertAlign w:val="superscript"/>
          <w:lang w:val="fr-FR"/>
        </w:rPr>
        <w:t>o</w:t>
      </w:r>
      <w:r w:rsidRPr="000F0427">
        <w:rPr>
          <w:szCs w:val="24"/>
          <w:lang w:val="fr-FR"/>
        </w:rPr>
        <w:t> </w:t>
      </w:r>
      <w:r w:rsidRPr="000F0427">
        <w:rPr>
          <w:lang w:val="fr-FR"/>
        </w:rPr>
        <w:t>90</w:t>
      </w:r>
    </w:p>
    <w:p w:rsidR="00505BFE" w:rsidRPr="00D96394" w:rsidRDefault="00505BFE" w:rsidP="00505BFE">
      <w:pPr>
        <w:pStyle w:val="SingleTxtG"/>
        <w:tabs>
          <w:tab w:val="right" w:leader="dot" w:pos="4253"/>
          <w:tab w:val="left" w:pos="4536"/>
          <w:tab w:val="right" w:leader="dot" w:pos="8505"/>
        </w:tabs>
        <w:jc w:val="left"/>
      </w:pPr>
      <w:r w:rsidRPr="00D96394">
        <w:t>N</w:t>
      </w:r>
      <w:r w:rsidRPr="00D96394">
        <w:rPr>
          <w:vertAlign w:val="superscript"/>
        </w:rPr>
        <w:t>o</w:t>
      </w:r>
      <w:r w:rsidRPr="00D96394">
        <w:t xml:space="preserve"> d’homologation</w:t>
      </w:r>
      <w:r w:rsidRPr="00505BFE">
        <w:rPr>
          <w:b/>
          <w:sz w:val="18"/>
          <w:szCs w:val="18"/>
          <w:vertAlign w:val="superscript"/>
        </w:rPr>
        <w:t>3</w:t>
      </w:r>
      <w:r>
        <w:t xml:space="preserve"> </w:t>
      </w:r>
      <w:r w:rsidRPr="00D96394">
        <w:tab/>
      </w:r>
      <w:r w:rsidRPr="00D96394">
        <w:tab/>
      </w:r>
      <w:r w:rsidRPr="000F0427">
        <w:rPr>
          <w:rFonts w:eastAsia="Times New Roman"/>
          <w:b/>
          <w:lang w:val="fr-FR"/>
        </w:rPr>
        <w:t>Code d</w:t>
      </w:r>
      <w:r>
        <w:rPr>
          <w:rFonts w:eastAsia="Times New Roman"/>
          <w:b/>
          <w:lang w:val="fr-FR"/>
        </w:rPr>
        <w:t>’</w:t>
      </w:r>
      <w:r w:rsidRPr="000F0427">
        <w:rPr>
          <w:rFonts w:eastAsia="Times New Roman"/>
          <w:b/>
          <w:lang w:val="fr-FR"/>
        </w:rPr>
        <w:t>homologation</w:t>
      </w:r>
      <w:r w:rsidRPr="000F0427">
        <w:rPr>
          <w:rFonts w:eastAsia="Times New Roman"/>
          <w:b/>
          <w:vertAlign w:val="superscript"/>
          <w:lang w:val="fr-FR"/>
        </w:rPr>
        <w:t>4</w:t>
      </w:r>
      <w:r w:rsidRPr="000F0427">
        <w:rPr>
          <w:rFonts w:eastAsia="Times New Roman"/>
          <w:lang w:val="fr-FR"/>
        </w:rPr>
        <w:t xml:space="preserve"> </w:t>
      </w:r>
      <w:r w:rsidRPr="000F0427">
        <w:rPr>
          <w:rFonts w:eastAsia="Times New Roman"/>
          <w:strike/>
          <w:lang w:val="fr-FR"/>
        </w:rPr>
        <w:t>Extension No</w:t>
      </w:r>
      <w:r w:rsidRPr="00D96394">
        <w:tab/>
      </w:r>
    </w:p>
    <w:p w:rsidR="000C1694" w:rsidRPr="000F0427" w:rsidRDefault="00505BFE" w:rsidP="00505BFE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... »</w:t>
      </w:r>
      <w:r w:rsidR="000C1694">
        <w:rPr>
          <w:lang w:val="fr-FR"/>
        </w:rPr>
        <w:t>.</w:t>
      </w:r>
    </w:p>
    <w:p w:rsidR="000C1694" w:rsidRPr="00A932D2" w:rsidRDefault="000C1694" w:rsidP="000C1694">
      <w:pPr>
        <w:rPr>
          <w:rFonts w:eastAsia="Times New Roman"/>
          <w:lang w:val="fr-FR"/>
        </w:rPr>
      </w:pPr>
      <w:r w:rsidRPr="00A932D2">
        <w:rPr>
          <w:rFonts w:eastAsia="Times New Roman"/>
          <w:lang w:val="fr-FR"/>
        </w:rPr>
        <w:t>_________________________</w:t>
      </w:r>
    </w:p>
    <w:p w:rsidR="000C1694" w:rsidRPr="00AA496E" w:rsidRDefault="00AA496E" w:rsidP="00541F37">
      <w:pPr>
        <w:spacing w:before="120"/>
        <w:ind w:left="1134" w:hanging="567"/>
        <w:rPr>
          <w:rFonts w:eastAsia="Times New Roman"/>
          <w:sz w:val="18"/>
          <w:szCs w:val="18"/>
          <w:lang w:val="fr-FR"/>
        </w:rPr>
      </w:pPr>
      <w:r>
        <w:rPr>
          <w:rFonts w:eastAsia="Times New Roman"/>
          <w:sz w:val="18"/>
          <w:szCs w:val="18"/>
          <w:lang w:val="fr-FR"/>
        </w:rPr>
        <w:t>« </w:t>
      </w:r>
      <w:r w:rsidR="000C1694" w:rsidRPr="00AA496E">
        <w:rPr>
          <w:rFonts w:eastAsia="Times New Roman"/>
          <w:sz w:val="18"/>
          <w:szCs w:val="18"/>
          <w:vertAlign w:val="superscript"/>
          <w:lang w:val="fr-FR"/>
        </w:rPr>
        <w:t>1</w:t>
      </w:r>
      <w:r w:rsidR="000C1694" w:rsidRPr="00AA496E">
        <w:rPr>
          <w:rFonts w:eastAsia="Times New Roman"/>
          <w:sz w:val="18"/>
          <w:szCs w:val="18"/>
          <w:lang w:val="fr-FR"/>
        </w:rPr>
        <w:tab/>
        <w:t>Numéro distinctif du pays qui a délivré/étendu/refusé/retiré l’homologation (voir les dispositions du Règlement relatives à l’homologation).</w:t>
      </w:r>
    </w:p>
    <w:p w:rsidR="000C1694" w:rsidRPr="00AA496E" w:rsidRDefault="000C1694" w:rsidP="00AA496E">
      <w:pPr>
        <w:ind w:left="1134" w:hanging="567"/>
        <w:rPr>
          <w:rFonts w:eastAsia="Times New Roman"/>
          <w:sz w:val="18"/>
          <w:szCs w:val="18"/>
          <w:lang w:val="fr-FR"/>
        </w:rPr>
      </w:pPr>
      <w:r w:rsidRPr="00AA496E">
        <w:rPr>
          <w:rFonts w:eastAsia="Times New Roman"/>
          <w:sz w:val="18"/>
          <w:szCs w:val="18"/>
          <w:vertAlign w:val="superscript"/>
          <w:lang w:val="fr-FR"/>
        </w:rPr>
        <w:t>2</w:t>
      </w:r>
      <w:r w:rsidRPr="00AA496E">
        <w:rPr>
          <w:rFonts w:eastAsia="Times New Roman"/>
          <w:sz w:val="18"/>
          <w:szCs w:val="18"/>
          <w:lang w:val="fr-FR"/>
        </w:rPr>
        <w:tab/>
        <w:t>Biffer les mentions inutiles.</w:t>
      </w:r>
    </w:p>
    <w:p w:rsidR="000C1694" w:rsidRPr="00AA496E" w:rsidRDefault="000C1694" w:rsidP="00AA496E">
      <w:pPr>
        <w:ind w:left="1134" w:hanging="567"/>
        <w:rPr>
          <w:rFonts w:eastAsia="Times New Roman"/>
          <w:sz w:val="18"/>
          <w:szCs w:val="18"/>
          <w:lang w:val="fr-FR"/>
        </w:rPr>
      </w:pPr>
      <w:r w:rsidRPr="00AA496E">
        <w:rPr>
          <w:rFonts w:eastAsia="Times New Roman"/>
          <w:b/>
          <w:sz w:val="18"/>
          <w:szCs w:val="18"/>
          <w:vertAlign w:val="superscript"/>
          <w:lang w:val="fr-FR"/>
        </w:rPr>
        <w:t>3</w:t>
      </w:r>
      <w:r w:rsidRPr="00AA496E">
        <w:rPr>
          <w:rFonts w:eastAsia="Times New Roman"/>
          <w:b/>
          <w:sz w:val="18"/>
          <w:szCs w:val="18"/>
          <w:lang w:val="fr-FR"/>
        </w:rPr>
        <w:tab/>
        <w:t xml:space="preserve">Conformément à </w:t>
      </w:r>
      <w:r w:rsidRPr="00AA496E">
        <w:rPr>
          <w:rFonts w:eastAsia="Times New Roman"/>
          <w:b/>
          <w:bCs/>
          <w:sz w:val="18"/>
          <w:szCs w:val="18"/>
          <w:lang w:val="fr-FR"/>
        </w:rPr>
        <w:t xml:space="preserve">l’annexe 4 </w:t>
      </w:r>
      <w:r w:rsidRPr="00AA496E">
        <w:rPr>
          <w:rFonts w:eastAsia="Times New Roman"/>
          <w:b/>
          <w:iCs/>
          <w:sz w:val="18"/>
          <w:szCs w:val="18"/>
          <w:lang w:val="fr-FR"/>
        </w:rPr>
        <w:t>de l’Accord de 1958</w:t>
      </w:r>
      <w:r w:rsidRPr="00AA496E">
        <w:rPr>
          <w:rFonts w:eastAsia="Times New Roman"/>
          <w:sz w:val="18"/>
          <w:szCs w:val="18"/>
          <w:lang w:val="fr-FR"/>
        </w:rPr>
        <w:t>.</w:t>
      </w:r>
    </w:p>
    <w:p w:rsidR="00AA496E" w:rsidRDefault="000C1694" w:rsidP="00AA496E">
      <w:pPr>
        <w:ind w:left="1134" w:hanging="567"/>
        <w:rPr>
          <w:rFonts w:eastAsia="Times New Roman"/>
          <w:sz w:val="18"/>
          <w:szCs w:val="18"/>
          <w:lang w:val="fr-FR"/>
        </w:rPr>
      </w:pPr>
      <w:r w:rsidRPr="00AA496E">
        <w:rPr>
          <w:rFonts w:eastAsia="Times New Roman"/>
          <w:b/>
          <w:sz w:val="18"/>
          <w:szCs w:val="18"/>
          <w:vertAlign w:val="superscript"/>
          <w:lang w:val="fr-FR"/>
        </w:rPr>
        <w:t>4</w:t>
      </w:r>
      <w:r w:rsidRPr="00AA496E">
        <w:rPr>
          <w:rFonts w:eastAsia="Times New Roman"/>
          <w:b/>
          <w:sz w:val="18"/>
          <w:szCs w:val="18"/>
          <w:lang w:val="fr-FR"/>
        </w:rPr>
        <w:tab/>
        <w:t>Conformément au paragraphe 4.2 du présent Règlement.</w:t>
      </w:r>
      <w:r w:rsidR="00AA496E">
        <w:rPr>
          <w:rFonts w:eastAsia="Times New Roman"/>
          <w:sz w:val="18"/>
          <w:szCs w:val="18"/>
          <w:lang w:val="fr-FR"/>
        </w:rPr>
        <w:t> »</w:t>
      </w:r>
      <w:r w:rsidRPr="00AA496E">
        <w:rPr>
          <w:rFonts w:eastAsia="Times New Roman"/>
          <w:sz w:val="18"/>
          <w:szCs w:val="18"/>
          <w:lang w:val="fr-FR"/>
        </w:rPr>
        <w:t>.</w:t>
      </w:r>
    </w:p>
    <w:p w:rsidR="000C1694" w:rsidRPr="00A932D2" w:rsidRDefault="00AA496E" w:rsidP="00AA496E">
      <w:pPr>
        <w:pStyle w:val="HChG"/>
        <w:rPr>
          <w:lang w:val="fr-FR"/>
        </w:rPr>
      </w:pPr>
      <w:r>
        <w:rPr>
          <w:sz w:val="18"/>
          <w:szCs w:val="18"/>
          <w:lang w:val="fr-FR"/>
        </w:rPr>
        <w:br w:type="page"/>
      </w:r>
      <w:r w:rsidR="000C1694" w:rsidRPr="00A932D2">
        <w:rPr>
          <w:lang w:val="fr-FR"/>
        </w:rPr>
        <w:lastRenderedPageBreak/>
        <w:tab/>
        <w:t>II.</w:t>
      </w:r>
      <w:r w:rsidR="000C1694" w:rsidRPr="00A932D2">
        <w:rPr>
          <w:lang w:val="fr-FR"/>
        </w:rPr>
        <w:tab/>
        <w:t>Justification</w:t>
      </w:r>
    </w:p>
    <w:p w:rsidR="000C1694" w:rsidRPr="000F0427" w:rsidRDefault="000C1694" w:rsidP="00AA496E">
      <w:pPr>
        <w:pStyle w:val="SingleTxtG"/>
        <w:rPr>
          <w:lang w:val="fr-FR"/>
        </w:rPr>
      </w:pPr>
      <w:r w:rsidRPr="000F0427">
        <w:rPr>
          <w:lang w:val="fr-FR"/>
        </w:rPr>
        <w:t>1.</w:t>
      </w:r>
      <w:r w:rsidRPr="000F0427">
        <w:rPr>
          <w:lang w:val="fr-FR"/>
        </w:rPr>
        <w:tab/>
        <w:t>Afin d</w:t>
      </w:r>
      <w:r>
        <w:rPr>
          <w:lang w:val="fr-FR"/>
        </w:rPr>
        <w:t>’</w:t>
      </w:r>
      <w:r w:rsidRPr="000F0427">
        <w:rPr>
          <w:lang w:val="fr-FR"/>
        </w:rPr>
        <w:t xml:space="preserve">harmoniser les dispositions du Règlement </w:t>
      </w:r>
      <w:r>
        <w:rPr>
          <w:lang w:val="fr-FR"/>
        </w:rPr>
        <w:t xml:space="preserve">ONU </w:t>
      </w:r>
      <w:r w:rsidRPr="000F0427">
        <w:rPr>
          <w:lang w:val="fr-FR"/>
        </w:rPr>
        <w:t>n</w:t>
      </w:r>
      <w:r w:rsidRPr="00AA496E">
        <w:rPr>
          <w:vertAlign w:val="superscript"/>
          <w:lang w:val="fr-FR"/>
        </w:rPr>
        <w:t>o</w:t>
      </w:r>
      <w:r w:rsidR="00AA496E">
        <w:rPr>
          <w:lang w:val="fr-FR"/>
        </w:rPr>
        <w:t> </w:t>
      </w:r>
      <w:r w:rsidRPr="000F0427">
        <w:rPr>
          <w:lang w:val="fr-FR"/>
        </w:rPr>
        <w:t>90 relatives aux numéros et aux marques d</w:t>
      </w:r>
      <w:r>
        <w:rPr>
          <w:lang w:val="fr-FR"/>
        </w:rPr>
        <w:t>’</w:t>
      </w:r>
      <w:r w:rsidRPr="000F0427">
        <w:rPr>
          <w:lang w:val="fr-FR"/>
        </w:rPr>
        <w:t>homologation avec celles</w:t>
      </w:r>
      <w:r>
        <w:rPr>
          <w:lang w:val="fr-FR"/>
        </w:rPr>
        <w:t xml:space="preserve"> de</w:t>
      </w:r>
      <w:r w:rsidRPr="000F0427">
        <w:rPr>
          <w:lang w:val="fr-FR"/>
        </w:rPr>
        <w:t xml:space="preserve"> l</w:t>
      </w:r>
      <w:r>
        <w:rPr>
          <w:lang w:val="fr-FR"/>
        </w:rPr>
        <w:t>’</w:t>
      </w:r>
      <w:r w:rsidRPr="000F0427">
        <w:rPr>
          <w:lang w:val="fr-FR"/>
        </w:rPr>
        <w:t>annexe</w:t>
      </w:r>
      <w:r w:rsidR="00AA496E">
        <w:rPr>
          <w:lang w:val="fr-FR"/>
        </w:rPr>
        <w:t> </w:t>
      </w:r>
      <w:r w:rsidRPr="000F0427">
        <w:rPr>
          <w:lang w:val="fr-FR"/>
        </w:rPr>
        <w:t xml:space="preserve">4 de la </w:t>
      </w:r>
      <w:r>
        <w:rPr>
          <w:lang w:val="fr-FR"/>
        </w:rPr>
        <w:t>R</w:t>
      </w:r>
      <w:r w:rsidRPr="000F0427">
        <w:rPr>
          <w:lang w:val="fr-FR"/>
        </w:rPr>
        <w:t>évision</w:t>
      </w:r>
      <w:r w:rsidR="00AA496E">
        <w:rPr>
          <w:lang w:val="fr-FR"/>
        </w:rPr>
        <w:t> </w:t>
      </w:r>
      <w:r w:rsidRPr="000F0427">
        <w:rPr>
          <w:lang w:val="fr-FR"/>
        </w:rPr>
        <w:t>3 de l</w:t>
      </w:r>
      <w:r>
        <w:rPr>
          <w:lang w:val="fr-FR"/>
        </w:rPr>
        <w:t>’</w:t>
      </w:r>
      <w:r w:rsidRPr="000F0427">
        <w:rPr>
          <w:lang w:val="fr-FR"/>
        </w:rPr>
        <w:t>Accord de</w:t>
      </w:r>
      <w:r w:rsidR="00AA496E">
        <w:rPr>
          <w:lang w:val="fr-FR"/>
        </w:rPr>
        <w:t> </w:t>
      </w:r>
      <w:r w:rsidRPr="000F0427">
        <w:rPr>
          <w:lang w:val="fr-FR"/>
        </w:rPr>
        <w:t>1958, il est proposé de</w:t>
      </w:r>
      <w:r>
        <w:rPr>
          <w:lang w:val="fr-FR"/>
        </w:rPr>
        <w:t xml:space="preserve"> juxtaposer</w:t>
      </w:r>
      <w:r w:rsidRPr="000F0427">
        <w:rPr>
          <w:lang w:val="fr-FR"/>
        </w:rPr>
        <w:t xml:space="preserve"> le numéro d</w:t>
      </w:r>
      <w:r>
        <w:rPr>
          <w:lang w:val="fr-FR"/>
        </w:rPr>
        <w:t>’</w:t>
      </w:r>
      <w:r w:rsidRPr="000F0427">
        <w:rPr>
          <w:lang w:val="fr-FR"/>
        </w:rPr>
        <w:t xml:space="preserve">homologation délivré conformément aux dispositions actuelles du Règlement </w:t>
      </w:r>
      <w:r>
        <w:rPr>
          <w:lang w:val="fr-FR"/>
        </w:rPr>
        <w:t xml:space="preserve">ONU </w:t>
      </w:r>
      <w:r w:rsidRPr="000F0427">
        <w:rPr>
          <w:lang w:val="fr-FR"/>
        </w:rPr>
        <w:t>n</w:t>
      </w:r>
      <w:r w:rsidRPr="00AA496E">
        <w:rPr>
          <w:vertAlign w:val="superscript"/>
          <w:lang w:val="fr-FR"/>
        </w:rPr>
        <w:t>o</w:t>
      </w:r>
      <w:r w:rsidR="00AA496E">
        <w:rPr>
          <w:lang w:val="fr-FR"/>
        </w:rPr>
        <w:t> </w:t>
      </w:r>
      <w:r w:rsidRPr="000F0427">
        <w:rPr>
          <w:lang w:val="fr-FR"/>
        </w:rPr>
        <w:t>90</w:t>
      </w:r>
      <w:r>
        <w:rPr>
          <w:lang w:val="fr-FR"/>
        </w:rPr>
        <w:t xml:space="preserve"> et</w:t>
      </w:r>
      <w:r w:rsidRPr="000F0427">
        <w:rPr>
          <w:lang w:val="fr-FR"/>
        </w:rPr>
        <w:t xml:space="preserve"> l</w:t>
      </w:r>
      <w:r>
        <w:rPr>
          <w:lang w:val="fr-FR"/>
        </w:rPr>
        <w:t>’</w:t>
      </w:r>
      <w:r w:rsidRPr="000F0427">
        <w:rPr>
          <w:lang w:val="fr-FR"/>
        </w:rPr>
        <w:t>autre numéro d</w:t>
      </w:r>
      <w:r>
        <w:rPr>
          <w:lang w:val="fr-FR"/>
        </w:rPr>
        <w:t>’</w:t>
      </w:r>
      <w:r w:rsidRPr="000F0427">
        <w:rPr>
          <w:lang w:val="fr-FR"/>
        </w:rPr>
        <w:t>homologation ayant la structure prévue à l</w:t>
      </w:r>
      <w:r>
        <w:rPr>
          <w:lang w:val="fr-FR"/>
        </w:rPr>
        <w:t>’</w:t>
      </w:r>
      <w:r w:rsidRPr="000F0427">
        <w:rPr>
          <w:lang w:val="fr-FR"/>
        </w:rPr>
        <w:t>annexe</w:t>
      </w:r>
      <w:r w:rsidR="00AA496E">
        <w:rPr>
          <w:lang w:val="fr-FR"/>
        </w:rPr>
        <w:t> </w:t>
      </w:r>
      <w:r w:rsidRPr="000F0427">
        <w:rPr>
          <w:lang w:val="fr-FR"/>
        </w:rPr>
        <w:t>4</w:t>
      </w:r>
      <w:r>
        <w:rPr>
          <w:lang w:val="fr-FR"/>
        </w:rPr>
        <w:t>,</w:t>
      </w:r>
      <w:r w:rsidRPr="000F0427">
        <w:rPr>
          <w:lang w:val="fr-FR"/>
        </w:rPr>
        <w:t xml:space="preserve"> et de les indiquer tous les deux dans la fiche de communication (annexes 1A et 1B du Règlement </w:t>
      </w:r>
      <w:r>
        <w:rPr>
          <w:lang w:val="fr-FR"/>
        </w:rPr>
        <w:t xml:space="preserve">ONU </w:t>
      </w:r>
      <w:r w:rsidRPr="000F0427">
        <w:rPr>
          <w:lang w:val="fr-FR"/>
        </w:rPr>
        <w:t>n</w:t>
      </w:r>
      <w:r w:rsidRPr="00AA496E">
        <w:rPr>
          <w:vertAlign w:val="superscript"/>
          <w:lang w:val="fr-FR"/>
        </w:rPr>
        <w:t>o</w:t>
      </w:r>
      <w:r w:rsidR="00AA496E">
        <w:rPr>
          <w:lang w:val="fr-FR"/>
        </w:rPr>
        <w:t> </w:t>
      </w:r>
      <w:r w:rsidRPr="000F0427">
        <w:rPr>
          <w:lang w:val="fr-FR"/>
        </w:rPr>
        <w:t>90). Pour distinguer ces deux numéros d</w:t>
      </w:r>
      <w:r>
        <w:rPr>
          <w:lang w:val="fr-FR"/>
        </w:rPr>
        <w:t>’</w:t>
      </w:r>
      <w:r w:rsidRPr="000F0427">
        <w:rPr>
          <w:lang w:val="fr-FR"/>
        </w:rPr>
        <w:t xml:space="preserve">homologation, le numéro actuel est renommé </w:t>
      </w:r>
      <w:r w:rsidR="00AA496E">
        <w:rPr>
          <w:lang w:val="fr-FR"/>
        </w:rPr>
        <w:t>« </w:t>
      </w:r>
      <w:r w:rsidRPr="000F0427">
        <w:rPr>
          <w:lang w:val="fr-FR"/>
        </w:rPr>
        <w:t>code d</w:t>
      </w:r>
      <w:r>
        <w:rPr>
          <w:lang w:val="fr-FR"/>
        </w:rPr>
        <w:t>’</w:t>
      </w:r>
      <w:r w:rsidRPr="000F0427">
        <w:rPr>
          <w:lang w:val="fr-FR"/>
        </w:rPr>
        <w:t>homologation</w:t>
      </w:r>
      <w:r w:rsidR="00AA496E">
        <w:rPr>
          <w:lang w:val="fr-FR"/>
        </w:rPr>
        <w:t> »</w:t>
      </w:r>
      <w:r w:rsidRPr="000F0427">
        <w:rPr>
          <w:lang w:val="fr-FR"/>
        </w:rPr>
        <w:t>.</w:t>
      </w:r>
    </w:p>
    <w:p w:rsidR="000C1694" w:rsidRPr="000F0427" w:rsidRDefault="000C1694" w:rsidP="00AA496E">
      <w:pPr>
        <w:pStyle w:val="SingleTxtG"/>
        <w:rPr>
          <w:lang w:val="fr-FR"/>
        </w:rPr>
      </w:pPr>
      <w:r w:rsidRPr="000F0427">
        <w:rPr>
          <w:lang w:val="fr-FR"/>
        </w:rPr>
        <w:t>2.</w:t>
      </w:r>
      <w:r w:rsidRPr="000F0427">
        <w:rPr>
          <w:lang w:val="fr-FR"/>
        </w:rPr>
        <w:tab/>
        <w:t>Les deux numéros</w:t>
      </w:r>
      <w:r>
        <w:rPr>
          <w:lang w:val="fr-FR"/>
        </w:rPr>
        <w:t xml:space="preserve"> devraient </w:t>
      </w:r>
      <w:r w:rsidRPr="000F0427">
        <w:rPr>
          <w:lang w:val="fr-FR"/>
        </w:rPr>
        <w:t>être uniques, de</w:t>
      </w:r>
      <w:r>
        <w:rPr>
          <w:lang w:val="fr-FR"/>
        </w:rPr>
        <w:t xml:space="preserve"> façon à éviter toute </w:t>
      </w:r>
      <w:r w:rsidRPr="000F0427">
        <w:rPr>
          <w:lang w:val="fr-FR"/>
        </w:rPr>
        <w:t>répétition ou incohérence par rapport aux numéros d</w:t>
      </w:r>
      <w:r>
        <w:rPr>
          <w:lang w:val="fr-FR"/>
        </w:rPr>
        <w:t>’</w:t>
      </w:r>
      <w:r w:rsidRPr="000F0427">
        <w:rPr>
          <w:lang w:val="fr-FR"/>
        </w:rPr>
        <w:t>homologation.</w:t>
      </w:r>
    </w:p>
    <w:p w:rsidR="000C1694" w:rsidRPr="000F0427" w:rsidRDefault="000C1694" w:rsidP="00AA496E">
      <w:pPr>
        <w:pStyle w:val="SingleTxtG"/>
        <w:rPr>
          <w:lang w:val="fr-FR"/>
        </w:rPr>
      </w:pPr>
      <w:r w:rsidRPr="000F0427">
        <w:rPr>
          <w:lang w:val="fr-FR"/>
        </w:rPr>
        <w:t>3.</w:t>
      </w:r>
      <w:r w:rsidRPr="000F0427">
        <w:rPr>
          <w:lang w:val="fr-FR"/>
        </w:rPr>
        <w:tab/>
        <w:t xml:space="preserve">Les définitions des termes </w:t>
      </w:r>
      <w:r w:rsidR="00AA496E">
        <w:rPr>
          <w:lang w:val="fr-FR"/>
        </w:rPr>
        <w:t>« </w:t>
      </w:r>
      <w:r w:rsidRPr="000F0427">
        <w:rPr>
          <w:lang w:val="fr-FR"/>
        </w:rPr>
        <w:t>numéro d</w:t>
      </w:r>
      <w:r>
        <w:rPr>
          <w:lang w:val="fr-FR"/>
        </w:rPr>
        <w:t>’</w:t>
      </w:r>
      <w:r w:rsidRPr="000F0427">
        <w:rPr>
          <w:lang w:val="fr-FR"/>
        </w:rPr>
        <w:t>homologation</w:t>
      </w:r>
      <w:r w:rsidR="00AA496E">
        <w:rPr>
          <w:lang w:val="fr-FR"/>
        </w:rPr>
        <w:t> »</w:t>
      </w:r>
      <w:r w:rsidRPr="000F0427">
        <w:rPr>
          <w:lang w:val="fr-FR"/>
        </w:rPr>
        <w:t xml:space="preserve"> et </w:t>
      </w:r>
      <w:r w:rsidR="00AA496E">
        <w:rPr>
          <w:lang w:val="fr-FR"/>
        </w:rPr>
        <w:t>« </w:t>
      </w:r>
      <w:r w:rsidRPr="000F0427">
        <w:rPr>
          <w:lang w:val="fr-FR"/>
        </w:rPr>
        <w:t>code d</w:t>
      </w:r>
      <w:r>
        <w:rPr>
          <w:lang w:val="fr-FR"/>
        </w:rPr>
        <w:t>’</w:t>
      </w:r>
      <w:r w:rsidRPr="000F0427">
        <w:rPr>
          <w:lang w:val="fr-FR"/>
        </w:rPr>
        <w:t>homologation</w:t>
      </w:r>
      <w:r w:rsidR="00AA496E">
        <w:rPr>
          <w:lang w:val="fr-FR"/>
        </w:rPr>
        <w:t> »</w:t>
      </w:r>
      <w:r w:rsidRPr="000F0427">
        <w:rPr>
          <w:lang w:val="fr-FR"/>
        </w:rPr>
        <w:t xml:space="preserve"> sont proposées par la Fédération des fabricants européens de matériaux de friction (FEMFM) et sont actuellement maintenues entre crochets car les deux termes sont définis au paragraphe</w:t>
      </w:r>
      <w:r w:rsidR="00AA496E">
        <w:rPr>
          <w:lang w:val="fr-FR"/>
        </w:rPr>
        <w:t> </w:t>
      </w:r>
      <w:r w:rsidRPr="000F0427">
        <w:rPr>
          <w:lang w:val="fr-FR"/>
        </w:rPr>
        <w:t xml:space="preserve">4.2 du Règlement </w:t>
      </w:r>
      <w:r>
        <w:rPr>
          <w:lang w:val="fr-FR"/>
        </w:rPr>
        <w:t xml:space="preserve">ONU </w:t>
      </w:r>
      <w:r w:rsidRPr="000F0427">
        <w:rPr>
          <w:lang w:val="fr-FR"/>
        </w:rPr>
        <w:t>n</w:t>
      </w:r>
      <w:r w:rsidRPr="00AA496E">
        <w:rPr>
          <w:vertAlign w:val="superscript"/>
          <w:lang w:val="fr-FR"/>
        </w:rPr>
        <w:t>o</w:t>
      </w:r>
      <w:r w:rsidR="00AA496E">
        <w:rPr>
          <w:lang w:val="fr-FR"/>
        </w:rPr>
        <w:t> </w:t>
      </w:r>
      <w:r w:rsidRPr="000F0427">
        <w:rPr>
          <w:lang w:val="fr-FR"/>
        </w:rPr>
        <w:t xml:space="preserve">90. Il est donc demandé au </w:t>
      </w:r>
      <w:r w:rsidRPr="00701632">
        <w:rPr>
          <w:iCs/>
          <w:lang w:val="fr-FR"/>
        </w:rPr>
        <w:t>Groupe de travail des véhicules automatisés/autonomes et connectés</w:t>
      </w:r>
      <w:r w:rsidRPr="000F0427">
        <w:rPr>
          <w:i/>
          <w:iCs/>
          <w:lang w:val="fr-FR"/>
        </w:rPr>
        <w:t xml:space="preserve"> </w:t>
      </w:r>
      <w:r w:rsidRPr="000F0427">
        <w:rPr>
          <w:lang w:val="fr-FR"/>
        </w:rPr>
        <w:t>de donner son avis sur cette partie du texte.</w:t>
      </w:r>
    </w:p>
    <w:p w:rsidR="000C1694" w:rsidRDefault="000C1694" w:rsidP="00F24FE5">
      <w:pPr>
        <w:pStyle w:val="SingleTxtG"/>
        <w:ind w:left="1701"/>
        <w:rPr>
          <w:lang w:val="fr-FR"/>
        </w:rPr>
      </w:pPr>
      <w:r w:rsidRPr="000F0427">
        <w:rPr>
          <w:lang w:val="fr-FR"/>
        </w:rPr>
        <w:t>Exemple</w:t>
      </w:r>
      <w:r w:rsidR="00F24FE5">
        <w:rPr>
          <w:lang w:val="fr-FR"/>
        </w:rPr>
        <w:t> </w:t>
      </w:r>
      <w:r w:rsidRPr="000F0427">
        <w:rPr>
          <w:lang w:val="fr-FR"/>
        </w:rPr>
        <w:t>: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535"/>
      </w:tblGrid>
      <w:tr w:rsidR="00F24FE5" w:rsidRPr="00F24FE5" w:rsidTr="00F24FE5">
        <w:tc>
          <w:tcPr>
            <w:tcW w:w="2835" w:type="dxa"/>
            <w:shd w:val="clear" w:color="auto" w:fill="auto"/>
          </w:tcPr>
          <w:p w:rsidR="00F24FE5" w:rsidRPr="00F24FE5" w:rsidRDefault="00F24FE5" w:rsidP="00F24FE5">
            <w:pPr>
              <w:spacing w:before="40" w:after="120"/>
              <w:ind w:right="113"/>
            </w:pPr>
            <w:r w:rsidRPr="00701632">
              <w:rPr>
                <w:lang w:val="fr-FR"/>
              </w:rPr>
              <w:t>Numéro d</w:t>
            </w:r>
            <w:r>
              <w:rPr>
                <w:lang w:val="fr-FR"/>
              </w:rPr>
              <w:t>’</w:t>
            </w:r>
            <w:r w:rsidRPr="00701632">
              <w:rPr>
                <w:lang w:val="fr-FR"/>
              </w:rPr>
              <w:t>homologation actuel</w:t>
            </w:r>
            <w:r>
              <w:rPr>
                <w:lang w:val="fr-FR"/>
              </w:rPr>
              <w:br/>
            </w:r>
            <w:r w:rsidRPr="00701632">
              <w:rPr>
                <w:lang w:val="fr-FR"/>
              </w:rPr>
              <w:t>(Code d</w:t>
            </w:r>
            <w:r>
              <w:rPr>
                <w:lang w:val="fr-FR"/>
              </w:rPr>
              <w:t>’</w:t>
            </w:r>
            <w:r w:rsidRPr="00701632">
              <w:rPr>
                <w:lang w:val="fr-FR"/>
              </w:rPr>
              <w:t>homologation)</w:t>
            </w:r>
          </w:p>
        </w:tc>
        <w:tc>
          <w:tcPr>
            <w:tcW w:w="4535" w:type="dxa"/>
            <w:shd w:val="clear" w:color="auto" w:fill="auto"/>
          </w:tcPr>
          <w:p w:rsidR="00F24FE5" w:rsidRPr="00F24FE5" w:rsidRDefault="00F24FE5" w:rsidP="00F24FE5">
            <w:pPr>
              <w:spacing w:before="40" w:after="120"/>
              <w:ind w:right="113"/>
            </w:pPr>
            <w:r w:rsidRPr="00701632">
              <w:rPr>
                <w:lang w:val="fr-FR"/>
              </w:rPr>
              <w:t>Numéro d</w:t>
            </w:r>
            <w:r>
              <w:rPr>
                <w:lang w:val="fr-FR"/>
              </w:rPr>
              <w:t>’</w:t>
            </w:r>
            <w:r w:rsidRPr="00701632">
              <w:rPr>
                <w:lang w:val="fr-FR"/>
              </w:rPr>
              <w:t xml:space="preserve">homologation </w:t>
            </w:r>
            <w:r w:rsidRPr="00701632">
              <w:rPr>
                <w:iCs/>
                <w:lang w:val="fr-FR"/>
              </w:rPr>
              <w:t xml:space="preserve">accordé conformément </w:t>
            </w:r>
            <w:r>
              <w:rPr>
                <w:iCs/>
                <w:lang w:val="fr-FR"/>
              </w:rPr>
              <w:br/>
            </w:r>
            <w:r w:rsidRPr="00701632">
              <w:rPr>
                <w:iCs/>
                <w:lang w:val="fr-FR"/>
              </w:rPr>
              <w:t>à l</w:t>
            </w:r>
            <w:r>
              <w:rPr>
                <w:iCs/>
                <w:lang w:val="fr-FR"/>
              </w:rPr>
              <w:t>’</w:t>
            </w:r>
            <w:r w:rsidRPr="00701632">
              <w:rPr>
                <w:iCs/>
                <w:lang w:val="fr-FR"/>
              </w:rPr>
              <w:t>annexe 4</w:t>
            </w:r>
          </w:p>
        </w:tc>
      </w:tr>
      <w:tr w:rsidR="00F24FE5" w:rsidRPr="00F24FE5" w:rsidTr="00F24FE5">
        <w:tc>
          <w:tcPr>
            <w:tcW w:w="2835" w:type="dxa"/>
            <w:shd w:val="clear" w:color="auto" w:fill="auto"/>
          </w:tcPr>
          <w:p w:rsidR="00F24FE5" w:rsidRPr="00F24FE5" w:rsidRDefault="004B0E41" w:rsidP="00F24FE5">
            <w:pPr>
              <w:spacing w:before="40" w:after="120"/>
              <w:ind w:right="113"/>
            </w:pPr>
            <w:r w:rsidRPr="000F0427">
              <w:rPr>
                <w:lang w:val="fr-FR"/>
              </w:rPr>
              <w:t>E2 90 R 02 C 0359 7248</w:t>
            </w:r>
            <w:r>
              <w:rPr>
                <w:lang w:val="fr-FR"/>
              </w:rPr>
              <w:t xml:space="preserve"> = </w:t>
            </w:r>
          </w:p>
        </w:tc>
        <w:tc>
          <w:tcPr>
            <w:tcW w:w="4535" w:type="dxa"/>
            <w:shd w:val="clear" w:color="auto" w:fill="auto"/>
          </w:tcPr>
          <w:p w:rsidR="00F24FE5" w:rsidRPr="00F24FE5" w:rsidRDefault="004B0E41" w:rsidP="00F24FE5">
            <w:pPr>
              <w:spacing w:before="40" w:after="120"/>
              <w:ind w:right="113"/>
            </w:pPr>
            <w:r w:rsidRPr="000F0427">
              <w:rPr>
                <w:lang w:val="fr-FR"/>
              </w:rPr>
              <w:t>E2*90R02/03*0004*00</w:t>
            </w:r>
          </w:p>
        </w:tc>
      </w:tr>
    </w:tbl>
    <w:p w:rsidR="000C1694" w:rsidRPr="000F0427" w:rsidRDefault="000C1694" w:rsidP="004B0E41">
      <w:pPr>
        <w:pStyle w:val="SingleTxtG"/>
        <w:rPr>
          <w:lang w:val="fr-FR"/>
        </w:rPr>
      </w:pPr>
      <w:r w:rsidRPr="000F0427">
        <w:rPr>
          <w:lang w:val="fr-FR"/>
        </w:rPr>
        <w:t>(Le disque de frein (C) type</w:t>
      </w:r>
      <w:r>
        <w:rPr>
          <w:lang w:val="fr-FR"/>
        </w:rPr>
        <w:t xml:space="preserve"> </w:t>
      </w:r>
      <w:r w:rsidRPr="000F0427">
        <w:rPr>
          <w:lang w:val="fr-FR"/>
        </w:rPr>
        <w:t>0359, variante</w:t>
      </w:r>
      <w:r>
        <w:rPr>
          <w:lang w:val="fr-FR"/>
        </w:rPr>
        <w:t xml:space="preserve"> </w:t>
      </w:r>
      <w:r w:rsidRPr="000F0427">
        <w:rPr>
          <w:lang w:val="fr-FR"/>
        </w:rPr>
        <w:t>7248 porte le numéro d</w:t>
      </w:r>
      <w:r>
        <w:rPr>
          <w:lang w:val="fr-FR"/>
        </w:rPr>
        <w:t>’</w:t>
      </w:r>
      <w:r w:rsidRPr="000F0427">
        <w:rPr>
          <w:lang w:val="fr-FR"/>
        </w:rPr>
        <w:t>homologation 0004 dans la version original</w:t>
      </w:r>
      <w:r>
        <w:rPr>
          <w:lang w:val="fr-FR"/>
        </w:rPr>
        <w:t>e, conformément au Règlement ONU n</w:t>
      </w:r>
      <w:r w:rsidRPr="004B0E41">
        <w:rPr>
          <w:vertAlign w:val="superscript"/>
          <w:lang w:val="fr-FR"/>
        </w:rPr>
        <w:t>o</w:t>
      </w:r>
      <w:r w:rsidR="004B0E41">
        <w:rPr>
          <w:lang w:val="fr-FR"/>
        </w:rPr>
        <w:t> </w:t>
      </w:r>
      <w:r w:rsidRPr="000F0427">
        <w:rPr>
          <w:lang w:val="fr-FR"/>
        </w:rPr>
        <w:t>90-02, complément 3).</w:t>
      </w:r>
    </w:p>
    <w:p w:rsidR="000C1694" w:rsidRPr="000F0427" w:rsidRDefault="000C1694" w:rsidP="004B0E41">
      <w:pPr>
        <w:pStyle w:val="SingleTxtG"/>
        <w:rPr>
          <w:rFonts w:eastAsia="SimSun"/>
          <w:lang w:val="fr-FR"/>
        </w:rPr>
      </w:pPr>
      <w:r w:rsidRPr="000F0427">
        <w:rPr>
          <w:lang w:val="fr-FR"/>
        </w:rPr>
        <w:t>4.</w:t>
      </w:r>
      <w:r w:rsidRPr="000F0427">
        <w:rPr>
          <w:lang w:val="fr-FR"/>
        </w:rPr>
        <w:tab/>
        <w:t>Les nouvelles notes de bas de page</w:t>
      </w:r>
      <w:r w:rsidR="004B0E41">
        <w:rPr>
          <w:lang w:val="fr-FR"/>
        </w:rPr>
        <w:t> </w:t>
      </w:r>
      <w:r w:rsidRPr="000F0427">
        <w:rPr>
          <w:lang w:val="fr-FR"/>
        </w:rPr>
        <w:t>3 et 4 figurant dans les annexes</w:t>
      </w:r>
      <w:r w:rsidR="0038343A">
        <w:rPr>
          <w:lang w:val="fr-FR"/>
        </w:rPr>
        <w:t> </w:t>
      </w:r>
      <w:r w:rsidRPr="000F0427">
        <w:rPr>
          <w:lang w:val="fr-FR"/>
        </w:rPr>
        <w:t>1A et 1B sont ajoutées dans un souci de clarté.</w:t>
      </w:r>
    </w:p>
    <w:p w:rsidR="000C1694" w:rsidRPr="000F0427" w:rsidRDefault="000C1694" w:rsidP="004B0E41">
      <w:pPr>
        <w:pStyle w:val="SingleTxtG"/>
        <w:rPr>
          <w:rFonts w:eastAsia="SimSun"/>
          <w:lang w:val="fr-FR"/>
        </w:rPr>
      </w:pPr>
      <w:r w:rsidRPr="000F0427">
        <w:rPr>
          <w:lang w:val="fr-FR"/>
        </w:rPr>
        <w:t>5.</w:t>
      </w:r>
      <w:r w:rsidRPr="000F0427">
        <w:rPr>
          <w:lang w:val="fr-FR"/>
        </w:rPr>
        <w:tab/>
        <w:t xml:space="preserve">La présente proposition ne concerne pas les dispositions actuelles du Règlement </w:t>
      </w:r>
      <w:r>
        <w:rPr>
          <w:lang w:val="fr-FR"/>
        </w:rPr>
        <w:t xml:space="preserve">ONU </w:t>
      </w:r>
      <w:r w:rsidRPr="000F0427">
        <w:rPr>
          <w:lang w:val="fr-FR"/>
        </w:rPr>
        <w:t>n</w:t>
      </w:r>
      <w:r w:rsidRPr="004B0E41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F0427">
        <w:rPr>
          <w:lang w:val="fr-FR"/>
        </w:rPr>
        <w:t>90 relatives à l</w:t>
      </w:r>
      <w:r>
        <w:rPr>
          <w:lang w:val="fr-FR"/>
        </w:rPr>
        <w:t>’</w:t>
      </w:r>
      <w:r w:rsidRPr="000F0427">
        <w:rPr>
          <w:lang w:val="fr-FR"/>
        </w:rPr>
        <w:t>application des marques d</w:t>
      </w:r>
      <w:r>
        <w:rPr>
          <w:lang w:val="fr-FR"/>
        </w:rPr>
        <w:t>’</w:t>
      </w:r>
      <w:r w:rsidRPr="000F0427">
        <w:rPr>
          <w:lang w:val="fr-FR"/>
        </w:rPr>
        <w:t>homologation.</w:t>
      </w:r>
    </w:p>
    <w:p w:rsidR="000C1694" w:rsidRDefault="000C1694" w:rsidP="004B0E41">
      <w:pPr>
        <w:pStyle w:val="SingleTxtG"/>
        <w:rPr>
          <w:lang w:val="fr-FR"/>
        </w:rPr>
      </w:pPr>
      <w:r w:rsidRPr="000F0427">
        <w:rPr>
          <w:lang w:val="fr-FR"/>
        </w:rPr>
        <w:t>6.</w:t>
      </w:r>
      <w:r w:rsidRPr="000F0427">
        <w:rPr>
          <w:lang w:val="fr-FR"/>
        </w:rPr>
        <w:tab/>
      </w:r>
      <w:r>
        <w:rPr>
          <w:lang w:val="fr-FR"/>
        </w:rPr>
        <w:t>I</w:t>
      </w:r>
      <w:r w:rsidRPr="000F0427">
        <w:rPr>
          <w:lang w:val="fr-FR"/>
        </w:rPr>
        <w:t xml:space="preserve">l est prévu de remplacer </w:t>
      </w:r>
      <w:r>
        <w:rPr>
          <w:lang w:val="fr-FR"/>
        </w:rPr>
        <w:t xml:space="preserve">ultérieurement </w:t>
      </w:r>
      <w:r w:rsidRPr="000F0427">
        <w:rPr>
          <w:lang w:val="fr-FR"/>
        </w:rPr>
        <w:t>le</w:t>
      </w:r>
      <w:r w:rsidRPr="00116C02">
        <w:rPr>
          <w:lang w:val="fr-FR"/>
        </w:rPr>
        <w:t xml:space="preserve">s </w:t>
      </w:r>
      <w:r w:rsidRPr="00116C02">
        <w:rPr>
          <w:iCs/>
          <w:lang w:val="fr-FR"/>
        </w:rPr>
        <w:t>marques d</w:t>
      </w:r>
      <w:r>
        <w:rPr>
          <w:iCs/>
          <w:lang w:val="fr-FR"/>
        </w:rPr>
        <w:t>’</w:t>
      </w:r>
      <w:r w:rsidRPr="00116C02">
        <w:rPr>
          <w:iCs/>
          <w:lang w:val="fr-FR"/>
        </w:rPr>
        <w:t xml:space="preserve">homologation </w:t>
      </w:r>
      <w:r w:rsidRPr="00116C02">
        <w:rPr>
          <w:lang w:val="fr-FR"/>
        </w:rPr>
        <w:t>actuelles par l</w:t>
      </w:r>
      <w:r>
        <w:rPr>
          <w:lang w:val="fr-FR"/>
        </w:rPr>
        <w:t>’</w:t>
      </w:r>
      <w:r w:rsidRPr="00116C02">
        <w:rPr>
          <w:lang w:val="fr-FR"/>
        </w:rPr>
        <w:t>identifiant unique, comme</w:t>
      </w:r>
      <w:r>
        <w:rPr>
          <w:lang w:val="fr-FR"/>
        </w:rPr>
        <w:t xml:space="preserve"> indiqué </w:t>
      </w:r>
      <w:r w:rsidRPr="00116C02">
        <w:rPr>
          <w:lang w:val="fr-FR"/>
        </w:rPr>
        <w:t>dans l</w:t>
      </w:r>
      <w:r>
        <w:rPr>
          <w:lang w:val="fr-FR"/>
        </w:rPr>
        <w:t>’</w:t>
      </w:r>
      <w:r w:rsidRPr="00116C02">
        <w:rPr>
          <w:lang w:val="fr-FR"/>
        </w:rPr>
        <w:t>annexe</w:t>
      </w:r>
      <w:r w:rsidR="004B0E41">
        <w:rPr>
          <w:lang w:val="fr-FR"/>
        </w:rPr>
        <w:t> </w:t>
      </w:r>
      <w:r w:rsidRPr="00116C02">
        <w:rPr>
          <w:lang w:val="fr-FR"/>
        </w:rPr>
        <w:t xml:space="preserve">5 de la </w:t>
      </w:r>
      <w:r>
        <w:rPr>
          <w:lang w:val="fr-FR"/>
        </w:rPr>
        <w:t>R</w:t>
      </w:r>
      <w:r w:rsidRPr="00116C02">
        <w:rPr>
          <w:lang w:val="fr-FR"/>
        </w:rPr>
        <w:t>évision</w:t>
      </w:r>
      <w:r w:rsidR="004B0E41">
        <w:rPr>
          <w:lang w:val="fr-FR"/>
        </w:rPr>
        <w:t> </w:t>
      </w:r>
      <w:r w:rsidRPr="00116C02">
        <w:rPr>
          <w:lang w:val="fr-FR"/>
        </w:rPr>
        <w:t>3 de l</w:t>
      </w:r>
      <w:r>
        <w:rPr>
          <w:lang w:val="fr-FR"/>
        </w:rPr>
        <w:t>’</w:t>
      </w:r>
      <w:r w:rsidRPr="00116C02">
        <w:rPr>
          <w:lang w:val="fr-FR"/>
        </w:rPr>
        <w:t>Accord de 1958.</w:t>
      </w:r>
    </w:p>
    <w:p w:rsidR="004B0E41" w:rsidRPr="004B0E41" w:rsidRDefault="004B0E41" w:rsidP="004B0E4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B0E41" w:rsidRPr="004B0E41" w:rsidSect="000C1694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5A" w:rsidRDefault="00DC205A" w:rsidP="00F95C08">
      <w:pPr>
        <w:spacing w:line="240" w:lineRule="auto"/>
      </w:pPr>
    </w:p>
  </w:endnote>
  <w:endnote w:type="continuationSeparator" w:id="0">
    <w:p w:rsidR="00DC205A" w:rsidRPr="00AC3823" w:rsidRDefault="00DC205A" w:rsidP="00AC3823">
      <w:pPr>
        <w:pStyle w:val="Footer"/>
      </w:pPr>
    </w:p>
  </w:endnote>
  <w:endnote w:type="continuationNotice" w:id="1">
    <w:p w:rsidR="00DC205A" w:rsidRDefault="00DC20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694" w:rsidRPr="000C1694" w:rsidRDefault="000C1694" w:rsidP="000C1694">
    <w:pPr>
      <w:pStyle w:val="Footer"/>
      <w:tabs>
        <w:tab w:val="right" w:pos="9638"/>
      </w:tabs>
    </w:pPr>
    <w:r w:rsidRPr="000C1694">
      <w:rPr>
        <w:b/>
        <w:sz w:val="18"/>
      </w:rPr>
      <w:fldChar w:fldCharType="begin"/>
    </w:r>
    <w:r w:rsidRPr="000C1694">
      <w:rPr>
        <w:b/>
        <w:sz w:val="18"/>
      </w:rPr>
      <w:instrText xml:space="preserve"> PAGE  \* MERGEFORMAT </w:instrText>
    </w:r>
    <w:r w:rsidRPr="000C1694">
      <w:rPr>
        <w:b/>
        <w:sz w:val="18"/>
      </w:rPr>
      <w:fldChar w:fldCharType="separate"/>
    </w:r>
    <w:r w:rsidR="006B3F8A">
      <w:rPr>
        <w:b/>
        <w:noProof/>
        <w:sz w:val="18"/>
      </w:rPr>
      <w:t>4</w:t>
    </w:r>
    <w:r w:rsidRPr="000C1694">
      <w:rPr>
        <w:b/>
        <w:sz w:val="18"/>
      </w:rPr>
      <w:fldChar w:fldCharType="end"/>
    </w:r>
    <w:r>
      <w:rPr>
        <w:b/>
        <w:sz w:val="18"/>
      </w:rPr>
      <w:tab/>
    </w:r>
    <w:r>
      <w:t>GE.18-19720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694" w:rsidRPr="000C1694" w:rsidRDefault="000C1694" w:rsidP="000C1694">
    <w:pPr>
      <w:pStyle w:val="Footer"/>
      <w:tabs>
        <w:tab w:val="right" w:pos="9638"/>
      </w:tabs>
      <w:rPr>
        <w:b/>
        <w:sz w:val="18"/>
      </w:rPr>
    </w:pPr>
    <w:r>
      <w:t>GE.18-19720</w:t>
    </w:r>
    <w:r>
      <w:tab/>
    </w:r>
    <w:r w:rsidRPr="000C1694">
      <w:rPr>
        <w:b/>
        <w:sz w:val="18"/>
      </w:rPr>
      <w:fldChar w:fldCharType="begin"/>
    </w:r>
    <w:r w:rsidRPr="000C1694">
      <w:rPr>
        <w:b/>
        <w:sz w:val="18"/>
      </w:rPr>
      <w:instrText xml:space="preserve"> PAGE  \* MERGEFORMAT </w:instrText>
    </w:r>
    <w:r w:rsidRPr="000C1694">
      <w:rPr>
        <w:b/>
        <w:sz w:val="18"/>
      </w:rPr>
      <w:fldChar w:fldCharType="separate"/>
    </w:r>
    <w:r w:rsidR="006B3F8A">
      <w:rPr>
        <w:b/>
        <w:noProof/>
        <w:sz w:val="18"/>
      </w:rPr>
      <w:t>5</w:t>
    </w:r>
    <w:r w:rsidRPr="000C16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C1694" w:rsidRDefault="000C1694" w:rsidP="000C169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19720  (</w:t>
    </w:r>
    <w:proofErr w:type="gramEnd"/>
    <w:r>
      <w:rPr>
        <w:sz w:val="20"/>
      </w:rPr>
      <w:t>F)    281118    121218</w:t>
    </w:r>
    <w:r>
      <w:rPr>
        <w:sz w:val="20"/>
      </w:rPr>
      <w:br/>
    </w:r>
    <w:r w:rsidRPr="000C1694">
      <w:rPr>
        <w:rFonts w:ascii="C39T30Lfz" w:hAnsi="C39T30Lfz"/>
        <w:sz w:val="56"/>
      </w:rPr>
      <w:t></w:t>
    </w:r>
    <w:r w:rsidRPr="000C1694">
      <w:rPr>
        <w:rFonts w:ascii="C39T30Lfz" w:hAnsi="C39T30Lfz"/>
        <w:sz w:val="56"/>
      </w:rPr>
      <w:t></w:t>
    </w:r>
    <w:r w:rsidRPr="000C1694">
      <w:rPr>
        <w:rFonts w:ascii="C39T30Lfz" w:hAnsi="C39T30Lfz"/>
        <w:sz w:val="56"/>
      </w:rPr>
      <w:t></w:t>
    </w:r>
    <w:r w:rsidRPr="000C1694">
      <w:rPr>
        <w:rFonts w:ascii="C39T30Lfz" w:hAnsi="C39T30Lfz"/>
        <w:sz w:val="56"/>
      </w:rPr>
      <w:t></w:t>
    </w:r>
    <w:r w:rsidRPr="000C1694">
      <w:rPr>
        <w:rFonts w:ascii="C39T30Lfz" w:hAnsi="C39T30Lfz"/>
        <w:sz w:val="56"/>
      </w:rPr>
      <w:t></w:t>
    </w:r>
    <w:r w:rsidRPr="000C1694">
      <w:rPr>
        <w:rFonts w:ascii="C39T30Lfz" w:hAnsi="C39T30Lfz"/>
        <w:sz w:val="56"/>
      </w:rPr>
      <w:t></w:t>
    </w:r>
    <w:r w:rsidRPr="000C1694">
      <w:rPr>
        <w:rFonts w:ascii="C39T30Lfz" w:hAnsi="C39T30Lfz"/>
        <w:sz w:val="56"/>
      </w:rPr>
      <w:t></w:t>
    </w:r>
    <w:r w:rsidRPr="000C1694">
      <w:rPr>
        <w:rFonts w:ascii="C39T30Lfz" w:hAnsi="C39T30Lfz"/>
        <w:sz w:val="56"/>
      </w:rPr>
      <w:t></w:t>
    </w:r>
    <w:r w:rsidRPr="000C169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VA/2019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5A" w:rsidRPr="00AC3823" w:rsidRDefault="00DC20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205A" w:rsidRPr="00AC3823" w:rsidRDefault="00DC20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C205A" w:rsidRPr="00AC3823" w:rsidRDefault="00DC205A">
      <w:pPr>
        <w:spacing w:line="240" w:lineRule="auto"/>
        <w:rPr>
          <w:sz w:val="2"/>
          <w:szCs w:val="2"/>
        </w:rPr>
      </w:pPr>
    </w:p>
  </w:footnote>
  <w:footnote w:id="2">
    <w:p w:rsidR="000C1694" w:rsidRPr="000C1694" w:rsidRDefault="000C1694">
      <w:pPr>
        <w:pStyle w:val="FootnoteText"/>
      </w:pPr>
      <w:r>
        <w:rPr>
          <w:rStyle w:val="FootnoteReference"/>
        </w:rPr>
        <w:tab/>
      </w:r>
      <w:r w:rsidRPr="000C169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Ancien </w:t>
      </w:r>
      <w:r w:rsidRPr="000E6D54">
        <w:rPr>
          <w:lang w:val="fr-FR"/>
        </w:rPr>
        <w:t>Groupe de travail en matière de roulement et de freinage (GRRF)</w:t>
      </w:r>
      <w:r>
        <w:rPr>
          <w:lang w:val="fr-FR"/>
        </w:rPr>
        <w:t>.</w:t>
      </w:r>
    </w:p>
  </w:footnote>
  <w:footnote w:id="3">
    <w:p w:rsidR="000C1694" w:rsidRPr="000C1694" w:rsidRDefault="000C1694">
      <w:pPr>
        <w:pStyle w:val="FootnoteText"/>
      </w:pPr>
      <w:r>
        <w:rPr>
          <w:rStyle w:val="FootnoteReference"/>
        </w:rPr>
        <w:tab/>
      </w:r>
      <w:r w:rsidRPr="000C1694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C350D2">
        <w:rPr>
          <w:iCs/>
          <w:lang w:val="fr-FR"/>
        </w:rPr>
        <w:t xml:space="preserve">Conformément au programme de travail du Comité des transports </w:t>
      </w:r>
      <w:r>
        <w:rPr>
          <w:iCs/>
          <w:lang w:val="fr-FR"/>
        </w:rPr>
        <w:t>intérieurs pour la période 2018</w:t>
      </w:r>
      <w:r>
        <w:rPr>
          <w:iCs/>
          <w:lang w:val="fr-FR"/>
        </w:rPr>
        <w:noBreakHyphen/>
      </w:r>
      <w:r w:rsidRPr="00C350D2">
        <w:rPr>
          <w:iCs/>
          <w:lang w:val="fr-FR"/>
        </w:rPr>
        <w:t>2019 (ECE/TRANS/274, par.</w:t>
      </w:r>
      <w:r>
        <w:rPr>
          <w:iCs/>
          <w:lang w:val="fr-FR"/>
        </w:rPr>
        <w:t> </w:t>
      </w:r>
      <w:r w:rsidRPr="00C350D2">
        <w:rPr>
          <w:iCs/>
          <w:lang w:val="fr-FR"/>
        </w:rPr>
        <w:t>123, et ECE/TRANS/2018/21/Add.1, module 3), le Forum mondial a pour mission d</w:t>
      </w:r>
      <w:r>
        <w:rPr>
          <w:iCs/>
          <w:lang w:val="fr-FR"/>
        </w:rPr>
        <w:t>’</w:t>
      </w:r>
      <w:r w:rsidRPr="00C350D2">
        <w:rPr>
          <w:iCs/>
          <w:lang w:val="fr-FR"/>
        </w:rPr>
        <w:t>élaborer, d</w:t>
      </w:r>
      <w:r>
        <w:rPr>
          <w:iCs/>
          <w:lang w:val="fr-FR"/>
        </w:rPr>
        <w:t>’</w:t>
      </w:r>
      <w:r w:rsidRPr="00C350D2">
        <w:rPr>
          <w:iCs/>
          <w:lang w:val="fr-FR"/>
        </w:rPr>
        <w:t>harmoniser et de mettre à jour les Règlements ONU en vue d</w:t>
      </w:r>
      <w:r>
        <w:rPr>
          <w:iCs/>
          <w:lang w:val="fr-FR"/>
        </w:rPr>
        <w:t>’</w:t>
      </w:r>
      <w:r w:rsidRPr="00C350D2">
        <w:rPr>
          <w:iCs/>
          <w:lang w:val="fr-FR"/>
        </w:rPr>
        <w:t>améliorer les caractéristiques fonctionnelles des véhicules.</w:t>
      </w:r>
      <w:r w:rsidRPr="00C350D2">
        <w:rPr>
          <w:lang w:val="fr-FR"/>
        </w:rPr>
        <w:t xml:space="preserve"> </w:t>
      </w:r>
      <w:r w:rsidRPr="00C350D2">
        <w:rPr>
          <w:iCs/>
          <w:lang w:val="fr-FR"/>
        </w:rPr>
        <w:t>Le présent document est soumis en vertu de ce mandat</w:t>
      </w:r>
      <w:r>
        <w:rPr>
          <w:iCs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694" w:rsidRPr="000C1694" w:rsidRDefault="00FE06C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C1A26">
      <w:t>ECE/TRANS/WP.29/GRVA/2019/11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694" w:rsidRPr="000C1694" w:rsidRDefault="00FE06C0" w:rsidP="000C169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C1A26">
      <w:t>ECE/TRANS/WP.29/GRVA/2019/11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5A"/>
    <w:rsid w:val="00017F94"/>
    <w:rsid w:val="00023842"/>
    <w:rsid w:val="000334F9"/>
    <w:rsid w:val="00045FEB"/>
    <w:rsid w:val="0007796D"/>
    <w:rsid w:val="000A42AD"/>
    <w:rsid w:val="000B7790"/>
    <w:rsid w:val="000C1694"/>
    <w:rsid w:val="00111F2F"/>
    <w:rsid w:val="0014365E"/>
    <w:rsid w:val="00143C66"/>
    <w:rsid w:val="00176178"/>
    <w:rsid w:val="00196DEC"/>
    <w:rsid w:val="001F525A"/>
    <w:rsid w:val="002201F3"/>
    <w:rsid w:val="00223272"/>
    <w:rsid w:val="00227B3A"/>
    <w:rsid w:val="0024779E"/>
    <w:rsid w:val="00257168"/>
    <w:rsid w:val="002744B8"/>
    <w:rsid w:val="002832AC"/>
    <w:rsid w:val="002D7C93"/>
    <w:rsid w:val="002E2213"/>
    <w:rsid w:val="00305801"/>
    <w:rsid w:val="0038343A"/>
    <w:rsid w:val="003916DE"/>
    <w:rsid w:val="003D258F"/>
    <w:rsid w:val="00421996"/>
    <w:rsid w:val="00441C3B"/>
    <w:rsid w:val="00446FE5"/>
    <w:rsid w:val="00452396"/>
    <w:rsid w:val="004837D8"/>
    <w:rsid w:val="004B0E41"/>
    <w:rsid w:val="004E2EED"/>
    <w:rsid w:val="004E468C"/>
    <w:rsid w:val="00505BFE"/>
    <w:rsid w:val="00541F37"/>
    <w:rsid w:val="005505B7"/>
    <w:rsid w:val="00573BE5"/>
    <w:rsid w:val="00586ED3"/>
    <w:rsid w:val="00596AA9"/>
    <w:rsid w:val="005D6E28"/>
    <w:rsid w:val="00600BDD"/>
    <w:rsid w:val="006A097D"/>
    <w:rsid w:val="006B3F8A"/>
    <w:rsid w:val="006C1A26"/>
    <w:rsid w:val="0071601D"/>
    <w:rsid w:val="007A62E6"/>
    <w:rsid w:val="007B5C5E"/>
    <w:rsid w:val="007F20FA"/>
    <w:rsid w:val="0080684C"/>
    <w:rsid w:val="00871C75"/>
    <w:rsid w:val="008776DC"/>
    <w:rsid w:val="009446C0"/>
    <w:rsid w:val="009705C8"/>
    <w:rsid w:val="009C1CF4"/>
    <w:rsid w:val="009F6B74"/>
    <w:rsid w:val="00A30068"/>
    <w:rsid w:val="00A3029F"/>
    <w:rsid w:val="00A30353"/>
    <w:rsid w:val="00A74EA2"/>
    <w:rsid w:val="00AA496E"/>
    <w:rsid w:val="00AC3823"/>
    <w:rsid w:val="00AE323C"/>
    <w:rsid w:val="00AF0CB5"/>
    <w:rsid w:val="00B00181"/>
    <w:rsid w:val="00B00B0D"/>
    <w:rsid w:val="00B02FFB"/>
    <w:rsid w:val="00B45F2E"/>
    <w:rsid w:val="00B765F7"/>
    <w:rsid w:val="00BA0CA9"/>
    <w:rsid w:val="00C02897"/>
    <w:rsid w:val="00C97039"/>
    <w:rsid w:val="00D26327"/>
    <w:rsid w:val="00D3439C"/>
    <w:rsid w:val="00D90D9B"/>
    <w:rsid w:val="00DA1E1D"/>
    <w:rsid w:val="00DB1831"/>
    <w:rsid w:val="00DB675E"/>
    <w:rsid w:val="00DC205A"/>
    <w:rsid w:val="00DD3BFD"/>
    <w:rsid w:val="00DF6678"/>
    <w:rsid w:val="00E0299A"/>
    <w:rsid w:val="00E82986"/>
    <w:rsid w:val="00E85C74"/>
    <w:rsid w:val="00EA6547"/>
    <w:rsid w:val="00ED4D7F"/>
    <w:rsid w:val="00EF2E22"/>
    <w:rsid w:val="00F24FE5"/>
    <w:rsid w:val="00F35BAF"/>
    <w:rsid w:val="00F660DF"/>
    <w:rsid w:val="00F94664"/>
    <w:rsid w:val="00F9573C"/>
    <w:rsid w:val="00F95C08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2E7225C-FC9C-490C-B371-C2FFBD01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26327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ECE/TRANS/WP.29/GRVA/2019/11</vt:lpstr>
      <vt:lpstr>ECE/TRANS/WP.29/GRVA/2019/11</vt:lpstr>
    </vt:vector>
  </TitlesOfParts>
  <Company>DCM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ECE/TRANS/WP.29/GRVA/2019/11</dc:title>
  <dc:subject/>
  <dc:creator>Christine  CHAUTAGNAT</dc:creator>
  <cp:keywords/>
  <cp:lastModifiedBy>Benedicte Boudol</cp:lastModifiedBy>
  <cp:revision>2</cp:revision>
  <cp:lastPrinted>2018-12-12T12:54:00Z</cp:lastPrinted>
  <dcterms:created xsi:type="dcterms:W3CDTF">2018-12-13T08:55:00Z</dcterms:created>
  <dcterms:modified xsi:type="dcterms:W3CDTF">2018-12-13T08:55:00Z</dcterms:modified>
</cp:coreProperties>
</file>