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F617447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D075B44" w14:textId="77777777" w:rsidR="00F35BAF" w:rsidRPr="00DB58B5" w:rsidRDefault="00F35BAF" w:rsidP="00663A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E44FF5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803A86E" w14:textId="77777777" w:rsidR="00F35BAF" w:rsidRPr="00DB58B5" w:rsidRDefault="00663A7F" w:rsidP="00663A7F">
            <w:pPr>
              <w:jc w:val="right"/>
            </w:pPr>
            <w:r w:rsidRPr="00663A7F">
              <w:rPr>
                <w:sz w:val="40"/>
              </w:rPr>
              <w:t>ECE</w:t>
            </w:r>
            <w:r>
              <w:t>/TRANS/WP.29/GRSP/2019/28</w:t>
            </w:r>
          </w:p>
        </w:tc>
      </w:tr>
      <w:tr w:rsidR="00F35BAF" w:rsidRPr="00DB58B5" w14:paraId="45D2874F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8B6AC6D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203BE96" wp14:editId="04B3406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0182E7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C079F53" w14:textId="77777777" w:rsidR="00F35BAF" w:rsidRDefault="00663A7F" w:rsidP="00C97039">
            <w:pPr>
              <w:spacing w:before="240"/>
            </w:pPr>
            <w:r>
              <w:t>Distr. générale</w:t>
            </w:r>
          </w:p>
          <w:p w14:paraId="2B7810F7" w14:textId="77777777" w:rsidR="00663A7F" w:rsidRDefault="00663A7F" w:rsidP="00663A7F">
            <w:pPr>
              <w:spacing w:line="240" w:lineRule="exact"/>
            </w:pPr>
            <w:r>
              <w:t>26 septembre 2019</w:t>
            </w:r>
          </w:p>
          <w:p w14:paraId="382F9718" w14:textId="77777777" w:rsidR="00663A7F" w:rsidRDefault="00663A7F" w:rsidP="00663A7F">
            <w:pPr>
              <w:spacing w:line="240" w:lineRule="exact"/>
            </w:pPr>
            <w:r>
              <w:t>Français</w:t>
            </w:r>
          </w:p>
          <w:p w14:paraId="14C43283" w14:textId="77777777" w:rsidR="00663A7F" w:rsidRPr="00DB58B5" w:rsidRDefault="00663A7F" w:rsidP="00663A7F">
            <w:pPr>
              <w:spacing w:line="240" w:lineRule="exact"/>
            </w:pPr>
            <w:r>
              <w:t>Original : anglais</w:t>
            </w:r>
          </w:p>
        </w:tc>
      </w:tr>
    </w:tbl>
    <w:p w14:paraId="389DB29F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A28DC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14DA5E33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85C753D" w14:textId="77777777" w:rsidR="00663A7F" w:rsidRDefault="00663A7F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0A28DC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E0A6D2B" w14:textId="77777777" w:rsidR="00663A7F" w:rsidRDefault="00663A7F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14:paraId="610AD373" w14:textId="77777777" w:rsidR="00663A7F" w:rsidRDefault="00663A7F" w:rsidP="00257168">
      <w:pPr>
        <w:spacing w:before="120" w:line="240" w:lineRule="exact"/>
        <w:rPr>
          <w:b/>
        </w:rPr>
      </w:pPr>
      <w:r w:rsidRPr="00A96434">
        <w:rPr>
          <w:b/>
        </w:rPr>
        <w:t xml:space="preserve">Soixante-sixième </w:t>
      </w:r>
      <w:r>
        <w:rPr>
          <w:b/>
        </w:rPr>
        <w:t>session</w:t>
      </w:r>
    </w:p>
    <w:p w14:paraId="775ED1E5" w14:textId="77777777" w:rsidR="00663A7F" w:rsidRDefault="00663A7F" w:rsidP="00257168">
      <w:pPr>
        <w:spacing w:line="240" w:lineRule="exact"/>
      </w:pPr>
      <w:r>
        <w:t xml:space="preserve">Genève, </w:t>
      </w:r>
      <w:r w:rsidRPr="00A96434">
        <w:rPr>
          <w:bCs/>
        </w:rPr>
        <w:t>10</w:t>
      </w:r>
      <w:r w:rsidRPr="00A96434">
        <w:t>-</w:t>
      </w:r>
      <w:r w:rsidRPr="00A96434">
        <w:rPr>
          <w:bCs/>
        </w:rPr>
        <w:t>13 décembre 2019</w:t>
      </w:r>
    </w:p>
    <w:p w14:paraId="0BA72658" w14:textId="77777777" w:rsidR="00663A7F" w:rsidRDefault="00663A7F" w:rsidP="00257168">
      <w:pPr>
        <w:spacing w:line="240" w:lineRule="exact"/>
      </w:pPr>
      <w:r>
        <w:t>Point 13 de l</w:t>
      </w:r>
      <w:r w:rsidR="000A28DC">
        <w:t>’</w:t>
      </w:r>
      <w:r>
        <w:t>ordre du jour provisoire</w:t>
      </w:r>
    </w:p>
    <w:p w14:paraId="2676C407" w14:textId="77777777" w:rsidR="00663A7F" w:rsidRPr="00871E00" w:rsidRDefault="00663A7F" w:rsidP="00663A7F">
      <w:r>
        <w:rPr>
          <w:b/>
        </w:rPr>
        <w:t xml:space="preserve">Règlement </w:t>
      </w:r>
      <w:r w:rsidRPr="00871E00">
        <w:rPr>
          <w:b/>
        </w:rPr>
        <w:t>ONU n</w:t>
      </w:r>
      <w:r w:rsidR="005220C5">
        <w:rPr>
          <w:b/>
          <w:vertAlign w:val="superscript"/>
        </w:rPr>
        <w:t>o</w:t>
      </w:r>
      <w:r w:rsidR="005220C5" w:rsidRPr="005220C5">
        <w:rPr>
          <w:b/>
        </w:rPr>
        <w:t> </w:t>
      </w:r>
      <w:r w:rsidRPr="00871E00">
        <w:rPr>
          <w:b/>
        </w:rPr>
        <w:t>44 (Dispositifs de retenue pour enfants)</w:t>
      </w:r>
    </w:p>
    <w:p w14:paraId="354B1404" w14:textId="77777777" w:rsidR="00663A7F" w:rsidRPr="00871E00" w:rsidRDefault="00663A7F" w:rsidP="00663A7F">
      <w:pPr>
        <w:pStyle w:val="HChG"/>
      </w:pPr>
      <w:r w:rsidRPr="00871E00">
        <w:tab/>
      </w:r>
      <w:r w:rsidRPr="00871E00">
        <w:tab/>
        <w:t>Proposition de complément 18 à la série 04 d</w:t>
      </w:r>
      <w:r w:rsidR="000A28DC">
        <w:t>’</w:t>
      </w:r>
      <w:r w:rsidRPr="00871E00">
        <w:t xml:space="preserve">amendements au </w:t>
      </w:r>
      <w:r>
        <w:t xml:space="preserve">Règlement ONU </w:t>
      </w:r>
      <w:r w:rsidRPr="00871E00">
        <w:t>n</w:t>
      </w:r>
      <w:r w:rsidRPr="00871E00">
        <w:rPr>
          <w:vertAlign w:val="superscript"/>
        </w:rPr>
        <w:t>o</w:t>
      </w:r>
      <w:r w:rsidRPr="00663A7F">
        <w:t> </w:t>
      </w:r>
      <w:r w:rsidRPr="00871E00">
        <w:t xml:space="preserve">44 (Dispositifs de retenue </w:t>
      </w:r>
      <w:r>
        <w:br/>
      </w:r>
      <w:r w:rsidRPr="00871E00">
        <w:t>pour enfants)</w:t>
      </w:r>
    </w:p>
    <w:p w14:paraId="1C4B9E45" w14:textId="77777777" w:rsidR="00663A7F" w:rsidRPr="00871E00" w:rsidRDefault="00663A7F" w:rsidP="00663A7F">
      <w:pPr>
        <w:pStyle w:val="H1G"/>
      </w:pPr>
      <w:r w:rsidRPr="00871E00">
        <w:tab/>
      </w:r>
      <w:r w:rsidRPr="00871E00">
        <w:tab/>
        <w:t>Communication de l</w:t>
      </w:r>
      <w:r w:rsidR="000A28DC">
        <w:t>’</w:t>
      </w:r>
      <w:r w:rsidRPr="00871E00">
        <w:t>expert de la Commission européenne</w:t>
      </w:r>
      <w:r w:rsidRPr="00663A7F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1C03751E" w14:textId="77777777" w:rsidR="00F9573C" w:rsidRDefault="00663A7F" w:rsidP="00663A7F">
      <w:pPr>
        <w:pStyle w:val="SingleTxtG"/>
        <w:ind w:firstLine="567"/>
      </w:pPr>
      <w:r w:rsidRPr="00871E00">
        <w:t>Le texte ci-après, établi par l</w:t>
      </w:r>
      <w:r w:rsidR="000A28DC">
        <w:t>’</w:t>
      </w:r>
      <w:r w:rsidRPr="00871E00">
        <w:t xml:space="preserve">expert de la Commission européenne, vise à </w:t>
      </w:r>
      <w:r>
        <w:t xml:space="preserve">introduire un amendement au Règlement </w:t>
      </w:r>
      <w:r w:rsidRPr="00871E00">
        <w:t xml:space="preserve">ONU </w:t>
      </w:r>
      <w:r>
        <w:t>n</w:t>
      </w:r>
      <w:r w:rsidRPr="00663A7F">
        <w:rPr>
          <w:vertAlign w:val="superscript"/>
        </w:rPr>
        <w:t>o</w:t>
      </w:r>
      <w:r>
        <w:t> </w:t>
      </w:r>
      <w:r w:rsidRPr="00871E00">
        <w:t>44 (Disp</w:t>
      </w:r>
      <w:bookmarkStart w:id="0" w:name="_GoBack"/>
      <w:bookmarkEnd w:id="0"/>
      <w:r w:rsidRPr="00871E00">
        <w:t>ositifs de retenue pour enfants). Les modifications qu</w:t>
      </w:r>
      <w:r w:rsidR="000A28DC">
        <w:t>’</w:t>
      </w:r>
      <w:r w:rsidRPr="00871E00">
        <w:t>il est proposé d</w:t>
      </w:r>
      <w:r w:rsidR="000A28DC">
        <w:t>’</w:t>
      </w:r>
      <w:r w:rsidRPr="00871E00">
        <w:t xml:space="preserve">apporter au texte actuel du </w:t>
      </w:r>
      <w:r>
        <w:t>Règlement</w:t>
      </w:r>
      <w:r w:rsidRPr="00871E00">
        <w:t xml:space="preserve"> ONU sont indiquées en caractères gras pour les ajouts ou biffés pour les suppressions.</w:t>
      </w:r>
    </w:p>
    <w:p w14:paraId="4BB0AE47" w14:textId="77777777" w:rsidR="00663A7F" w:rsidRPr="00E57755" w:rsidRDefault="00663A7F" w:rsidP="00663A7F">
      <w:pPr>
        <w:pStyle w:val="HChG"/>
      </w:pPr>
      <w:r>
        <w:br w:type="page"/>
      </w:r>
      <w:r w:rsidRPr="00871E00">
        <w:lastRenderedPageBreak/>
        <w:tab/>
      </w:r>
      <w:r w:rsidRPr="00E57755">
        <w:t>I.</w:t>
      </w:r>
      <w:r w:rsidRPr="00E57755">
        <w:tab/>
        <w:t>Propos</w:t>
      </w:r>
      <w:r>
        <w:t>ition</w:t>
      </w:r>
    </w:p>
    <w:p w14:paraId="541AC457" w14:textId="77777777" w:rsidR="00663A7F" w:rsidRPr="00534C0D" w:rsidRDefault="00663A7F" w:rsidP="00663A7F">
      <w:pPr>
        <w:pStyle w:val="SingleTxtG"/>
      </w:pPr>
      <w:r w:rsidRPr="00663A7F">
        <w:rPr>
          <w:i/>
        </w:rPr>
        <w:t>Ajouter un nouveau paragraphe 1.2</w:t>
      </w:r>
      <w:r w:rsidRPr="00534C0D">
        <w:t xml:space="preserve">, </w:t>
      </w:r>
      <w:r>
        <w:t>comme suit </w:t>
      </w:r>
      <w:r w:rsidRPr="00534C0D">
        <w:t>:</w:t>
      </w:r>
    </w:p>
    <w:p w14:paraId="21EB22B0" w14:textId="77777777" w:rsidR="00663A7F" w:rsidRPr="00F1739B" w:rsidRDefault="00663A7F" w:rsidP="00663A7F">
      <w:pPr>
        <w:pStyle w:val="SingleTxtG"/>
        <w:ind w:left="2268" w:hanging="1134"/>
        <w:rPr>
          <w:b/>
        </w:rPr>
      </w:pPr>
      <w:r w:rsidRPr="00F1739B">
        <w:t>«</w:t>
      </w:r>
      <w:r w:rsidR="005220C5">
        <w:t> </w:t>
      </w:r>
      <w:r w:rsidRPr="00F1739B">
        <w:rPr>
          <w:b/>
        </w:rPr>
        <w:t>1.2</w:t>
      </w:r>
      <w:r w:rsidRPr="00F1739B">
        <w:rPr>
          <w:b/>
        </w:rPr>
        <w:tab/>
        <w:t>Le pr</w:t>
      </w:r>
      <w:r>
        <w:rPr>
          <w:b/>
        </w:rPr>
        <w:t>é</w:t>
      </w:r>
      <w:r w:rsidRPr="00F1739B">
        <w:rPr>
          <w:b/>
        </w:rPr>
        <w:t>sent Règlement interdit express</w:t>
      </w:r>
      <w:r>
        <w:rPr>
          <w:b/>
        </w:rPr>
        <w:t>é</w:t>
      </w:r>
      <w:r w:rsidRPr="00F1739B">
        <w:rPr>
          <w:b/>
        </w:rPr>
        <w:t xml:space="preserve">ment </w:t>
      </w:r>
      <w:r>
        <w:rPr>
          <w:b/>
        </w:rPr>
        <w:t>d</w:t>
      </w:r>
      <w:r w:rsidR="000A28DC">
        <w:rPr>
          <w:b/>
        </w:rPr>
        <w:t>’</w:t>
      </w:r>
      <w:r>
        <w:rPr>
          <w:b/>
        </w:rPr>
        <w:t xml:space="preserve">utiliser comme système </w:t>
      </w:r>
      <w:r w:rsidRPr="00F1739B">
        <w:rPr>
          <w:b/>
        </w:rPr>
        <w:t xml:space="preserve">de retenue pour enfants les dispositifs de guidage de la ceinture ou </w:t>
      </w:r>
      <w:r>
        <w:rPr>
          <w:b/>
        </w:rPr>
        <w:t>d</w:t>
      </w:r>
      <w:r w:rsidR="000A28DC">
        <w:rPr>
          <w:b/>
        </w:rPr>
        <w:t>’</w:t>
      </w:r>
      <w:r w:rsidRPr="00F1739B">
        <w:rPr>
          <w:b/>
        </w:rPr>
        <w:t>autres dispositifs d</w:t>
      </w:r>
      <w:r w:rsidR="000A28DC">
        <w:rPr>
          <w:b/>
        </w:rPr>
        <w:t>’</w:t>
      </w:r>
      <w:r w:rsidRPr="00F1739B">
        <w:rPr>
          <w:b/>
        </w:rPr>
        <w:t>assise qu</w:t>
      </w:r>
      <w:r>
        <w:rPr>
          <w:b/>
        </w:rPr>
        <w:t>i sont dangereux et peuvent blesser les enfants en cas de collision, quels que soient les résultats des épreuves obtenus conformément au</w:t>
      </w:r>
      <w:r w:rsidRPr="00F1739B">
        <w:rPr>
          <w:b/>
        </w:rPr>
        <w:t xml:space="preserve"> paragraph</w:t>
      </w:r>
      <w:r>
        <w:rPr>
          <w:b/>
        </w:rPr>
        <w:t>e</w:t>
      </w:r>
      <w:r w:rsidRPr="00F1739B">
        <w:rPr>
          <w:b/>
        </w:rPr>
        <w:t xml:space="preserve"> 8.</w:t>
      </w:r>
    </w:p>
    <w:p w14:paraId="549E6EB0" w14:textId="77777777" w:rsidR="00663A7F" w:rsidRDefault="00663A7F" w:rsidP="00663A7F">
      <w:pPr>
        <w:pStyle w:val="SingleTxtG"/>
        <w:ind w:left="2268"/>
        <w:rPr>
          <w:b/>
        </w:rPr>
      </w:pPr>
      <w:r w:rsidRPr="00605EA2">
        <w:rPr>
          <w:b/>
        </w:rPr>
        <w:t xml:space="preserve">Cette disposition </w:t>
      </w:r>
      <w:r>
        <w:rPr>
          <w:b/>
        </w:rPr>
        <w:t>s</w:t>
      </w:r>
      <w:r w:rsidR="000A28DC">
        <w:rPr>
          <w:b/>
        </w:rPr>
        <w:t>’</w:t>
      </w:r>
      <w:r>
        <w:rPr>
          <w:b/>
        </w:rPr>
        <w:t>applique notamment aux</w:t>
      </w:r>
      <w:r w:rsidRPr="00605EA2">
        <w:rPr>
          <w:b/>
        </w:rPr>
        <w:t xml:space="preserve"> dispositifs de guidage de la ceinture destinés aux enfants pesant entre 15 et 36 kg qui se fixent ou s</w:t>
      </w:r>
      <w:r w:rsidR="000A28DC">
        <w:rPr>
          <w:b/>
        </w:rPr>
        <w:t>’</w:t>
      </w:r>
      <w:r w:rsidRPr="00605EA2">
        <w:rPr>
          <w:b/>
        </w:rPr>
        <w:t>attachent à la sangle sous-abdominale ainsi qu</w:t>
      </w:r>
      <w:r w:rsidR="000A28DC">
        <w:rPr>
          <w:b/>
        </w:rPr>
        <w:t>’</w:t>
      </w:r>
      <w:r>
        <w:rPr>
          <w:b/>
        </w:rPr>
        <w:t xml:space="preserve">à </w:t>
      </w:r>
      <w:r w:rsidRPr="00605EA2">
        <w:rPr>
          <w:b/>
        </w:rPr>
        <w:t>la sangle d</w:t>
      </w:r>
      <w:r w:rsidR="000A28DC">
        <w:rPr>
          <w:b/>
        </w:rPr>
        <w:t>’</w:t>
      </w:r>
      <w:r w:rsidRPr="00605EA2">
        <w:rPr>
          <w:b/>
        </w:rPr>
        <w:t>épaule d</w:t>
      </w:r>
      <w:r w:rsidR="000A28DC">
        <w:rPr>
          <w:b/>
        </w:rPr>
        <w:t>’</w:t>
      </w:r>
      <w:r>
        <w:rPr>
          <w:b/>
        </w:rPr>
        <w:t>une</w:t>
      </w:r>
      <w:r w:rsidRPr="00605EA2">
        <w:rPr>
          <w:b/>
        </w:rPr>
        <w:t xml:space="preserve"> </w:t>
      </w:r>
      <w:r>
        <w:rPr>
          <w:b/>
        </w:rPr>
        <w:t>ceinture de sécurité pour adultes à trois points dans le but de modifier le trajet de la ceinture de sécurité pour adultes, par exemple en abaissant la sangle d</w:t>
      </w:r>
      <w:r w:rsidR="000A28DC">
        <w:rPr>
          <w:b/>
        </w:rPr>
        <w:t>’</w:t>
      </w:r>
      <w:r>
        <w:rPr>
          <w:b/>
        </w:rPr>
        <w:t>épaule ou en rapprochant la sangle sous</w:t>
      </w:r>
      <w:r w:rsidR="00432072">
        <w:rPr>
          <w:b/>
        </w:rPr>
        <w:noBreakHyphen/>
      </w:r>
      <w:r>
        <w:rPr>
          <w:b/>
        </w:rPr>
        <w:t>abdominale et la sangle d</w:t>
      </w:r>
      <w:r w:rsidR="000A28DC">
        <w:rPr>
          <w:b/>
        </w:rPr>
        <w:t>’</w:t>
      </w:r>
      <w:r>
        <w:rPr>
          <w:b/>
        </w:rPr>
        <w:t>épaule</w:t>
      </w:r>
      <w:r w:rsidRPr="00605EA2">
        <w:rPr>
          <w:b/>
        </w:rPr>
        <w:t xml:space="preserve">. </w:t>
      </w:r>
      <w:r w:rsidRPr="003754FC">
        <w:rPr>
          <w:b/>
        </w:rPr>
        <w:t xml:space="preserve">Des exemples de ces dispositifs </w:t>
      </w:r>
      <w:r>
        <w:rPr>
          <w:b/>
        </w:rPr>
        <w:t>non conformes sont présentés ci-dessous</w:t>
      </w:r>
      <w:r w:rsidRPr="003754FC">
        <w:rPr>
          <w:b/>
        </w:rPr>
        <w:t>.</w:t>
      </w:r>
    </w:p>
    <w:p w14:paraId="5D092AFB" w14:textId="77777777" w:rsidR="00663A7F" w:rsidRDefault="00663A7F" w:rsidP="00663A7F">
      <w:pPr>
        <w:pStyle w:val="SingleTxtG"/>
        <w:spacing w:before="240"/>
        <w:ind w:left="2268"/>
      </w:pPr>
      <w:r w:rsidRPr="00E57755">
        <w:rPr>
          <w:noProof/>
          <w:lang w:eastAsia="fr-CH"/>
        </w:rPr>
        <w:drawing>
          <wp:inline distT="0" distB="0" distL="0" distR="0" wp14:anchorId="6BBAAD4C" wp14:editId="73971C71">
            <wp:extent cx="1560647" cy="2169034"/>
            <wp:effectExtent l="0" t="0" r="1905" b="3175"/>
            <wp:docPr id="13" name="Image 13" descr="C:\Users\fbendjellal\AppData\Local\Microsoft\Windows\INetCache\Content.Outlook\LW62YJH6\190911_Smart Kid Belt_01_positon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bendjellal\AppData\Local\Microsoft\Windows\INetCache\Content.Outlook\LW62YJH6\190911_Smart Kid Belt_01_positon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924" cy="219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755">
        <w:rPr>
          <w:noProof/>
          <w:lang w:eastAsia="fr-CH"/>
        </w:rPr>
        <w:drawing>
          <wp:inline distT="0" distB="0" distL="0" distR="0" wp14:anchorId="072B012F" wp14:editId="17D90B5E">
            <wp:extent cx="1654175" cy="1677035"/>
            <wp:effectExtent l="0" t="0" r="3175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81"/>
                    <a:stretch/>
                  </pic:blipFill>
                  <pic:spPr bwMode="auto">
                    <a:xfrm>
                      <a:off x="0" y="0"/>
                      <a:ext cx="1654175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C2BF3E" w14:textId="77777777" w:rsidR="00663A7F" w:rsidRPr="00E1788E" w:rsidRDefault="00663A7F" w:rsidP="005220C5">
      <w:pPr>
        <w:pStyle w:val="SingleTxtG"/>
        <w:ind w:left="2268"/>
      </w:pPr>
      <w:r w:rsidRPr="00E1788E">
        <w:rPr>
          <w:b/>
        </w:rPr>
        <w:t>Cette disposition s</w:t>
      </w:r>
      <w:r w:rsidR="000A28DC">
        <w:rPr>
          <w:b/>
        </w:rPr>
        <w:t>’</w:t>
      </w:r>
      <w:r w:rsidRPr="00E1788E">
        <w:rPr>
          <w:b/>
        </w:rPr>
        <w:t>applique également aux dispositifs d</w:t>
      </w:r>
      <w:r w:rsidR="000A28DC">
        <w:rPr>
          <w:b/>
        </w:rPr>
        <w:t>’</w:t>
      </w:r>
      <w:r w:rsidRPr="00E1788E">
        <w:rPr>
          <w:b/>
        </w:rPr>
        <w:t xml:space="preserve">assise qui </w:t>
      </w:r>
      <w:r>
        <w:rPr>
          <w:b/>
        </w:rPr>
        <w:t>ne peuvent être utilisés par</w:t>
      </w:r>
      <w:r w:rsidRPr="00E1788E">
        <w:rPr>
          <w:b/>
        </w:rPr>
        <w:t xml:space="preserve"> un enfant à moins d</w:t>
      </w:r>
      <w:r w:rsidR="000A28DC">
        <w:rPr>
          <w:b/>
        </w:rPr>
        <w:t>’</w:t>
      </w:r>
      <w:r w:rsidRPr="00E1788E">
        <w:rPr>
          <w:b/>
        </w:rPr>
        <w:t xml:space="preserve">être convenablement gonflés </w:t>
      </w:r>
      <w:r>
        <w:rPr>
          <w:b/>
        </w:rPr>
        <w:t>et aux</w:t>
      </w:r>
      <w:r w:rsidRPr="00E1788E">
        <w:rPr>
          <w:b/>
        </w:rPr>
        <w:t xml:space="preserve"> autres dispositifs compacts d</w:t>
      </w:r>
      <w:r w:rsidR="000A28DC">
        <w:rPr>
          <w:b/>
        </w:rPr>
        <w:t>’</w:t>
      </w:r>
      <w:r w:rsidRPr="00E1788E">
        <w:rPr>
          <w:b/>
        </w:rPr>
        <w:t>assise qui tentent de guider la sangle sous-abdominale en l</w:t>
      </w:r>
      <w:r w:rsidR="000A28DC">
        <w:rPr>
          <w:b/>
        </w:rPr>
        <w:t>’</w:t>
      </w:r>
      <w:r w:rsidRPr="00E1788E">
        <w:rPr>
          <w:b/>
        </w:rPr>
        <w:t>abaissant ou en l</w:t>
      </w:r>
      <w:r w:rsidR="000A28DC">
        <w:rPr>
          <w:b/>
        </w:rPr>
        <w:t>’</w:t>
      </w:r>
      <w:r w:rsidRPr="00E1788E">
        <w:rPr>
          <w:b/>
        </w:rPr>
        <w:t>avançant juste au</w:t>
      </w:r>
      <w:r w:rsidR="00432072">
        <w:rPr>
          <w:b/>
        </w:rPr>
        <w:noBreakHyphen/>
      </w:r>
      <w:r w:rsidRPr="00E1788E">
        <w:rPr>
          <w:b/>
        </w:rPr>
        <w:t>dessus du cous</w:t>
      </w:r>
      <w:r>
        <w:rPr>
          <w:b/>
        </w:rPr>
        <w:t>s</w:t>
      </w:r>
      <w:r w:rsidRPr="00E1788E">
        <w:rPr>
          <w:b/>
        </w:rPr>
        <w:t xml:space="preserve">in du siège, au lieu </w:t>
      </w:r>
      <w:r>
        <w:rPr>
          <w:b/>
        </w:rPr>
        <w:t>de relever sensiblement l</w:t>
      </w:r>
      <w:r w:rsidR="000A28DC">
        <w:rPr>
          <w:b/>
        </w:rPr>
        <w:t>’</w:t>
      </w:r>
      <w:r>
        <w:rPr>
          <w:b/>
        </w:rPr>
        <w:t>assise de l</w:t>
      </w:r>
      <w:r w:rsidR="000A28DC">
        <w:rPr>
          <w:b/>
        </w:rPr>
        <w:t>’</w:t>
      </w:r>
      <w:r>
        <w:rPr>
          <w:b/>
        </w:rPr>
        <w:t>enfant à la hauteur de la position assise normale dans le véhicule et des ancrages inférieurs de la ceinture de sécurité adulte correspondante</w:t>
      </w:r>
      <w:r w:rsidRPr="00E1788E">
        <w:rPr>
          <w:b/>
        </w:rPr>
        <w:t>.</w:t>
      </w:r>
      <w:r w:rsidR="005220C5">
        <w:rPr>
          <w:b/>
        </w:rPr>
        <w:t> </w:t>
      </w:r>
      <w:r w:rsidRPr="00E1788E">
        <w:t>»</w:t>
      </w:r>
      <w:r w:rsidR="005220C5">
        <w:t>.</w:t>
      </w:r>
    </w:p>
    <w:p w14:paraId="212F821F" w14:textId="77777777" w:rsidR="00663A7F" w:rsidRPr="0059037C" w:rsidRDefault="00663A7F" w:rsidP="005220C5">
      <w:pPr>
        <w:pStyle w:val="SingleTxtG"/>
      </w:pPr>
      <w:r w:rsidRPr="0059037C">
        <w:rPr>
          <w:i/>
        </w:rPr>
        <w:t>Modifier le paragraphe 17.15</w:t>
      </w:r>
      <w:r w:rsidR="00432072">
        <w:rPr>
          <w:i/>
        </w:rPr>
        <w:t>,</w:t>
      </w:r>
      <w:r w:rsidRPr="0059037C">
        <w:t xml:space="preserve"> comme suit</w:t>
      </w:r>
      <w:r w:rsidR="005220C5">
        <w:t> </w:t>
      </w:r>
      <w:r w:rsidRPr="0059037C">
        <w:t>:</w:t>
      </w:r>
    </w:p>
    <w:p w14:paraId="369F9583" w14:textId="77777777" w:rsidR="00663A7F" w:rsidRPr="006433B1" w:rsidRDefault="00663A7F" w:rsidP="005220C5">
      <w:pPr>
        <w:pStyle w:val="SingleTxtG"/>
        <w:ind w:left="2268" w:hanging="1134"/>
      </w:pPr>
      <w:r>
        <w:t>«</w:t>
      </w:r>
      <w:r w:rsidR="005220C5">
        <w:t> </w:t>
      </w:r>
      <w:r w:rsidRPr="00E57755">
        <w:t>17.15</w:t>
      </w:r>
      <w:r w:rsidRPr="00E57755">
        <w:tab/>
      </w:r>
      <w:r w:rsidRPr="0059037C">
        <w:t xml:space="preserve">À compter de la date </w:t>
      </w:r>
      <w:r w:rsidRPr="0066340A">
        <w:rPr>
          <w:b/>
        </w:rPr>
        <w:t>officielle</w:t>
      </w:r>
      <w:r w:rsidRPr="0066340A">
        <w:t xml:space="preserve"> </w:t>
      </w:r>
      <w:r w:rsidRPr="0059037C">
        <w:t>d</w:t>
      </w:r>
      <w:r w:rsidR="000A28DC">
        <w:t>’</w:t>
      </w:r>
      <w:r w:rsidRPr="0059037C">
        <w:t xml:space="preserve">entrée en vigueur du </w:t>
      </w:r>
      <w:r w:rsidRPr="006433B1">
        <w:t>complément</w:t>
      </w:r>
      <w:r w:rsidRPr="0059037C">
        <w:t xml:space="preserve"> </w:t>
      </w:r>
      <w:r w:rsidRPr="006433B1">
        <w:rPr>
          <w:strike/>
        </w:rPr>
        <w:t>4</w:t>
      </w:r>
      <w:r>
        <w:rPr>
          <w:strike/>
        </w:rPr>
        <w:t xml:space="preserve"> </w:t>
      </w:r>
      <w:r w:rsidRPr="0059037C">
        <w:rPr>
          <w:b/>
        </w:rPr>
        <w:t>18</w:t>
      </w:r>
      <w:r>
        <w:t xml:space="preserve"> </w:t>
      </w:r>
      <w:r w:rsidRPr="0059037C">
        <w:t>à la série 04 d</w:t>
      </w:r>
      <w:r w:rsidR="000A28DC">
        <w:t>’</w:t>
      </w:r>
      <w:r w:rsidRPr="0059037C">
        <w:t xml:space="preserve">amendements au présent Règlement, </w:t>
      </w:r>
      <w:r w:rsidRPr="0059037C">
        <w:rPr>
          <w:strike/>
        </w:rPr>
        <w:t>par dérogation aux obligations des</w:t>
      </w:r>
      <w:r>
        <w:rPr>
          <w:strike/>
        </w:rPr>
        <w:t>,</w:t>
      </w:r>
      <w:r w:rsidRPr="0059037C">
        <w:t xml:space="preserve"> </w:t>
      </w:r>
      <w:r w:rsidRPr="0059037C">
        <w:rPr>
          <w:b/>
        </w:rPr>
        <w:t>les</w:t>
      </w:r>
      <w:r>
        <w:t xml:space="preserve"> </w:t>
      </w:r>
      <w:r w:rsidRPr="0059037C">
        <w:t xml:space="preserve">Parties </w:t>
      </w:r>
      <w:r w:rsidRPr="0059037C">
        <w:rPr>
          <w:b/>
        </w:rPr>
        <w:t>appliquant ce Règlement</w:t>
      </w:r>
      <w:r>
        <w:t xml:space="preserve"> </w:t>
      </w:r>
      <w:r w:rsidRPr="0059037C">
        <w:rPr>
          <w:strike/>
        </w:rPr>
        <w:t>contractantes pendant la période transitoire définie au paragraphe 17.14, et sur la foi de la déclaration faite par la Communauté européenne au moment de son adhésion à l</w:t>
      </w:r>
      <w:r w:rsidR="000A28DC">
        <w:rPr>
          <w:strike/>
        </w:rPr>
        <w:t>’</w:t>
      </w:r>
      <w:r w:rsidRPr="0059037C">
        <w:rPr>
          <w:strike/>
        </w:rPr>
        <w:t>Accord de 1958 (notification dépositaire C.N.60.1998.TREATIES-28), les États membres de la Communauté européenne</w:t>
      </w:r>
      <w:r w:rsidRPr="0059037C">
        <w:t xml:space="preserve"> peuvent interdire la commercialisation </w:t>
      </w:r>
      <w:r w:rsidRPr="0059037C">
        <w:rPr>
          <w:b/>
        </w:rPr>
        <w:t>des dispositifs non conformes et</w:t>
      </w:r>
      <w:r>
        <w:t xml:space="preserve"> des </w:t>
      </w:r>
      <w:r w:rsidRPr="0059037C">
        <w:t xml:space="preserve">systèmes de retenue pour enfants qui ne satisfont pas aux prescriptions </w:t>
      </w:r>
      <w:r w:rsidRPr="0059037C">
        <w:rPr>
          <w:strike/>
        </w:rPr>
        <w:t>du complément 4 à</w:t>
      </w:r>
      <w:r w:rsidRPr="0059037C">
        <w:t xml:space="preserve"> </w:t>
      </w:r>
      <w:r>
        <w:t xml:space="preserve">de </w:t>
      </w:r>
      <w:r w:rsidRPr="0059037C">
        <w:t>la série 04 d</w:t>
      </w:r>
      <w:r w:rsidR="000A28DC">
        <w:t>’</w:t>
      </w:r>
      <w:r w:rsidRPr="0059037C">
        <w:t>amendements au présent Règlement</w:t>
      </w:r>
      <w:r w:rsidRPr="006433B1">
        <w:t>.</w:t>
      </w:r>
      <w:r w:rsidR="005220C5">
        <w:t> </w:t>
      </w:r>
      <w:r w:rsidRPr="006433B1">
        <w:t>»</w:t>
      </w:r>
      <w:r w:rsidR="005220C5">
        <w:t>.</w:t>
      </w:r>
    </w:p>
    <w:p w14:paraId="2337898D" w14:textId="77777777" w:rsidR="00663A7F" w:rsidRPr="006433B1" w:rsidRDefault="00663A7F" w:rsidP="005220C5">
      <w:pPr>
        <w:pStyle w:val="HChG"/>
        <w:rPr>
          <w:sz w:val="24"/>
        </w:rPr>
      </w:pPr>
      <w:r w:rsidRPr="006433B1">
        <w:rPr>
          <w:sz w:val="24"/>
        </w:rPr>
        <w:lastRenderedPageBreak/>
        <w:tab/>
      </w:r>
      <w:r w:rsidRPr="006433B1">
        <w:rPr>
          <w:snapToGrid w:val="0"/>
          <w:sz w:val="24"/>
          <w:lang w:eastAsia="ja-JP"/>
        </w:rPr>
        <w:t>II</w:t>
      </w:r>
      <w:r w:rsidRPr="006433B1">
        <w:rPr>
          <w:snapToGrid w:val="0"/>
          <w:sz w:val="24"/>
        </w:rPr>
        <w:t>.</w:t>
      </w:r>
      <w:r w:rsidRPr="006433B1">
        <w:rPr>
          <w:snapToGrid w:val="0"/>
          <w:sz w:val="24"/>
        </w:rPr>
        <w:tab/>
      </w:r>
      <w:r w:rsidRPr="005220C5">
        <w:t>Justification</w:t>
      </w:r>
    </w:p>
    <w:p w14:paraId="24A49A3A" w14:textId="77777777" w:rsidR="00663A7F" w:rsidRPr="006433B1" w:rsidRDefault="005220C5" w:rsidP="005220C5">
      <w:pPr>
        <w:pStyle w:val="SingleTxtG"/>
        <w:keepNext/>
        <w:keepLines/>
      </w:pPr>
      <w:r>
        <w:t>1.</w:t>
      </w:r>
      <w:r>
        <w:tab/>
      </w:r>
      <w:r w:rsidR="00663A7F" w:rsidRPr="006433B1">
        <w:t>Le Complément 11 à la série 04 d</w:t>
      </w:r>
      <w:r w:rsidR="000A28DC">
        <w:t>’</w:t>
      </w:r>
      <w:r w:rsidR="00663A7F" w:rsidRPr="006433B1">
        <w:t xml:space="preserve">amendements a </w:t>
      </w:r>
      <w:r w:rsidR="00663A7F">
        <w:t xml:space="preserve">tenté </w:t>
      </w:r>
      <w:r w:rsidR="00663A7F" w:rsidRPr="006433B1">
        <w:t>de régler le problème de l</w:t>
      </w:r>
      <w:r w:rsidR="000A28DC">
        <w:t>’</w:t>
      </w:r>
      <w:r w:rsidR="00663A7F" w:rsidRPr="006433B1">
        <w:t xml:space="preserve">approbation de dispositifs de </w:t>
      </w:r>
      <w:r w:rsidR="00663A7F">
        <w:t>guidage de ceinture dangereux en précisant qu</w:t>
      </w:r>
      <w:r w:rsidR="000A28DC">
        <w:t>’</w:t>
      </w:r>
      <w:r w:rsidR="00663A7F">
        <w:t xml:space="preserve">une </w:t>
      </w:r>
      <w:r w:rsidR="00663A7F" w:rsidRPr="00F274A9">
        <w:t>«</w:t>
      </w:r>
      <w:r>
        <w:t> </w:t>
      </w:r>
      <w:r w:rsidR="00663A7F" w:rsidRPr="00F274A9">
        <w:t>sangle guide</w:t>
      </w:r>
      <w:r>
        <w:t> </w:t>
      </w:r>
      <w:r w:rsidR="00663A7F" w:rsidRPr="00F274A9">
        <w:t>» fait partie intégrante d</w:t>
      </w:r>
      <w:r w:rsidR="000A28DC">
        <w:t>’</w:t>
      </w:r>
      <w:r w:rsidR="00663A7F" w:rsidRPr="00F274A9">
        <w:t>un système de retenue pour enfants et ne peut faire l</w:t>
      </w:r>
      <w:r w:rsidR="000A28DC">
        <w:t>’</w:t>
      </w:r>
      <w:r w:rsidR="00663A7F" w:rsidRPr="00F274A9">
        <w:t>objet d</w:t>
      </w:r>
      <w:r w:rsidR="000A28DC">
        <w:t>’</w:t>
      </w:r>
      <w:r w:rsidR="00663A7F" w:rsidRPr="00F274A9">
        <w:t>une homologation distincte en tant que système de retenue pour enfants</w:t>
      </w:r>
      <w:r w:rsidR="00663A7F">
        <w:t>.</w:t>
      </w:r>
    </w:p>
    <w:p w14:paraId="59BD58CB" w14:textId="77777777" w:rsidR="00663A7F" w:rsidRPr="00F94310" w:rsidRDefault="005220C5" w:rsidP="005220C5">
      <w:pPr>
        <w:pStyle w:val="SingleTxtG"/>
        <w:rPr>
          <w:rFonts w:eastAsia="MS Mincho"/>
        </w:rPr>
      </w:pPr>
      <w:r>
        <w:rPr>
          <w:rFonts w:eastAsia="MS Mincho"/>
        </w:rPr>
        <w:t>2.</w:t>
      </w:r>
      <w:r>
        <w:rPr>
          <w:rFonts w:eastAsia="MS Mincho"/>
        </w:rPr>
        <w:tab/>
      </w:r>
      <w:r w:rsidR="00663A7F" w:rsidRPr="00F94310">
        <w:rPr>
          <w:rFonts w:eastAsia="MS Mincho"/>
        </w:rPr>
        <w:t>Cela n</w:t>
      </w:r>
      <w:r w:rsidR="000A28DC">
        <w:rPr>
          <w:rFonts w:eastAsia="MS Mincho"/>
        </w:rPr>
        <w:t>’</w:t>
      </w:r>
      <w:r w:rsidR="00663A7F" w:rsidRPr="00F94310">
        <w:rPr>
          <w:rFonts w:eastAsia="MS Mincho"/>
        </w:rPr>
        <w:t xml:space="preserve">a cependant pas empêché </w:t>
      </w:r>
      <w:r w:rsidR="00663A7F">
        <w:rPr>
          <w:rFonts w:eastAsia="MS Mincho"/>
        </w:rPr>
        <w:t>plusieurs</w:t>
      </w:r>
      <w:r w:rsidR="00663A7F" w:rsidRPr="00F94310">
        <w:rPr>
          <w:rFonts w:eastAsia="MS Mincho"/>
        </w:rPr>
        <w:t xml:space="preserve"> agents économiques de tenter d</w:t>
      </w:r>
      <w:r w:rsidR="000A28DC">
        <w:rPr>
          <w:rFonts w:eastAsia="MS Mincho"/>
        </w:rPr>
        <w:t>’</w:t>
      </w:r>
      <w:r w:rsidR="00663A7F" w:rsidRPr="00F94310">
        <w:rPr>
          <w:rFonts w:eastAsia="MS Mincho"/>
        </w:rPr>
        <w:t xml:space="preserve">obtenir une homologation pour des types de produits similaires correspondant à la </w:t>
      </w:r>
      <w:r w:rsidR="00663A7F">
        <w:rPr>
          <w:rFonts w:eastAsia="MS Mincho"/>
        </w:rPr>
        <w:t>description ainsi que pour d</w:t>
      </w:r>
      <w:r w:rsidR="000A28DC">
        <w:rPr>
          <w:rFonts w:eastAsia="MS Mincho"/>
        </w:rPr>
        <w:t>’</w:t>
      </w:r>
      <w:r w:rsidR="00663A7F">
        <w:rPr>
          <w:rFonts w:eastAsia="MS Mincho"/>
        </w:rPr>
        <w:t>autres dispositifs d</w:t>
      </w:r>
      <w:r w:rsidR="000A28DC">
        <w:rPr>
          <w:rFonts w:eastAsia="MS Mincho"/>
        </w:rPr>
        <w:t>’</w:t>
      </w:r>
      <w:r w:rsidR="00663A7F">
        <w:rPr>
          <w:rFonts w:eastAsia="MS Mincho"/>
        </w:rPr>
        <w:t>assise inappropriés, et d</w:t>
      </w:r>
      <w:r w:rsidR="000A28DC">
        <w:rPr>
          <w:rFonts w:eastAsia="MS Mincho"/>
        </w:rPr>
        <w:t>’</w:t>
      </w:r>
      <w:r w:rsidR="00663A7F">
        <w:rPr>
          <w:rFonts w:eastAsia="MS Mincho"/>
        </w:rPr>
        <w:t>y parvenir.</w:t>
      </w:r>
    </w:p>
    <w:p w14:paraId="500446A7" w14:textId="77777777" w:rsidR="00663A7F" w:rsidRPr="00F94310" w:rsidRDefault="005220C5" w:rsidP="005220C5">
      <w:pPr>
        <w:pStyle w:val="SingleTxtG"/>
        <w:rPr>
          <w:rFonts w:eastAsia="MS Mincho"/>
        </w:rPr>
      </w:pPr>
      <w:r>
        <w:rPr>
          <w:rFonts w:eastAsia="MS Mincho"/>
        </w:rPr>
        <w:t>3.</w:t>
      </w:r>
      <w:r>
        <w:rPr>
          <w:rFonts w:eastAsia="MS Mincho"/>
        </w:rPr>
        <w:tab/>
      </w:r>
      <w:r w:rsidR="00663A7F" w:rsidRPr="00F94310">
        <w:rPr>
          <w:rFonts w:eastAsia="MS Mincho"/>
        </w:rPr>
        <w:t>Il est clair que l</w:t>
      </w:r>
      <w:r w:rsidR="000A28DC">
        <w:rPr>
          <w:rFonts w:eastAsia="MS Mincho"/>
        </w:rPr>
        <w:t>’</w:t>
      </w:r>
      <w:r w:rsidR="00663A7F" w:rsidRPr="00F94310">
        <w:rPr>
          <w:rFonts w:eastAsia="MS Mincho"/>
        </w:rPr>
        <w:t>approbation de ces dispositifs de guidage de ceinture et dispositifs d</w:t>
      </w:r>
      <w:r w:rsidR="000A28DC">
        <w:rPr>
          <w:rFonts w:eastAsia="MS Mincho"/>
        </w:rPr>
        <w:t>’</w:t>
      </w:r>
      <w:r w:rsidR="00663A7F" w:rsidRPr="00F94310">
        <w:rPr>
          <w:rFonts w:eastAsia="MS Mincho"/>
        </w:rPr>
        <w:t>assise e</w:t>
      </w:r>
      <w:r w:rsidR="00663A7F">
        <w:rPr>
          <w:rFonts w:eastAsia="MS Mincho"/>
        </w:rPr>
        <w:t>st le fruit d</w:t>
      </w:r>
      <w:r w:rsidR="000A28DC">
        <w:rPr>
          <w:rFonts w:eastAsia="MS Mincho"/>
        </w:rPr>
        <w:t>’</w:t>
      </w:r>
      <w:r w:rsidR="00663A7F">
        <w:rPr>
          <w:rFonts w:eastAsia="MS Mincho"/>
        </w:rPr>
        <w:t xml:space="preserve">une interprétation erronée du texte </w:t>
      </w:r>
      <w:r w:rsidR="00663A7F" w:rsidRPr="005220C5">
        <w:t>réglementaire</w:t>
      </w:r>
      <w:r w:rsidR="00663A7F">
        <w:rPr>
          <w:rFonts w:eastAsia="MS Mincho"/>
        </w:rPr>
        <w:t>.</w:t>
      </w:r>
    </w:p>
    <w:p w14:paraId="4F174584" w14:textId="77777777" w:rsidR="00663A7F" w:rsidRPr="00CC241E" w:rsidRDefault="005220C5" w:rsidP="005220C5">
      <w:pPr>
        <w:pStyle w:val="SingleTxtG"/>
        <w:rPr>
          <w:rFonts w:eastAsia="MS Mincho"/>
        </w:rPr>
      </w:pPr>
      <w:r>
        <w:rPr>
          <w:rFonts w:eastAsia="MS Mincho"/>
        </w:rPr>
        <w:t>4.</w:t>
      </w:r>
      <w:r>
        <w:rPr>
          <w:rFonts w:eastAsia="MS Mincho"/>
        </w:rPr>
        <w:tab/>
      </w:r>
      <w:r w:rsidR="00663A7F" w:rsidRPr="00F94310">
        <w:rPr>
          <w:rFonts w:eastAsia="MS Mincho"/>
        </w:rPr>
        <w:t>De nombreuses Parties contractantes et d</w:t>
      </w:r>
      <w:r w:rsidR="000A28DC">
        <w:rPr>
          <w:rFonts w:eastAsia="MS Mincho"/>
        </w:rPr>
        <w:t>’</w:t>
      </w:r>
      <w:r w:rsidR="00663A7F" w:rsidRPr="00F94310">
        <w:rPr>
          <w:rFonts w:eastAsia="MS Mincho"/>
        </w:rPr>
        <w:t xml:space="preserve">autres parties prenantes </w:t>
      </w:r>
      <w:r w:rsidR="00663A7F">
        <w:rPr>
          <w:rFonts w:eastAsia="MS Mincho"/>
        </w:rPr>
        <w:t xml:space="preserve">se sont déjà déclarées très préoccupées par </w:t>
      </w:r>
      <w:r w:rsidR="00663A7F" w:rsidRPr="00F94310">
        <w:rPr>
          <w:rFonts w:eastAsia="MS Mincho"/>
        </w:rPr>
        <w:t>ces dispos</w:t>
      </w:r>
      <w:r w:rsidR="00663A7F">
        <w:rPr>
          <w:rFonts w:eastAsia="MS Mincho"/>
        </w:rPr>
        <w:t>itifs et par l</w:t>
      </w:r>
      <w:r w:rsidR="000A28DC">
        <w:rPr>
          <w:rFonts w:eastAsia="MS Mincho"/>
        </w:rPr>
        <w:t>’</w:t>
      </w:r>
      <w:r w:rsidR="00663A7F">
        <w:rPr>
          <w:rFonts w:eastAsia="MS Mincho"/>
        </w:rPr>
        <w:t xml:space="preserve">absence de </w:t>
      </w:r>
      <w:r w:rsidR="00663A7F" w:rsidRPr="005220C5">
        <w:t>sécurité</w:t>
      </w:r>
      <w:r w:rsidR="00663A7F">
        <w:rPr>
          <w:rFonts w:eastAsia="MS Mincho"/>
        </w:rPr>
        <w:t xml:space="preserve"> pour les enfants transportés dans des véhicules qui en sont équipés. </w:t>
      </w:r>
      <w:r w:rsidR="00663A7F" w:rsidRPr="00CC241E">
        <w:rPr>
          <w:rFonts w:eastAsia="MS Mincho"/>
        </w:rPr>
        <w:t>Cependant, il leur a été presque impossible de s</w:t>
      </w:r>
      <w:r w:rsidR="000A28DC">
        <w:rPr>
          <w:rFonts w:eastAsia="MS Mincho"/>
        </w:rPr>
        <w:t>’</w:t>
      </w:r>
      <w:r w:rsidR="00663A7F" w:rsidRPr="00CC241E">
        <w:rPr>
          <w:rFonts w:eastAsia="MS Mincho"/>
        </w:rPr>
        <w:t xml:space="preserve">opposer à des produits qui avaient été approuvés à tort ou </w:t>
      </w:r>
      <w:r w:rsidR="00663A7F">
        <w:rPr>
          <w:rFonts w:eastAsia="MS Mincho"/>
        </w:rPr>
        <w:t>de les refuser.</w:t>
      </w:r>
    </w:p>
    <w:p w14:paraId="4AD2B26B" w14:textId="77777777" w:rsidR="00663A7F" w:rsidRPr="00CC241E" w:rsidRDefault="005220C5" w:rsidP="005220C5">
      <w:pPr>
        <w:pStyle w:val="SingleTxtG"/>
        <w:rPr>
          <w:rFonts w:eastAsia="MS Mincho"/>
        </w:rPr>
      </w:pPr>
      <w:r>
        <w:rPr>
          <w:rFonts w:eastAsia="MS Mincho"/>
        </w:rPr>
        <w:t>5.</w:t>
      </w:r>
      <w:r>
        <w:rPr>
          <w:rFonts w:eastAsia="MS Mincho"/>
        </w:rPr>
        <w:tab/>
      </w:r>
      <w:r w:rsidR="00663A7F" w:rsidRPr="00CC241E">
        <w:rPr>
          <w:rFonts w:eastAsia="MS Mincho"/>
        </w:rPr>
        <w:t>Les graves risques pour la sécurité ont déjà été signalés dans les docu</w:t>
      </w:r>
      <w:r w:rsidR="00663A7F">
        <w:rPr>
          <w:rFonts w:eastAsia="MS Mincho"/>
        </w:rPr>
        <w:t>ments</w:t>
      </w:r>
      <w:r w:rsidR="00663A7F" w:rsidRPr="00CC241E">
        <w:rPr>
          <w:rFonts w:eastAsia="MS Mincho"/>
        </w:rPr>
        <w:t xml:space="preserve"> GRSP</w:t>
      </w:r>
      <w:r>
        <w:rPr>
          <w:rFonts w:eastAsia="MS Mincho"/>
        </w:rPr>
        <w:noBreakHyphen/>
      </w:r>
      <w:r w:rsidR="00663A7F" w:rsidRPr="00CC241E">
        <w:rPr>
          <w:rFonts w:eastAsia="MS Mincho"/>
        </w:rPr>
        <w:t xml:space="preserve">50-09, GRSP-50-25 </w:t>
      </w:r>
      <w:r w:rsidR="00663A7F">
        <w:rPr>
          <w:rFonts w:eastAsia="MS Mincho"/>
        </w:rPr>
        <w:t>et</w:t>
      </w:r>
      <w:r w:rsidR="00663A7F" w:rsidRPr="00CC241E">
        <w:rPr>
          <w:rFonts w:eastAsia="MS Mincho"/>
        </w:rPr>
        <w:t xml:space="preserve"> GRSP-50-34</w:t>
      </w:r>
      <w:r w:rsidR="00663A7F">
        <w:rPr>
          <w:rFonts w:eastAsia="MS Mincho"/>
        </w:rPr>
        <w:t xml:space="preserve"> du Groupe de travail de la sécurité passive</w:t>
      </w:r>
      <w:r w:rsidR="00663A7F" w:rsidRPr="00CC241E">
        <w:rPr>
          <w:rFonts w:eastAsia="MS Mincho"/>
        </w:rPr>
        <w:t>.</w:t>
      </w:r>
    </w:p>
    <w:p w14:paraId="10138811" w14:textId="77777777" w:rsidR="00663A7F" w:rsidRPr="007676B1" w:rsidRDefault="005220C5" w:rsidP="005220C5">
      <w:pPr>
        <w:pStyle w:val="SingleTxtG"/>
        <w:rPr>
          <w:rFonts w:eastAsia="MS Mincho"/>
        </w:rPr>
      </w:pPr>
      <w:r>
        <w:rPr>
          <w:rFonts w:eastAsia="MS Mincho"/>
        </w:rPr>
        <w:t>6.</w:t>
      </w:r>
      <w:r>
        <w:rPr>
          <w:rFonts w:eastAsia="MS Mincho"/>
        </w:rPr>
        <w:tab/>
      </w:r>
      <w:r w:rsidR="00663A7F" w:rsidRPr="007676B1">
        <w:rPr>
          <w:rFonts w:eastAsia="MS Mincho"/>
        </w:rPr>
        <w:t>La présente proposition vise à indiquer de façon parfaitement claire</w:t>
      </w:r>
      <w:r w:rsidR="00663A7F">
        <w:rPr>
          <w:rFonts w:eastAsia="MS Mincho"/>
        </w:rPr>
        <w:t>, en précisant le champ d</w:t>
      </w:r>
      <w:r w:rsidR="000A28DC">
        <w:rPr>
          <w:rFonts w:eastAsia="MS Mincho"/>
        </w:rPr>
        <w:t>’</w:t>
      </w:r>
      <w:r w:rsidR="00663A7F">
        <w:rPr>
          <w:rFonts w:eastAsia="MS Mincho"/>
        </w:rPr>
        <w:t>application du règlement,</w:t>
      </w:r>
      <w:r w:rsidR="00663A7F" w:rsidRPr="007676B1">
        <w:rPr>
          <w:rFonts w:eastAsia="MS Mincho"/>
        </w:rPr>
        <w:t xml:space="preserve"> quels types de dispositif de guidage de ceinture et d</w:t>
      </w:r>
      <w:r w:rsidR="000A28DC">
        <w:rPr>
          <w:rFonts w:eastAsia="MS Mincho"/>
        </w:rPr>
        <w:t>’</w:t>
      </w:r>
      <w:r w:rsidR="00663A7F" w:rsidRPr="007676B1">
        <w:rPr>
          <w:rFonts w:eastAsia="MS Mincho"/>
        </w:rPr>
        <w:t xml:space="preserve">assise ne </w:t>
      </w:r>
      <w:r w:rsidR="00663A7F">
        <w:rPr>
          <w:rFonts w:eastAsia="MS Mincho"/>
        </w:rPr>
        <w:t>sont pas autorisés.</w:t>
      </w:r>
    </w:p>
    <w:p w14:paraId="5857BBCE" w14:textId="77777777" w:rsidR="00663A7F" w:rsidRDefault="005220C5" w:rsidP="005220C5">
      <w:pPr>
        <w:pStyle w:val="SingleTxtG"/>
        <w:rPr>
          <w:rFonts w:eastAsia="MS Mincho"/>
        </w:rPr>
      </w:pPr>
      <w:r>
        <w:rPr>
          <w:rFonts w:eastAsia="MS Mincho"/>
        </w:rPr>
        <w:t>7.</w:t>
      </w:r>
      <w:r>
        <w:rPr>
          <w:rFonts w:eastAsia="MS Mincho"/>
        </w:rPr>
        <w:tab/>
      </w:r>
      <w:r w:rsidR="00663A7F" w:rsidRPr="00FC6D3D">
        <w:rPr>
          <w:rFonts w:eastAsia="MS Mincho"/>
        </w:rPr>
        <w:t>L</w:t>
      </w:r>
      <w:r w:rsidR="00663A7F">
        <w:rPr>
          <w:rFonts w:eastAsia="MS Mincho"/>
        </w:rPr>
        <w:t>a</w:t>
      </w:r>
      <w:r w:rsidR="00663A7F" w:rsidRPr="00FC6D3D">
        <w:rPr>
          <w:rFonts w:eastAsia="MS Mincho"/>
        </w:rPr>
        <w:t xml:space="preserve"> présente proposition </w:t>
      </w:r>
      <w:r w:rsidR="00663A7F">
        <w:rPr>
          <w:rFonts w:eastAsia="MS Mincho"/>
        </w:rPr>
        <w:t>annule</w:t>
      </w:r>
      <w:r w:rsidR="00663A7F" w:rsidRPr="00FC6D3D">
        <w:rPr>
          <w:rFonts w:eastAsia="MS Mincho"/>
        </w:rPr>
        <w:t xml:space="preserve"> </w:t>
      </w:r>
      <w:r w:rsidR="00663A7F" w:rsidRPr="005220C5">
        <w:t>également</w:t>
      </w:r>
      <w:r w:rsidR="00663A7F" w:rsidRPr="00FC6D3D">
        <w:rPr>
          <w:rFonts w:eastAsia="MS Mincho"/>
        </w:rPr>
        <w:t xml:space="preserve"> une disposition </w:t>
      </w:r>
      <w:r w:rsidR="00663A7F">
        <w:rPr>
          <w:rFonts w:eastAsia="MS Mincho"/>
        </w:rPr>
        <w:t xml:space="preserve">transitoire </w:t>
      </w:r>
      <w:r w:rsidR="00663A7F" w:rsidRPr="00FC6D3D">
        <w:rPr>
          <w:rFonts w:eastAsia="MS Mincho"/>
        </w:rPr>
        <w:t>obsolète li</w:t>
      </w:r>
      <w:r w:rsidR="00663A7F">
        <w:rPr>
          <w:rFonts w:eastAsia="MS Mincho"/>
        </w:rPr>
        <w:t>ée spécifiquement à l</w:t>
      </w:r>
      <w:r w:rsidR="000A28DC">
        <w:rPr>
          <w:rFonts w:eastAsia="MS Mincho"/>
        </w:rPr>
        <w:t>’</w:t>
      </w:r>
      <w:r w:rsidR="00663A7F">
        <w:rPr>
          <w:rFonts w:eastAsia="MS Mincho"/>
        </w:rPr>
        <w:t>ancienne « Communauté européenne » en tant que Partie contractante, ce qu</w:t>
      </w:r>
      <w:r w:rsidR="000A28DC">
        <w:rPr>
          <w:rFonts w:eastAsia="MS Mincho"/>
        </w:rPr>
        <w:t>’</w:t>
      </w:r>
      <w:r w:rsidR="00663A7F">
        <w:rPr>
          <w:rFonts w:eastAsia="MS Mincho"/>
        </w:rPr>
        <w:t>elle n</w:t>
      </w:r>
      <w:r w:rsidR="000A28DC">
        <w:rPr>
          <w:rFonts w:eastAsia="MS Mincho"/>
        </w:rPr>
        <w:t>’</w:t>
      </w:r>
      <w:r w:rsidR="00663A7F">
        <w:rPr>
          <w:rFonts w:eastAsia="MS Mincho"/>
        </w:rPr>
        <w:t>est plus</w:t>
      </w:r>
      <w:r w:rsidR="00663A7F" w:rsidRPr="00FC6D3D">
        <w:rPr>
          <w:rFonts w:eastAsia="MS Mincho"/>
        </w:rPr>
        <w:t>.</w:t>
      </w:r>
    </w:p>
    <w:p w14:paraId="38CCC08D" w14:textId="77777777" w:rsidR="005220C5" w:rsidRPr="005220C5" w:rsidRDefault="005220C5" w:rsidP="005220C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220C5" w:rsidRPr="005220C5" w:rsidSect="00663A7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D6EAC" w14:textId="77777777" w:rsidR="00C869EE" w:rsidRDefault="00C869EE" w:rsidP="00F95C08">
      <w:pPr>
        <w:spacing w:line="240" w:lineRule="auto"/>
      </w:pPr>
    </w:p>
  </w:endnote>
  <w:endnote w:type="continuationSeparator" w:id="0">
    <w:p w14:paraId="184B0258" w14:textId="77777777" w:rsidR="00C869EE" w:rsidRPr="00AC3823" w:rsidRDefault="00C869EE" w:rsidP="00AC3823">
      <w:pPr>
        <w:pStyle w:val="Pieddepage"/>
      </w:pPr>
    </w:p>
  </w:endnote>
  <w:endnote w:type="continuationNotice" w:id="1">
    <w:p w14:paraId="3CCC8DA1" w14:textId="77777777" w:rsidR="00C869EE" w:rsidRDefault="00C869E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8FB2A" w14:textId="77777777" w:rsidR="00663A7F" w:rsidRPr="00663A7F" w:rsidRDefault="00663A7F" w:rsidP="00663A7F">
    <w:pPr>
      <w:pStyle w:val="Pieddepage"/>
      <w:tabs>
        <w:tab w:val="right" w:pos="9638"/>
      </w:tabs>
    </w:pPr>
    <w:r w:rsidRPr="00663A7F">
      <w:rPr>
        <w:b/>
        <w:sz w:val="18"/>
      </w:rPr>
      <w:fldChar w:fldCharType="begin"/>
    </w:r>
    <w:r w:rsidRPr="00663A7F">
      <w:rPr>
        <w:b/>
        <w:sz w:val="18"/>
      </w:rPr>
      <w:instrText xml:space="preserve"> PAGE  \* MERGEFORMAT </w:instrText>
    </w:r>
    <w:r w:rsidRPr="00663A7F">
      <w:rPr>
        <w:b/>
        <w:sz w:val="18"/>
      </w:rPr>
      <w:fldChar w:fldCharType="separate"/>
    </w:r>
    <w:r w:rsidRPr="00663A7F">
      <w:rPr>
        <w:b/>
        <w:noProof/>
        <w:sz w:val="18"/>
      </w:rPr>
      <w:t>2</w:t>
    </w:r>
    <w:r w:rsidRPr="00663A7F">
      <w:rPr>
        <w:b/>
        <w:sz w:val="18"/>
      </w:rPr>
      <w:fldChar w:fldCharType="end"/>
    </w:r>
    <w:r>
      <w:rPr>
        <w:b/>
        <w:sz w:val="18"/>
      </w:rPr>
      <w:tab/>
    </w:r>
    <w:r>
      <w:t>GE.19-16588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A6294" w14:textId="77777777" w:rsidR="00663A7F" w:rsidRPr="00663A7F" w:rsidRDefault="00663A7F" w:rsidP="00663A7F">
    <w:pPr>
      <w:pStyle w:val="Pieddepage"/>
      <w:tabs>
        <w:tab w:val="right" w:pos="9638"/>
      </w:tabs>
      <w:rPr>
        <w:b/>
        <w:sz w:val="18"/>
      </w:rPr>
    </w:pPr>
    <w:r>
      <w:t>GE.19-16588</w:t>
    </w:r>
    <w:r>
      <w:tab/>
    </w:r>
    <w:r w:rsidRPr="00663A7F">
      <w:rPr>
        <w:b/>
        <w:sz w:val="18"/>
      </w:rPr>
      <w:fldChar w:fldCharType="begin"/>
    </w:r>
    <w:r w:rsidRPr="00663A7F">
      <w:rPr>
        <w:b/>
        <w:sz w:val="18"/>
      </w:rPr>
      <w:instrText xml:space="preserve"> PAGE  \* MERGEFORMAT </w:instrText>
    </w:r>
    <w:r w:rsidRPr="00663A7F">
      <w:rPr>
        <w:b/>
        <w:sz w:val="18"/>
      </w:rPr>
      <w:fldChar w:fldCharType="separate"/>
    </w:r>
    <w:r w:rsidRPr="00663A7F">
      <w:rPr>
        <w:b/>
        <w:noProof/>
        <w:sz w:val="18"/>
      </w:rPr>
      <w:t>3</w:t>
    </w:r>
    <w:r w:rsidRPr="00663A7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4B680" w14:textId="77777777" w:rsidR="007F20FA" w:rsidRPr="00663A7F" w:rsidRDefault="00663A7F" w:rsidP="00663A7F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4F9795B" wp14:editId="41B1666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19-16588  (F)</w:t>
    </w:r>
    <w:r w:rsidR="005220C5">
      <w:rPr>
        <w:sz w:val="20"/>
      </w:rPr>
      <w:t xml:space="preserve">    221019    221019</w:t>
    </w:r>
    <w:r>
      <w:rPr>
        <w:sz w:val="20"/>
      </w:rPr>
      <w:br/>
    </w:r>
    <w:r w:rsidRPr="00663A7F">
      <w:rPr>
        <w:rFonts w:ascii="C39T30Lfz" w:hAnsi="C39T30Lfz"/>
        <w:sz w:val="56"/>
      </w:rPr>
      <w:t></w:t>
    </w:r>
    <w:r w:rsidRPr="00663A7F">
      <w:rPr>
        <w:rFonts w:ascii="C39T30Lfz" w:hAnsi="C39T30Lfz"/>
        <w:sz w:val="56"/>
      </w:rPr>
      <w:t></w:t>
    </w:r>
    <w:r w:rsidRPr="00663A7F">
      <w:rPr>
        <w:rFonts w:ascii="C39T30Lfz" w:hAnsi="C39T30Lfz"/>
        <w:sz w:val="56"/>
      </w:rPr>
      <w:t></w:t>
    </w:r>
    <w:r w:rsidRPr="00663A7F">
      <w:rPr>
        <w:rFonts w:ascii="C39T30Lfz" w:hAnsi="C39T30Lfz"/>
        <w:sz w:val="56"/>
      </w:rPr>
      <w:t></w:t>
    </w:r>
    <w:r w:rsidRPr="00663A7F">
      <w:rPr>
        <w:rFonts w:ascii="C39T30Lfz" w:hAnsi="C39T30Lfz"/>
        <w:sz w:val="56"/>
      </w:rPr>
      <w:t></w:t>
    </w:r>
    <w:r w:rsidRPr="00663A7F">
      <w:rPr>
        <w:rFonts w:ascii="C39T30Lfz" w:hAnsi="C39T30Lfz"/>
        <w:sz w:val="56"/>
      </w:rPr>
      <w:t></w:t>
    </w:r>
    <w:r w:rsidRPr="00663A7F">
      <w:rPr>
        <w:rFonts w:ascii="C39T30Lfz" w:hAnsi="C39T30Lfz"/>
        <w:sz w:val="56"/>
      </w:rPr>
      <w:t></w:t>
    </w:r>
    <w:r w:rsidRPr="00663A7F">
      <w:rPr>
        <w:rFonts w:ascii="C39T30Lfz" w:hAnsi="C39T30Lfz"/>
        <w:sz w:val="56"/>
      </w:rPr>
      <w:t></w:t>
    </w:r>
    <w:r w:rsidRPr="00663A7F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DB38A03" wp14:editId="7BC27F2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19/2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2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BEF33" w14:textId="77777777" w:rsidR="00C869EE" w:rsidRPr="00AC3823" w:rsidRDefault="00C869E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16AFFA" w14:textId="77777777" w:rsidR="00C869EE" w:rsidRPr="00AC3823" w:rsidRDefault="00C869E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C7477DB" w14:textId="77777777" w:rsidR="00C869EE" w:rsidRPr="00AC3823" w:rsidRDefault="00C869EE">
      <w:pPr>
        <w:spacing w:line="240" w:lineRule="auto"/>
        <w:rPr>
          <w:sz w:val="2"/>
          <w:szCs w:val="2"/>
        </w:rPr>
      </w:pPr>
    </w:p>
  </w:footnote>
  <w:footnote w:id="2">
    <w:p w14:paraId="6F963611" w14:textId="77777777" w:rsidR="00663A7F" w:rsidRPr="00663A7F" w:rsidRDefault="00663A7F">
      <w:pPr>
        <w:pStyle w:val="Notedebasdepage"/>
      </w:pPr>
      <w:r>
        <w:rPr>
          <w:rStyle w:val="Appelnotedebasdep"/>
        </w:rPr>
        <w:tab/>
      </w:r>
      <w:r w:rsidRPr="00663A7F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871E00">
        <w:t>Conformément au programme de travail du Comité des transports intérieurs pour la période 2018</w:t>
      </w:r>
      <w:r w:rsidR="005220C5">
        <w:noBreakHyphen/>
      </w:r>
      <w:r w:rsidRPr="00871E00">
        <w:t>2019 (ECE/TRANS/274, par.</w:t>
      </w:r>
      <w:r w:rsidR="00EF4FE1">
        <w:t> </w:t>
      </w:r>
      <w:r w:rsidRPr="00871E00">
        <w:t>123, et ECE/TRANS/2018/21/Add.1, module</w:t>
      </w:r>
      <w:r w:rsidR="00EF4FE1">
        <w:t> </w:t>
      </w:r>
      <w:r w:rsidRPr="00871E00">
        <w:t>3.1), le Forum mondial a pour mission d’élaborer, d’harmoniser et de mettre à jour les Règlements ONU en vue d’améliorer les caractéristiques fonctionnelles des véhicules.</w:t>
      </w:r>
      <w:r w:rsidR="00432072">
        <w:t xml:space="preserve">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A52AD" w14:textId="2483FCAA" w:rsidR="00663A7F" w:rsidRPr="00663A7F" w:rsidRDefault="00DB5261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ECE/TRANS/WP.29/GRSP/2019/28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166C4" w14:textId="470679A9" w:rsidR="00663A7F" w:rsidRPr="00663A7F" w:rsidRDefault="00DB5261" w:rsidP="00663A7F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ECE/TRANS/WP.29/GRSP/2019/28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869EE"/>
    <w:rsid w:val="00017F94"/>
    <w:rsid w:val="00023842"/>
    <w:rsid w:val="000334F9"/>
    <w:rsid w:val="00045FEB"/>
    <w:rsid w:val="0007796D"/>
    <w:rsid w:val="000A28DC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2E0170"/>
    <w:rsid w:val="00305801"/>
    <w:rsid w:val="003916DE"/>
    <w:rsid w:val="00421996"/>
    <w:rsid w:val="00432072"/>
    <w:rsid w:val="00441C3B"/>
    <w:rsid w:val="00446FE5"/>
    <w:rsid w:val="00452396"/>
    <w:rsid w:val="004837D8"/>
    <w:rsid w:val="004E2EED"/>
    <w:rsid w:val="004E468C"/>
    <w:rsid w:val="005220C5"/>
    <w:rsid w:val="005505B7"/>
    <w:rsid w:val="00573BE5"/>
    <w:rsid w:val="00586ED3"/>
    <w:rsid w:val="00596AA9"/>
    <w:rsid w:val="00663A7F"/>
    <w:rsid w:val="0071601D"/>
    <w:rsid w:val="007A62E6"/>
    <w:rsid w:val="007F20FA"/>
    <w:rsid w:val="0080684C"/>
    <w:rsid w:val="00871C75"/>
    <w:rsid w:val="008776DC"/>
    <w:rsid w:val="009446C0"/>
    <w:rsid w:val="009705C8"/>
    <w:rsid w:val="009A23C9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869EE"/>
    <w:rsid w:val="00C97039"/>
    <w:rsid w:val="00D3439C"/>
    <w:rsid w:val="00DB1831"/>
    <w:rsid w:val="00DB5261"/>
    <w:rsid w:val="00DD3BFD"/>
    <w:rsid w:val="00DF6678"/>
    <w:rsid w:val="00E0299A"/>
    <w:rsid w:val="00E85C74"/>
    <w:rsid w:val="00EA6547"/>
    <w:rsid w:val="00EF2E22"/>
    <w:rsid w:val="00EF4FE1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1279EA"/>
  <w15:docId w15:val="{34E960A2-569A-4895-89FE-4CC31417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604</Words>
  <Characters>4229</Characters>
  <Application>Microsoft Office Word</Application>
  <DocSecurity>0</DocSecurity>
  <Lines>352</Lines>
  <Paragraphs>193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ECE/TRANS/WP.29/GRSP/2019/28</vt:lpstr>
    </vt:vector>
  </TitlesOfParts>
  <Company>DCM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ECE/TRANS/WP.29/GRSP/2019/28</dc:title>
  <dc:subject/>
  <dc:creator>Julien OKRZESIK</dc:creator>
  <cp:keywords/>
  <cp:lastModifiedBy>Julien OKRZESIK</cp:lastModifiedBy>
  <cp:revision>3</cp:revision>
  <cp:lastPrinted>2019-10-22T14:18:00Z</cp:lastPrinted>
  <dcterms:created xsi:type="dcterms:W3CDTF">2019-10-22T14:18:00Z</dcterms:created>
  <dcterms:modified xsi:type="dcterms:W3CDTF">2019-10-22T14:18:00Z</dcterms:modified>
</cp:coreProperties>
</file>