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D4D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D4DE1" w:rsidP="00DD4DE1">
            <w:pPr>
              <w:jc w:val="right"/>
            </w:pPr>
            <w:r w:rsidRPr="00DD4DE1">
              <w:rPr>
                <w:sz w:val="40"/>
              </w:rPr>
              <w:t>ECE</w:t>
            </w:r>
            <w:r>
              <w:t>/TRANS/WP.29/GRSP/2019/9</w:t>
            </w:r>
          </w:p>
        </w:tc>
      </w:tr>
      <w:tr w:rsidR="002D5AAC" w:rsidRPr="002332B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D4D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D4DE1" w:rsidRDefault="00DD4DE1" w:rsidP="00DD4D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2019</w:t>
            </w:r>
          </w:p>
          <w:p w:rsidR="00DD4DE1" w:rsidRDefault="00DD4DE1" w:rsidP="00DD4D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D4DE1" w:rsidRPr="008D53B6" w:rsidRDefault="00DD4DE1" w:rsidP="00DD4D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D4DE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D4DE1" w:rsidRPr="00DD4DE1" w:rsidRDefault="00DD4DE1" w:rsidP="00DD4DE1">
      <w:pPr>
        <w:spacing w:before="120"/>
        <w:rPr>
          <w:rFonts w:eastAsia="MS Mincho"/>
          <w:color w:val="000000" w:themeColor="text1"/>
          <w:sz w:val="28"/>
          <w:szCs w:val="28"/>
        </w:rPr>
      </w:pPr>
      <w:r w:rsidRPr="00DD4DE1">
        <w:rPr>
          <w:sz w:val="28"/>
          <w:szCs w:val="28"/>
        </w:rPr>
        <w:t>Комитет по внутреннему транспорту</w:t>
      </w:r>
    </w:p>
    <w:p w:rsidR="00DD4DE1" w:rsidRPr="00DD4DE1" w:rsidRDefault="00DD4DE1" w:rsidP="00DD4DE1">
      <w:pPr>
        <w:spacing w:before="120"/>
        <w:rPr>
          <w:rFonts w:eastAsia="MS Mincho"/>
          <w:b/>
          <w:color w:val="000000" w:themeColor="text1"/>
          <w:sz w:val="24"/>
          <w:szCs w:val="24"/>
        </w:rPr>
      </w:pPr>
      <w:r w:rsidRPr="00DD4DE1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D4DE1">
        <w:rPr>
          <w:b/>
          <w:bCs/>
          <w:sz w:val="24"/>
          <w:szCs w:val="24"/>
        </w:rPr>
        <w:t>в области транспортных средств</w:t>
      </w:r>
    </w:p>
    <w:p w:rsidR="00DD4DE1" w:rsidRPr="00EF2E55" w:rsidRDefault="00DD4DE1" w:rsidP="00DD4DE1">
      <w:pPr>
        <w:spacing w:before="120" w:after="120"/>
        <w:rPr>
          <w:rFonts w:eastAsia="MS Mincho"/>
          <w:b/>
          <w:bCs/>
          <w:color w:val="000000" w:themeColor="text1"/>
        </w:rPr>
      </w:pPr>
      <w:r>
        <w:rPr>
          <w:b/>
          <w:bCs/>
        </w:rPr>
        <w:t>Рабочая группа по пассивной безопасности</w:t>
      </w:r>
    </w:p>
    <w:p w:rsidR="00DD4DE1" w:rsidRPr="00EF2E55" w:rsidRDefault="00DD4DE1" w:rsidP="00DD4DE1">
      <w:pPr>
        <w:rPr>
          <w:rFonts w:eastAsia="MS Mincho"/>
          <w:b/>
          <w:color w:val="000000" w:themeColor="text1"/>
        </w:rPr>
      </w:pPr>
      <w:r>
        <w:rPr>
          <w:b/>
          <w:bCs/>
        </w:rPr>
        <w:t>Шестьдесят пятая сессия</w:t>
      </w:r>
    </w:p>
    <w:p w:rsidR="00DD4DE1" w:rsidRPr="00EF2E55" w:rsidRDefault="00DD4DE1" w:rsidP="00DD4DE1">
      <w:pPr>
        <w:rPr>
          <w:rFonts w:eastAsia="MS Mincho"/>
          <w:bCs/>
          <w:color w:val="000000" w:themeColor="text1"/>
        </w:rPr>
      </w:pPr>
      <w:r>
        <w:t>Женева, 13–17 мая 2019 года</w:t>
      </w:r>
    </w:p>
    <w:p w:rsidR="00DD4DE1" w:rsidRPr="00EF2E55" w:rsidRDefault="00DD4DE1" w:rsidP="00DD4DE1">
      <w:pPr>
        <w:tabs>
          <w:tab w:val="left" w:pos="6915"/>
        </w:tabs>
        <w:rPr>
          <w:rFonts w:eastAsia="MS Mincho"/>
          <w:bCs/>
          <w:color w:val="000000" w:themeColor="text1"/>
        </w:rPr>
      </w:pPr>
      <w:r>
        <w:t>Пункт</w:t>
      </w:r>
      <w:r w:rsidR="00933939">
        <w:t xml:space="preserve"> 9 предварительной повестки дня</w:t>
      </w:r>
    </w:p>
    <w:p w:rsidR="00DD4DE1" w:rsidRPr="00BA09E9" w:rsidRDefault="00DD4DE1" w:rsidP="00DD4DE1">
      <w:pPr>
        <w:rPr>
          <w:rFonts w:eastAsia="MS Mincho"/>
          <w:b/>
          <w:color w:val="000000" w:themeColor="text1"/>
        </w:rPr>
      </w:pPr>
      <w:r>
        <w:rPr>
          <w:b/>
          <w:bCs/>
        </w:rPr>
        <w:t>Правила № 17 ООН (прочность сидений)</w:t>
      </w:r>
    </w:p>
    <w:p w:rsidR="00DD4DE1" w:rsidRPr="00BA09E9" w:rsidRDefault="00DD4DE1" w:rsidP="00DD4DE1">
      <w:pPr>
        <w:pStyle w:val="HChG"/>
      </w:pPr>
      <w:r>
        <w:tab/>
      </w:r>
      <w:r>
        <w:tab/>
        <w:t xml:space="preserve">Предложение по поправкам серии 10 </w:t>
      </w:r>
      <w:r w:rsidR="00C70FB9">
        <w:br/>
      </w:r>
      <w:r>
        <w:t>к Правилам № 17 ООН (прочность сидений)</w:t>
      </w:r>
    </w:p>
    <w:p w:rsidR="00DD4DE1" w:rsidRPr="00BA09E9" w:rsidRDefault="00DD4DE1" w:rsidP="00DD4DE1">
      <w:pPr>
        <w:pStyle w:val="H1G"/>
      </w:pPr>
      <w:r>
        <w:tab/>
      </w:r>
      <w:r>
        <w:tab/>
        <w:t>Представлено экспертом от Европейской ассоциации поставщиков автомобильных деталей</w:t>
      </w:r>
      <w:r w:rsidRPr="00C70FB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70FB9">
        <w:rPr>
          <w:b w:val="0"/>
        </w:rPr>
        <w:t xml:space="preserve"> </w:t>
      </w:r>
      <w:bookmarkStart w:id="1" w:name="_Hlk1570245"/>
      <w:bookmarkStart w:id="2" w:name="_Hlk1570270"/>
      <w:bookmarkEnd w:id="1"/>
      <w:bookmarkEnd w:id="2"/>
    </w:p>
    <w:p w:rsidR="00D955A1" w:rsidRDefault="00DD4DE1" w:rsidP="00DD4DE1">
      <w:pPr>
        <w:pStyle w:val="SingleTxtG"/>
        <w:rPr>
          <w:rFonts w:eastAsia="MS Mincho"/>
        </w:rPr>
      </w:pPr>
      <w:bookmarkStart w:id="3" w:name="_Hlk1570019"/>
      <w:r>
        <w:tab/>
      </w:r>
      <w:r>
        <w:tab/>
        <w:t>Воспроизведенный ниже текст был подготовлен экспертом от Европейской ассоциации поставщиков автомобильных деталей (КСАОД) в целях внесения изменений в проект поправок серии 10, представленный экспертами от Японии и</w:t>
      </w:r>
      <w:r w:rsidR="00B07144">
        <w:t xml:space="preserve"> </w:t>
      </w:r>
      <w:r>
        <w:t>Европейской комиссии, в части вариантов статических испытаний (ECE/TRANS/WP.29/GRSP/2018/34). В его основу положен неофициальный документ</w:t>
      </w:r>
      <w:r w:rsidR="00B07144">
        <w:t> </w:t>
      </w:r>
      <w:r>
        <w:t>GRSP-64-25, представленный в ходе шестьдесят четвертой сессии Рабочей группы по пассивной безопасности (GRSP). Изменения к документу ECE/TRANS/</w:t>
      </w:r>
      <w:r w:rsidR="00C70FB9">
        <w:br/>
      </w:r>
      <w:r>
        <w:t>WP.29/GRSP/2018/34 выделены жирным шрифтом или зачеркиванием.</w:t>
      </w:r>
      <w:bookmarkStart w:id="4" w:name="_Hlk1570167"/>
      <w:bookmarkEnd w:id="3"/>
      <w:bookmarkEnd w:id="4"/>
    </w:p>
    <w:p w:rsidR="00DD4DE1" w:rsidRPr="00BA09E9" w:rsidRDefault="00DD4DE1" w:rsidP="00DD4DE1">
      <w:pPr>
        <w:suppressAutoHyphens w:val="0"/>
        <w:spacing w:line="240" w:lineRule="auto"/>
        <w:rPr>
          <w:rFonts w:eastAsia="MS Mincho"/>
          <w:color w:val="000000" w:themeColor="text1"/>
        </w:rPr>
      </w:pPr>
      <w:r w:rsidRPr="00BA09E9">
        <w:rPr>
          <w:rFonts w:eastAsia="MS Mincho"/>
          <w:color w:val="000000" w:themeColor="text1"/>
        </w:rPr>
        <w:br w:type="page"/>
      </w:r>
    </w:p>
    <w:p w:rsidR="00DD4DE1" w:rsidRPr="00BA09E9" w:rsidRDefault="00DD4DE1" w:rsidP="00DD4DE1">
      <w:pPr>
        <w:pStyle w:val="HChG"/>
        <w:tabs>
          <w:tab w:val="left" w:pos="1134"/>
          <w:tab w:val="left" w:pos="1701"/>
          <w:tab w:val="left" w:pos="2268"/>
          <w:tab w:val="left" w:pos="7720"/>
        </w:tabs>
        <w:rPr>
          <w:color w:val="000000" w:themeColor="text1"/>
        </w:rPr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DD4DE1" w:rsidRPr="00BA09E9" w:rsidRDefault="00DD4DE1" w:rsidP="00DD4DE1">
      <w:pPr>
        <w:pStyle w:val="SingleTxtG"/>
        <w:rPr>
          <w:iCs/>
          <w:color w:val="000000" w:themeColor="text1"/>
        </w:rPr>
      </w:pPr>
      <w:r>
        <w:rPr>
          <w:i/>
          <w:iCs/>
        </w:rPr>
        <w:t>Пункт 5.2.7</w:t>
      </w:r>
      <w:r>
        <w:t xml:space="preserve"> изменить следующим образом:</w:t>
      </w:r>
    </w:p>
    <w:p w:rsidR="00DD4DE1" w:rsidRPr="00BA09E9" w:rsidRDefault="00DD4DE1" w:rsidP="00D955A1">
      <w:pPr>
        <w:pStyle w:val="SingleTxtG"/>
        <w:ind w:left="2268" w:hanging="1134"/>
        <w:rPr>
          <w:snapToGrid w:val="0"/>
          <w:color w:val="000000" w:themeColor="text1"/>
        </w:rPr>
      </w:pPr>
      <w:r>
        <w:t>«5.2.7</w:t>
      </w:r>
      <w:r>
        <w:tab/>
      </w:r>
      <w:r w:rsidR="00D955A1">
        <w:tab/>
      </w:r>
      <w:r>
        <w:t>После испытаний системы перемещения, предназначенные для обеспечения или облегчения доступа водителя и пассажиров, должны быть в исправном состоянии; должна быть обеспечена возможность их разблокирования, по крайней мере один раз, и перемещения сидений или частей сидений, для которых они предназначены.</w:t>
      </w:r>
    </w:p>
    <w:p w:rsidR="00DD4DE1" w:rsidRPr="00BA09E9" w:rsidRDefault="00DD4DE1" w:rsidP="00D955A1">
      <w:pPr>
        <w:pStyle w:val="SingleTxtG"/>
        <w:ind w:left="2268" w:hanging="1134"/>
        <w:rPr>
          <w:snapToGrid w:val="0"/>
          <w:color w:val="000000" w:themeColor="text1"/>
        </w:rPr>
      </w:pPr>
      <w:r>
        <w:tab/>
        <w:t>При этом не требуется, чтобы любые другие системы перемещения, а также системы регулировки и соответствующие системы их блокировки оставались в рабочем состоянии.</w:t>
      </w:r>
    </w:p>
    <w:p w:rsidR="00DD4DE1" w:rsidRPr="00BA09E9" w:rsidRDefault="00DD4DE1" w:rsidP="00D955A1">
      <w:pPr>
        <w:pStyle w:val="SingleTxtG"/>
        <w:ind w:left="2268" w:hanging="1134"/>
        <w:rPr>
          <w:snapToGrid w:val="0"/>
          <w:color w:val="000000" w:themeColor="text1"/>
        </w:rPr>
      </w:pPr>
      <w:r>
        <w:tab/>
        <w:t>В случае сидений с установленным подголовником прочность спинки сиденья и ее устройств блокировки считается достаточной в соответствии с предписаниями пункта 6.2, если после испытания, указанного в пункте приложения 5 ниже, не произошло поломки сиденья или его спинки; в случае поломки должно быть продемонстрировано, что сиденье удовлетворяет предписаниям, определенным в пункте 6.2 ниже.</w:t>
      </w:r>
    </w:p>
    <w:p w:rsidR="00DD4DE1" w:rsidRPr="00BA09E9" w:rsidRDefault="00DD4DE1" w:rsidP="00D955A1">
      <w:pPr>
        <w:pStyle w:val="SingleTxtG"/>
        <w:ind w:left="2268" w:hanging="1134"/>
        <w:rPr>
          <w:bCs/>
          <w:snapToGrid w:val="0"/>
          <w:color w:val="000000" w:themeColor="text1"/>
        </w:rPr>
      </w:pPr>
      <w:r>
        <w:tab/>
        <w:t xml:space="preserve">В случае сидений (многоместных нераздельных), на которых имеется больше мест для сиденья, чем подголовников, и в том случае, если изготовитель решит не применять 53 даНм в ходе испытания, указанного в пункте </w:t>
      </w:r>
      <w:r>
        <w:rPr>
          <w:strike/>
        </w:rPr>
        <w:t xml:space="preserve">6.4 </w:t>
      </w:r>
      <w:r>
        <w:rPr>
          <w:b/>
          <w:bCs/>
        </w:rPr>
        <w:t>4.1 приложения 5</w:t>
      </w:r>
      <w:r>
        <w:t xml:space="preserve">, в дополнение к испытанию, указанному в пункте </w:t>
      </w:r>
      <w:r>
        <w:rPr>
          <w:strike/>
        </w:rPr>
        <w:t xml:space="preserve">6.4 </w:t>
      </w:r>
      <w:r>
        <w:rPr>
          <w:b/>
          <w:bCs/>
        </w:rPr>
        <w:t>4.1 приложения 5</w:t>
      </w:r>
      <w:r>
        <w:t xml:space="preserve">, должно проводиться испытание спинки сиденья на прочность, указанное в пункте 6.2». </w:t>
      </w:r>
    </w:p>
    <w:p w:rsidR="00DD4DE1" w:rsidRPr="00BA09E9" w:rsidRDefault="00DD4DE1" w:rsidP="00DD4DE1">
      <w:pPr>
        <w:pStyle w:val="SingleTxtG"/>
        <w:rPr>
          <w:color w:val="000000" w:themeColor="text1"/>
        </w:rPr>
      </w:pPr>
      <w:r>
        <w:rPr>
          <w:i/>
          <w:iCs/>
        </w:rPr>
        <w:t>Пункт 5.5.1.2</w:t>
      </w:r>
      <w:r>
        <w:t xml:space="preserve"> изменить следующим образом:</w:t>
      </w:r>
    </w:p>
    <w:p w:rsidR="00DD4DE1" w:rsidRPr="00BA09E9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«5.5.1.2</w:t>
      </w:r>
      <w:r>
        <w:tab/>
        <w:t xml:space="preserve">Части передней и задней сторон подголовников, расположенные в зоне 2, определенной в пункте 6.8.1.2 ниже, должны иметь такую обивку, которая исключала бы возможность непосредственного контакта головы с элементами каркаса, и должны соответствовать требованиям пункта 5.2.4 выше, применимым к задним частям сидений зоны 2. </w:t>
      </w:r>
      <w:r>
        <w:rPr>
          <w:b/>
          <w:bCs/>
          <w:strike/>
        </w:rPr>
        <w:t>В</w:t>
      </w:r>
      <w:r w:rsidR="00D955A1">
        <w:rPr>
          <w:b/>
          <w:bCs/>
          <w:strike/>
        </w:rPr>
        <w:t> </w:t>
      </w:r>
      <w:r>
        <w:rPr>
          <w:b/>
          <w:bCs/>
          <w:strike/>
        </w:rPr>
        <w:t>случае</w:t>
      </w:r>
      <w:r>
        <w:rPr>
          <w:b/>
          <w:bCs/>
        </w:rPr>
        <w:t xml:space="preserve"> Если в отношении передней части подголовников применяются положения пункта 5.2.4.2, то испытание на поглощение энергии проводят в соответствии с приложением 12.</w:t>
      </w:r>
      <w:r>
        <w:t xml:space="preserve"> В случае подголовников, встроенных в спинку сиденья, передняя сторона подголовника считается зоной, расположенной над плоскостью, перпендикулярной исходной линии на расстоянии 540 мм от точки R и между двумя вертикальными продольными плоскостями на расстоянии 85 мм с каждой стороны исходной линии».</w:t>
      </w:r>
    </w:p>
    <w:p w:rsidR="00DD4DE1" w:rsidRPr="00B07144" w:rsidRDefault="00DD4DE1" w:rsidP="00DD4DE1">
      <w:pPr>
        <w:pStyle w:val="SingleTxtG"/>
        <w:rPr>
          <w:color w:val="000000" w:themeColor="text1"/>
        </w:rPr>
      </w:pPr>
      <w:r>
        <w:rPr>
          <w:i/>
          <w:iCs/>
        </w:rPr>
        <w:t xml:space="preserve">Пункт 5.6.2.3 </w:t>
      </w:r>
      <w:r w:rsidRPr="00B07144">
        <w:rPr>
          <w:iCs/>
        </w:rPr>
        <w:t>изменить следующим образом:</w:t>
      </w:r>
    </w:p>
    <w:p w:rsidR="00DD4DE1" w:rsidRPr="00987619" w:rsidRDefault="00DD4DE1" w:rsidP="00DD4DE1">
      <w:pPr>
        <w:spacing w:after="120"/>
        <w:ind w:left="567" w:right="1134" w:firstLine="567"/>
        <w:jc w:val="both"/>
        <w:rPr>
          <w:rFonts w:eastAsia="MS Mincho"/>
          <w:bCs/>
          <w:color w:val="000000" w:themeColor="text1"/>
        </w:rPr>
      </w:pPr>
      <w:r>
        <w:t>«5.6.2.3</w:t>
      </w:r>
      <w:r>
        <w:tab/>
        <w:t>Исключение</w:t>
      </w:r>
    </w:p>
    <w:p w:rsidR="00DD4DE1" w:rsidRPr="00EF2E55" w:rsidRDefault="00D955A1" w:rsidP="00D955A1">
      <w:pPr>
        <w:pStyle w:val="SingleTxtG"/>
        <w:ind w:left="2268" w:hanging="1134"/>
        <w:rPr>
          <w:rFonts w:eastAsia="MS PGothic"/>
          <w:bCs/>
          <w:color w:val="000000" w:themeColor="text1"/>
        </w:rPr>
      </w:pPr>
      <w:r>
        <w:tab/>
      </w:r>
      <w:r w:rsidR="00DD4DE1">
        <w:t xml:space="preserve">Если внутренняя поверхность крыши транспортного средства, в том числе верхняя облицовка, исключает физическую возможность обеспечения требуемой высоты подголовника, установленного на переднем месте для сидения, которая предписывается, когда это применимо, пунктами 5.6.2.1 </w:t>
      </w:r>
      <w:r w:rsidR="00DD4DE1">
        <w:rPr>
          <w:strike/>
        </w:rPr>
        <w:t>и</w:t>
      </w:r>
      <w:r w:rsidR="00DD4DE1" w:rsidRPr="00BA09E9">
        <w:rPr>
          <w:strike/>
        </w:rPr>
        <w:t xml:space="preserve"> </w:t>
      </w:r>
      <w:r w:rsidR="00DD4DE1">
        <w:t xml:space="preserve">или 5.6.2.2 настоящих Правил, то зазор между подголовником и внутренней поверхностью крыши, включая верхнюю облицовку, при измерении в соответствии с пунктом 2.3.3.1 приложения 10 не должен превышать 50 мм, когда подголовник установлен в самом высоком положении, предусмотренном для использования водителем или пассажиром. Вместе с тем высота подголовника, находящегося на переднем </w:t>
      </w:r>
      <w:r w:rsidR="00DD4DE1">
        <w:rPr>
          <w:strike/>
        </w:rPr>
        <w:t xml:space="preserve">боковом </w:t>
      </w:r>
      <w:r w:rsidR="00DD4DE1">
        <w:t>месте для сидения, ни в коем случае не должна быть меньше 700 мм, когда подголовник установлен в самом низком положении, предусмотренном для использования водителем или пассажиром».</w:t>
      </w:r>
    </w:p>
    <w:p w:rsidR="00DD4DE1" w:rsidRPr="00B07144" w:rsidRDefault="00DD4DE1" w:rsidP="00DD4DE1">
      <w:pPr>
        <w:pStyle w:val="SingleTxtG"/>
        <w:pageBreakBefore/>
        <w:rPr>
          <w:color w:val="000000" w:themeColor="text1"/>
        </w:rPr>
      </w:pPr>
      <w:r>
        <w:rPr>
          <w:i/>
          <w:iCs/>
        </w:rPr>
        <w:lastRenderedPageBreak/>
        <w:t>Пункт 5.6.4</w:t>
      </w:r>
      <w:r w:rsidRPr="00B07144">
        <w:rPr>
          <w:iCs/>
        </w:rPr>
        <w:t xml:space="preserve"> изменить следующим образом:</w:t>
      </w:r>
    </w:p>
    <w:p w:rsidR="00DD4DE1" w:rsidRPr="00EF2E55" w:rsidRDefault="00DD4DE1" w:rsidP="00DD4DE1">
      <w:pPr>
        <w:pStyle w:val="SingleTxtG"/>
        <w:ind w:left="2259" w:hanging="1125"/>
        <w:rPr>
          <w:bCs/>
          <w:color w:val="000000" w:themeColor="text1"/>
        </w:rPr>
      </w:pPr>
      <w:r>
        <w:t>«5.6.4</w:t>
      </w:r>
      <w:r>
        <w:tab/>
        <w:t>Проемы в подголовнике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ab/>
        <w:t>Если в подголовнике предусмотрен любой проем шириной более 60 мм, измеряемой в соответствии с приложением 8, то максимальное перемещение модели головы назад должно составлять менее 102 мм при испытании подголовника в месте расположения данного проема в соответствии с приложением 5.</w:t>
      </w:r>
    </w:p>
    <w:p w:rsidR="00DD4DE1" w:rsidRPr="00EF2E55" w:rsidRDefault="00DD4DE1" w:rsidP="00D955A1">
      <w:pPr>
        <w:pStyle w:val="SingleTxtG"/>
        <w:ind w:left="2268" w:hanging="1134"/>
        <w:rPr>
          <w:b/>
          <w:color w:val="000000" w:themeColor="text1"/>
        </w:rPr>
      </w:pPr>
      <w:r>
        <w:tab/>
      </w:r>
      <w:r>
        <w:rPr>
          <w:b/>
          <w:bCs/>
        </w:rPr>
        <w:t xml:space="preserve">Если подголовник является неотъемлемой частью спинки сиденья, то рассматриваемая зона </w:t>
      </w:r>
      <w:r w:rsidRPr="00B07144">
        <w:rPr>
          <w:b/>
        </w:rPr>
        <w:t>определяется</w:t>
      </w:r>
      <w:r>
        <w:rPr>
          <w:b/>
          <w:bCs/>
        </w:rPr>
        <w:t xml:space="preserve"> следующим образом:</w:t>
      </w:r>
    </w:p>
    <w:p w:rsidR="00DD4DE1" w:rsidRPr="00EF2E55" w:rsidRDefault="00D955A1" w:rsidP="00D955A1">
      <w:pPr>
        <w:pStyle w:val="SingleTxtG"/>
        <w:ind w:left="2268" w:hanging="1134"/>
        <w:rPr>
          <w:bCs/>
          <w:color w:val="000000" w:themeColor="text1"/>
        </w:rPr>
      </w:pPr>
      <w:r>
        <w:rPr>
          <w:b/>
          <w:bCs/>
        </w:rPr>
        <w:tab/>
      </w:r>
      <w:r w:rsidR="00DD4DE1">
        <w:rPr>
          <w:b/>
          <w:bCs/>
        </w:rPr>
        <w:t xml:space="preserve">над плоскостью, </w:t>
      </w:r>
      <w:r w:rsidR="00DD4DE1" w:rsidRPr="00D955A1">
        <w:rPr>
          <w:b/>
        </w:rPr>
        <w:t>перпендикулярной</w:t>
      </w:r>
      <w:r w:rsidR="00DD4DE1">
        <w:rPr>
          <w:b/>
          <w:bCs/>
        </w:rPr>
        <w:t xml:space="preserve"> исходной линии на расстоянии 540 мм от точки R и между двумя вертикальными продольными плоскостями, проходящими на расстоянии 85 мм с каждой стороны исходной линии</w:t>
      </w:r>
      <w:r w:rsidR="00DD4DE1" w:rsidRPr="00DD4DE1">
        <w:rPr>
          <w:bCs/>
        </w:rPr>
        <w:t>».</w:t>
      </w:r>
    </w:p>
    <w:p w:rsidR="00DD4DE1" w:rsidRPr="00B07144" w:rsidRDefault="00DD4DE1" w:rsidP="00DD4DE1">
      <w:pPr>
        <w:pStyle w:val="SingleTxtG"/>
        <w:rPr>
          <w:color w:val="000000" w:themeColor="text1"/>
        </w:rPr>
      </w:pPr>
      <w:r>
        <w:rPr>
          <w:i/>
          <w:iCs/>
        </w:rPr>
        <w:t>Пункт 5.6.7</w:t>
      </w:r>
      <w:r w:rsidRPr="00B07144">
        <w:rPr>
          <w:iCs/>
        </w:rP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rFonts w:ascii="Calibri" w:eastAsia="SimSun" w:hAnsi="Calibri" w:cs="Cordia New"/>
          <w:bCs/>
          <w:color w:val="000000" w:themeColor="text1"/>
          <w:kern w:val="24"/>
        </w:rPr>
      </w:pPr>
      <w:r>
        <w:t>«5.6.7</w:t>
      </w:r>
      <w:r>
        <w:tab/>
        <w:t xml:space="preserve">Высота предполагаемой передней поверхности зоны соприкосновения с </w:t>
      </w:r>
      <w:r>
        <w:rPr>
          <w:b/>
          <w:bCs/>
        </w:rPr>
        <w:t>не встроенным в спинку сиденья</w:t>
      </w:r>
      <w:r>
        <w:t xml:space="preserve"> подголовником, определяемая по расстоянию от ТП до касательной к меньшей высоте подголовника</w:t>
      </w:r>
      <w:r w:rsidR="00B07144">
        <w:br/>
      </w:r>
      <w:r>
        <w:t>(см. рис. 10-6 в приложении 10), должна составлять не менее 100 мм при измерении параллельно исходной линии туловища».</w:t>
      </w:r>
      <w:r>
        <w:tab/>
      </w:r>
    </w:p>
    <w:p w:rsidR="00DD4DE1" w:rsidRPr="00B07144" w:rsidRDefault="00DD4DE1" w:rsidP="00DD4DE1">
      <w:pPr>
        <w:pStyle w:val="SingleTxtG"/>
        <w:rPr>
          <w:color w:val="000000" w:themeColor="text1"/>
        </w:rPr>
      </w:pPr>
      <w:r>
        <w:rPr>
          <w:i/>
          <w:iCs/>
        </w:rPr>
        <w:t>Пункт 5.8.4.2</w:t>
      </w:r>
      <w:r w:rsidRPr="00B07144">
        <w:rPr>
          <w:iCs/>
        </w:rP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/>
          <w:color w:val="000000" w:themeColor="text1"/>
        </w:rPr>
      </w:pPr>
      <w:r>
        <w:t>«5.8.4.2</w:t>
      </w:r>
      <w:r>
        <w:tab/>
        <w:t xml:space="preserve">На всех задних </w:t>
      </w:r>
      <w:r>
        <w:rPr>
          <w:b/>
          <w:bCs/>
        </w:rPr>
        <w:t>боковых, задних средних</w:t>
      </w:r>
      <w:r>
        <w:t xml:space="preserve"> и передних средних местах для сидения, оборудованных подголовниками, подголовник должен, при его испытании в соответствии с приложением 15, допускать возможность поворота вручную вперед или назад не менее чем на 60° по отношению к любому положению регулировки, предусмотренному для использования водителем или пассажиром, в котором его минимальная высота не меньше высоты, указанной в пункте 5.6.2 настоящих Правил. </w:t>
      </w:r>
      <w:r>
        <w:rPr>
          <w:b/>
          <w:bCs/>
        </w:rPr>
        <w:t>Подголовник, повернутый минимум на 60° вперед или назад, считается установленным в неиспользуемое положение даже в том случае, если высота подголовника в таком положении будет превышать высоту, указанную в пункте 5.6.2</w:t>
      </w:r>
      <w:r w:rsidRPr="00DD4DE1">
        <w:rPr>
          <w:bCs/>
        </w:rPr>
        <w:t>».</w:t>
      </w:r>
    </w:p>
    <w:p w:rsidR="00DD4DE1" w:rsidRPr="00B07144" w:rsidRDefault="00DD4DE1" w:rsidP="00DD4DE1">
      <w:pPr>
        <w:pStyle w:val="SingleTxtG"/>
        <w:rPr>
          <w:color w:val="000000" w:themeColor="text1"/>
        </w:rPr>
      </w:pPr>
      <w:r>
        <w:rPr>
          <w:i/>
          <w:iCs/>
        </w:rPr>
        <w:t>Пункт 5.8.4.5</w:t>
      </w:r>
      <w:r w:rsidRPr="00B07144">
        <w:rPr>
          <w:iCs/>
        </w:rP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«5.8.4.5</w:t>
      </w:r>
      <w:r>
        <w:tab/>
      </w:r>
      <w:r>
        <w:rPr>
          <w:b/>
          <w:bCs/>
        </w:rPr>
        <w:t xml:space="preserve">Для информирования о возможности установки в неиспользуемое положение </w:t>
      </w:r>
      <w:r>
        <w:rPr>
          <w:strike/>
        </w:rPr>
        <w:t>Н</w:t>
      </w:r>
      <w:r>
        <w:rPr>
          <w:b/>
          <w:bCs/>
        </w:rPr>
        <w:t>н</w:t>
      </w:r>
      <w:r>
        <w:t>а подголовник должен наноситься маркировочный знак в виде пиктограммы, которая может включать пояснительный текст.</w:t>
      </w:r>
      <w:r w:rsidR="00D955A1">
        <w:t xml:space="preserve"> </w:t>
      </w:r>
      <w:r>
        <w:t>Маркировочный знак должен либо указывать на то, что подголовник находится в неиспользуемом положении, либо содержать информацию, позволяющую водителю или пассажиру определить, находится ли подголовник в неиспользуемом положении.</w:t>
      </w:r>
      <w:r w:rsidR="00D955A1">
        <w:t xml:space="preserve"> </w:t>
      </w:r>
      <w:r>
        <w:t>Маркировочный знак должен быть прочно прикреплен и расположен</w:t>
      </w:r>
      <w:r w:rsidR="00B07144">
        <w:t xml:space="preserve"> таким образом, чтобы водитель и</w:t>
      </w:r>
      <w:r>
        <w:t xml:space="preserve">ли пассажир, который садится в машину на соответствующее место для сидения, мог его четко видеть. </w:t>
      </w:r>
      <w:r w:rsidRPr="00775C63">
        <w:rPr>
          <w:b/>
          <w:bCs/>
        </w:rPr>
        <w:t>Число</w:t>
      </w:r>
      <w:r>
        <w:rPr>
          <w:b/>
          <w:bCs/>
        </w:rPr>
        <w:t xml:space="preserve"> требуемых маркировочных знаков может не превышать число подголовников с возможностью установки в неиспользуемое положение.</w:t>
      </w:r>
      <w:r w:rsidR="00D955A1">
        <w:t xml:space="preserve"> </w:t>
      </w:r>
      <w:r>
        <w:t>Примеры возможных схем пиктограмм показаны на рис. 1».</w:t>
      </w:r>
    </w:p>
    <w:p w:rsidR="00DD4DE1" w:rsidRPr="00B07144" w:rsidRDefault="00DD4DE1" w:rsidP="00DD4DE1">
      <w:pPr>
        <w:pStyle w:val="SingleTxtG"/>
        <w:rPr>
          <w:color w:val="000000" w:themeColor="text1"/>
        </w:rPr>
      </w:pPr>
      <w:r>
        <w:rPr>
          <w:i/>
          <w:iCs/>
        </w:rPr>
        <w:t xml:space="preserve">Пункт 5.10 </w:t>
      </w:r>
      <w:r w:rsidRPr="00B07144">
        <w:rPr>
          <w:iCs/>
        </w:rPr>
        <w:t>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color w:val="000000" w:themeColor="text1"/>
        </w:rPr>
      </w:pPr>
      <w:r>
        <w:t>«5.10</w:t>
      </w:r>
      <w:r>
        <w:tab/>
        <w:t xml:space="preserve">Регулируемый подголовник не должен устанавливаться на высоту, превышающую максимальную высоту его использования, и должна исключаться возможность его снятия, если только водитель или пассажир не предпринимает преднамеренных действий, которые не имеют ничего общего с действиями, необходимыми для </w:t>
      </w:r>
      <w:r>
        <w:rPr>
          <w:strike/>
        </w:rPr>
        <w:t>его</w:t>
      </w:r>
      <w:r>
        <w:t xml:space="preserve"> регулировки </w:t>
      </w:r>
      <w:r>
        <w:rPr>
          <w:b/>
          <w:bCs/>
        </w:rPr>
        <w:t>его высоты</w:t>
      </w:r>
      <w:r>
        <w:t>».</w:t>
      </w:r>
    </w:p>
    <w:p w:rsidR="00DD4DE1" w:rsidRPr="00B07144" w:rsidRDefault="00DD4DE1" w:rsidP="00DD4DE1">
      <w:pPr>
        <w:pStyle w:val="SingleTxtG"/>
        <w:pageBreakBefore/>
        <w:rPr>
          <w:color w:val="000000" w:themeColor="text1"/>
        </w:rPr>
      </w:pPr>
      <w:r>
        <w:rPr>
          <w:i/>
          <w:iCs/>
        </w:rPr>
        <w:lastRenderedPageBreak/>
        <w:t xml:space="preserve">Пункт 6.4.4 </w:t>
      </w:r>
      <w:r w:rsidRPr="00B07144">
        <w:rPr>
          <w:iCs/>
        </w:rPr>
        <w:t>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«6.4.4</w:t>
      </w:r>
      <w:r>
        <w:tab/>
        <w:t xml:space="preserve">Для подтверждения соответствия пунктам 5.6–5.8 настоящих Правил используется любой поясной удерживающий элемент </w:t>
      </w:r>
      <w:r>
        <w:rPr>
          <w:b/>
          <w:bCs/>
        </w:rPr>
        <w:t>и любой боковой выступ-поддержка</w:t>
      </w:r>
      <w:r>
        <w:t>, отрегулированн</w:t>
      </w:r>
      <w:r>
        <w:rPr>
          <w:strike/>
        </w:rPr>
        <w:t>ый</w:t>
      </w:r>
      <w:r>
        <w:rPr>
          <w:b/>
          <w:bCs/>
        </w:rPr>
        <w:t>ые</w:t>
      </w:r>
      <w:r>
        <w:t xml:space="preserve"> по своему крайнему заднему расчетному конструктивному положению. Если подушка сиденья регулируется независимо от спинки сиденья, то подушка сиденья устанавливается таким образом, чтобы в отношении спинки сиденья можно было достичь самого низкого положения точки Н.</w:t>
      </w:r>
      <w:r w:rsidR="00D955A1">
        <w:t xml:space="preserve"> </w:t>
      </w:r>
      <w:r>
        <w:t>Однако вместо этих условий могут применяться подробные процедуры испытания, описанные в приложениях».</w:t>
      </w:r>
    </w:p>
    <w:p w:rsidR="00DD4DE1" w:rsidRPr="00EF2E55" w:rsidRDefault="00DD4DE1" w:rsidP="00DD4DE1">
      <w:pPr>
        <w:pStyle w:val="SingleTxtG"/>
        <w:rPr>
          <w:iCs/>
          <w:color w:val="000000" w:themeColor="text1"/>
        </w:rPr>
      </w:pPr>
      <w:r>
        <w:rPr>
          <w:i/>
          <w:iCs/>
        </w:rPr>
        <w:t>Пункт 6.6.3</w:t>
      </w:r>
      <w:r>
        <w:t xml:space="preserve"> исключить.</w:t>
      </w:r>
    </w:p>
    <w:p w:rsidR="00DD4DE1" w:rsidRPr="00EF2E55" w:rsidRDefault="00DD4DE1" w:rsidP="00DD4DE1">
      <w:pPr>
        <w:pStyle w:val="SingleTxtG"/>
        <w:rPr>
          <w:iCs/>
          <w:color w:val="000000" w:themeColor="text1"/>
        </w:rPr>
      </w:pPr>
      <w:r>
        <w:rPr>
          <w:i/>
          <w:iCs/>
        </w:rPr>
        <w:t>Пункт 6.8.1.3.1</w:t>
      </w:r>
      <w: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color w:val="000000" w:themeColor="text1"/>
        </w:rPr>
      </w:pPr>
      <w:r>
        <w:t>«6.8.1.3.1</w:t>
      </w:r>
      <w:r>
        <w:tab/>
        <w:t xml:space="preserve">Зона 3 определяется в качестве части спинки сиденья или многоместного нераздельного сиденья, расположенной над горизонтальными плоскостями, </w:t>
      </w:r>
      <w:r>
        <w:rPr>
          <w:strike/>
        </w:rPr>
        <w:t xml:space="preserve">через точку R сиденья </w:t>
      </w:r>
      <w:r>
        <w:rPr>
          <w:b/>
          <w:bCs/>
        </w:rPr>
        <w:t>определенными в пункте 5.2.4.1.3 выше</w:t>
      </w:r>
      <w:r>
        <w:t>, за исключением частей, относящихся к зонам 1 и 2».</w:t>
      </w:r>
    </w:p>
    <w:p w:rsidR="00DD4DE1" w:rsidRPr="00B07144" w:rsidRDefault="00DD4DE1" w:rsidP="00DD4DE1">
      <w:pPr>
        <w:pStyle w:val="SingleTxtG"/>
        <w:rPr>
          <w:color w:val="000000" w:themeColor="text1"/>
        </w:rPr>
      </w:pPr>
      <w:r>
        <w:rPr>
          <w:i/>
          <w:iCs/>
        </w:rPr>
        <w:t>Пункт 6.9</w:t>
      </w:r>
      <w:r w:rsidRPr="00B07144">
        <w:rPr>
          <w:iCs/>
        </w:rPr>
        <w:t xml:space="preserve"> изменить следующим образом:</w:t>
      </w:r>
    </w:p>
    <w:p w:rsidR="00DD4DE1" w:rsidRPr="00EF2E55" w:rsidRDefault="00DD4DE1" w:rsidP="00DD4DE1">
      <w:pPr>
        <w:pStyle w:val="para"/>
        <w:rPr>
          <w:color w:val="000000" w:themeColor="text1"/>
          <w:lang w:val="ru-RU"/>
        </w:rPr>
      </w:pPr>
      <w:r>
        <w:rPr>
          <w:lang w:val="ru-RU"/>
        </w:rPr>
        <w:t>«6.9</w:t>
      </w:r>
      <w:r>
        <w:rPr>
          <w:lang w:val="ru-RU"/>
        </w:rPr>
        <w:tab/>
        <w:t>Эквивалентные методы испытаний</w:t>
      </w:r>
    </w:p>
    <w:p w:rsidR="00DD4DE1" w:rsidRPr="00EF2E55" w:rsidRDefault="00DD4DE1" w:rsidP="00D955A1">
      <w:pPr>
        <w:pStyle w:val="SingleTxtG"/>
        <w:ind w:left="2268" w:hanging="1134"/>
        <w:rPr>
          <w:color w:val="000000" w:themeColor="text1"/>
        </w:rPr>
      </w:pPr>
      <w:r>
        <w:tab/>
        <w:t>Если вместо методов испытаний, указанных в пунктах 6.2, 6.3</w:t>
      </w:r>
      <w:r>
        <w:rPr>
          <w:strike/>
        </w:rPr>
        <w:t>,</w:t>
      </w:r>
      <w:r>
        <w:t xml:space="preserve"> </w:t>
      </w:r>
      <w:r>
        <w:rPr>
          <w:strike/>
        </w:rPr>
        <w:t>6.4</w:t>
      </w:r>
      <w:r>
        <w:t xml:space="preserve"> выше </w:t>
      </w:r>
      <w:r>
        <w:rPr>
          <w:strike/>
        </w:rPr>
        <w:t>и</w:t>
      </w:r>
      <w:r>
        <w:t xml:space="preserve"> </w:t>
      </w:r>
      <w:r>
        <w:rPr>
          <w:b/>
          <w:bCs/>
        </w:rPr>
        <w:t xml:space="preserve">или в приложении 5, </w:t>
      </w:r>
      <w:r>
        <w:t xml:space="preserve">в приложении 6 </w:t>
      </w:r>
      <w:r>
        <w:rPr>
          <w:b/>
          <w:bCs/>
        </w:rPr>
        <w:t>или приложении 12</w:t>
      </w:r>
      <w:r>
        <w:t xml:space="preserve">, используются другие методы испытания, то необходимо доказать их эквивалентность». </w:t>
      </w:r>
    </w:p>
    <w:p w:rsidR="00DD4DE1" w:rsidRPr="00B07144" w:rsidRDefault="00DD4DE1" w:rsidP="00DD4DE1">
      <w:pPr>
        <w:pStyle w:val="SingleTxtG"/>
        <w:rPr>
          <w:color w:val="000000" w:themeColor="text1"/>
        </w:rPr>
      </w:pPr>
      <w:r>
        <w:rPr>
          <w:i/>
          <w:iCs/>
        </w:rPr>
        <w:t xml:space="preserve">Пункты 13.13.1−13.13.3 </w:t>
      </w:r>
      <w:r w:rsidRPr="00B07144">
        <w:rPr>
          <w:iCs/>
        </w:rPr>
        <w:t>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«13.13.1</w:t>
      </w:r>
      <w:r>
        <w:tab/>
        <w:t xml:space="preserve">Начиная с [1 сентября </w:t>
      </w:r>
      <w:r>
        <w:rPr>
          <w:b/>
          <w:bCs/>
        </w:rPr>
        <w:t>2022 года</w:t>
      </w:r>
      <w:r>
        <w:t xml:space="preserve">] Договаривающиеся стороны, применяющие настоящие Правила ООН, не обязаны признавать официальные утверждения типа ООН, выданные на основании поправок предшествующих серий, которые были первоначально распространены не ранее [1 сентября </w:t>
      </w:r>
      <w:r>
        <w:rPr>
          <w:b/>
          <w:bCs/>
        </w:rPr>
        <w:t>2022 года</w:t>
      </w:r>
      <w:r>
        <w:t>].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13.13.2</w:t>
      </w:r>
      <w:r>
        <w:tab/>
        <w:t xml:space="preserve">До [1 сентября </w:t>
      </w:r>
      <w:r>
        <w:rPr>
          <w:b/>
          <w:bCs/>
        </w:rPr>
        <w:t>2025 года</w:t>
      </w:r>
      <w:r>
        <w:t xml:space="preserve">] Договаривающиеся стороны, применяющие настоящие Правила ООН, признают официальные утверждения типа ООН на основании поправок предшествующих серий, которые были первоначально распространены до [1 сентября </w:t>
      </w:r>
      <w:r>
        <w:rPr>
          <w:b/>
          <w:bCs/>
        </w:rPr>
        <w:t>2022 года</w:t>
      </w:r>
      <w:r>
        <w:t>].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13.13.3</w:t>
      </w:r>
      <w:r>
        <w:tab/>
        <w:t xml:space="preserve">Начиная с [1 сентября </w:t>
      </w:r>
      <w:r>
        <w:rPr>
          <w:b/>
          <w:bCs/>
        </w:rPr>
        <w:t>2025 года</w:t>
      </w:r>
      <w:r>
        <w:t xml:space="preserve">] Договаривающиеся стороны, применяющие настоящие Правила, не обязаны признавать официальные утверждения типа, предоставленные на основании предыдущих серий поправок к настоящим Правилам </w:t>
      </w:r>
      <w:r>
        <w:rPr>
          <w:b/>
          <w:bCs/>
        </w:rPr>
        <w:t>в отношении передних подголовников</w:t>
      </w:r>
      <w:r>
        <w:t>».</w:t>
      </w:r>
    </w:p>
    <w:p w:rsidR="00DD4DE1" w:rsidRPr="00EF2E55" w:rsidRDefault="00DD4DE1" w:rsidP="00DD4DE1">
      <w:pPr>
        <w:pStyle w:val="SingleTxtG"/>
        <w:rPr>
          <w:color w:val="000000" w:themeColor="text1"/>
        </w:rPr>
      </w:pPr>
      <w:r>
        <w:rPr>
          <w:i/>
          <w:iCs/>
        </w:rPr>
        <w:t>Приложение 4, пункт 2.1</w:t>
      </w:r>
      <w: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«2.1</w:t>
      </w:r>
      <w:r>
        <w:tab/>
        <w:t xml:space="preserve">Сиденье регулируется таким образом, чтобы его точка Н совпала с точкой R; если спинка сиденья регулируется, то она устанавливается под конструктивным углом наклона; обе регулировки осуществляются в соответствии с предписаниями пункта 2.1 приложения 10. </w:t>
      </w:r>
    </w:p>
    <w:p w:rsidR="00DD4DE1" w:rsidRPr="00EF2E55" w:rsidRDefault="00DD4DE1" w:rsidP="00B07144">
      <w:pPr>
        <w:pStyle w:val="SingleTxtG"/>
        <w:ind w:left="2268"/>
        <w:rPr>
          <w:color w:val="000000" w:themeColor="text1"/>
        </w:rPr>
      </w:pPr>
      <w:r>
        <w:tab/>
      </w:r>
      <w:r w:rsidRPr="00B07144">
        <w:rPr>
          <w:b/>
        </w:rPr>
        <w:t>Подголовник устанавливается в самое высокое и крайнее заднее положение по отношению к спинке сиденья</w:t>
      </w:r>
      <w:r w:rsidRPr="00DD4DE1">
        <w:t>».</w:t>
      </w:r>
    </w:p>
    <w:p w:rsidR="00DD4DE1" w:rsidRPr="00EF2E55" w:rsidRDefault="00DD4DE1" w:rsidP="00DD4DE1">
      <w:pPr>
        <w:pStyle w:val="SingleTxtG"/>
        <w:rPr>
          <w:bCs/>
          <w:color w:val="000000" w:themeColor="text1"/>
        </w:rPr>
      </w:pPr>
      <w:r>
        <w:rPr>
          <w:i/>
          <w:iCs/>
        </w:rPr>
        <w:t>Приложение 5, пункты 2.3 и 2.4</w:t>
      </w:r>
      <w: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/>
          <w:snapToGrid w:val="0"/>
          <w:color w:val="000000" w:themeColor="text1"/>
        </w:rPr>
      </w:pPr>
      <w:r>
        <w:t>«2.3</w:t>
      </w:r>
      <w:r>
        <w:tab/>
        <w:t>Определяется смещение исходной линии туловища при помощи создания крутящего момента в заднем направлении величиной 373 ± 7,5 Нм вокруг точки R путем приложения силы к спинке сиденья с помощью спинного элемента со скоростью</w:t>
      </w:r>
      <w:r>
        <w:rPr>
          <w:b/>
          <w:bCs/>
        </w:rPr>
        <w:t xml:space="preserve"> [2,5–37,3 Нм/с].</w:t>
      </w:r>
      <w:r w:rsidR="00D955A1">
        <w:t xml:space="preserve"> </w:t>
      </w:r>
      <w:r>
        <w:t xml:space="preserve">Начальная точка приложения вектора силы, создающей вращательный момент, к спинному элементу должна находиться на высоте 290 ± 13 мм. Вектор силы прилагается </w:t>
      </w:r>
      <w:r>
        <w:lastRenderedPageBreak/>
        <w:t>перпендикулярно исходной линии туловища и поддерживается в пределах 2º от вертикальной плоскости, параллельной продольной осевой линии транспортного средства.</w:t>
      </w:r>
      <w:r w:rsidR="00D955A1">
        <w:t xml:space="preserve"> </w:t>
      </w:r>
      <w:r>
        <w:t>К спинному элементу прилагается усилие, с тем чтобы</w:t>
      </w:r>
      <w:r w:rsidR="00D955A1">
        <w:t xml:space="preserve"> он повернулся вокруг точки R. </w:t>
      </w:r>
      <w:r>
        <w:t xml:space="preserve">Вектор силы поворачивается в направлении, соответствующем повороту спинного элемента. </w:t>
      </w:r>
      <w:r>
        <w:rPr>
          <w:b/>
          <w:bCs/>
        </w:rPr>
        <w:t>В случае одновременного испытания многоместных нераздельных сидений ко всем нераздельным сиденьям – независимо от того, оснащены они или не оснащены подголовниками – применяется момент силы в направлении назад.</w:t>
      </w:r>
    </w:p>
    <w:p w:rsidR="00DD4DE1" w:rsidRPr="00EF2E55" w:rsidRDefault="00DD4DE1" w:rsidP="00D955A1">
      <w:pPr>
        <w:pStyle w:val="SingleTxtG"/>
        <w:ind w:left="2268" w:hanging="1134"/>
        <w:rPr>
          <w:bCs/>
          <w:snapToGrid w:val="0"/>
          <w:color w:val="000000" w:themeColor="text1"/>
        </w:rPr>
      </w:pPr>
      <w:r>
        <w:t>2.4</w:t>
      </w:r>
      <w:r>
        <w:tab/>
        <w:t>Положение спинного элемента, определенное в пункте 2.3 настоящего приложения, поддерживается.</w:t>
      </w:r>
      <w:r w:rsidR="00D955A1">
        <w:t xml:space="preserve"> </w:t>
      </w:r>
      <w:r>
        <w:t xml:space="preserve">С помощью сферической модели головы диаметром 165 ± 2 мм определяется начальное исходное положение модели головы путем приложения перпендикулярно к смещенной исходной линии туловища первоначальной нагрузки в заднем направлении, проходящей по осевой линии сиденья на высоте 65 ± 3 мм ниже верха подголовника, которая должна создавать крутящий момент величиной 373 </w:t>
      </w:r>
      <w:r>
        <w:rPr>
          <w:strike/>
        </w:rPr>
        <w:t>± 7,5</w:t>
      </w:r>
      <w:r>
        <w:t xml:space="preserve"> Нм вокруг точки R.</w:t>
      </w:r>
      <w:r w:rsidR="00D955A1">
        <w:t xml:space="preserve"> </w:t>
      </w:r>
      <w:r>
        <w:t xml:space="preserve">После поддержания этого момента в течение 5 секунд измеряется смещение модели головы в заднем направлении в процессе приложения нагрузки. </w:t>
      </w:r>
      <w:r>
        <w:rPr>
          <w:b/>
          <w:bCs/>
        </w:rPr>
        <w:t>В случае одновременного испытания многоместных нераздельных сидений это усилие применяется одновременно ко всем подголовникам, находящимся на нераздельных сиденьях</w:t>
      </w:r>
      <w:r w:rsidRPr="00DD4DE1">
        <w:rPr>
          <w:bCs/>
        </w:rPr>
        <w:t>».</w:t>
      </w:r>
    </w:p>
    <w:p w:rsidR="00DD4DE1" w:rsidRPr="00EF2E55" w:rsidRDefault="00DD4DE1" w:rsidP="00DD4DE1">
      <w:pPr>
        <w:pStyle w:val="SingleTxtG"/>
        <w:rPr>
          <w:iCs/>
          <w:color w:val="000000" w:themeColor="text1"/>
        </w:rPr>
      </w:pPr>
      <w:r>
        <w:rPr>
          <w:i/>
          <w:iCs/>
        </w:rPr>
        <w:t>Приложение 5, пункт 3.4</w:t>
      </w:r>
      <w: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Cs/>
          <w:snapToGrid w:val="0"/>
          <w:color w:val="000000" w:themeColor="text1"/>
        </w:rPr>
      </w:pPr>
      <w:r>
        <w:t>«3.4</w:t>
      </w:r>
      <w:r>
        <w:tab/>
        <w:t xml:space="preserve">Определяется смещение исходной линии туловища при помощи создания крутящего момента в заднем направлении величиной 373 </w:t>
      </w:r>
      <w:r w:rsidRPr="00D955A1">
        <w:t>± 7,5</w:t>
      </w:r>
      <w:r>
        <w:t xml:space="preserve"> Нм вокруг точки R путем приложения силы к спинке сиденья с помощью спинного элемента со скоростью </w:t>
      </w:r>
      <w:r>
        <w:rPr>
          <w:b/>
          <w:bCs/>
        </w:rPr>
        <w:t>[2,5–37,3 Нм/с].</w:t>
      </w:r>
      <w:r w:rsidR="00D955A1">
        <w:t xml:space="preserve"> </w:t>
      </w:r>
      <w:r>
        <w:t>Начальная точка приложения вектора силы, создающей вращательный момент, к спинному элементу должна находиться на высоте 290 ± 13 мм. Вектор силы прилагается перпендикулярно исходной линии туловища и поддерживается в пределах 2º от вертикальной плоскости, параллельной продольной осевой линии транспортного средства. К спинному элементу прилагается усилие, с тем чтобы он повернулся вокруг точки R.</w:t>
      </w:r>
      <w:r w:rsidR="00D955A1">
        <w:t xml:space="preserve"> </w:t>
      </w:r>
      <w:r>
        <w:t>Вектор силы поворачивается в направлении, соответствующем повороту спинного элемента».</w:t>
      </w:r>
    </w:p>
    <w:p w:rsidR="00DD4DE1" w:rsidRPr="00EF2E55" w:rsidRDefault="00DD4DE1" w:rsidP="00DD4DE1">
      <w:pPr>
        <w:pStyle w:val="SingleTxtG"/>
        <w:rPr>
          <w:bCs/>
          <w:snapToGrid w:val="0"/>
          <w:color w:val="000000" w:themeColor="text1"/>
        </w:rPr>
      </w:pPr>
      <w:r>
        <w:rPr>
          <w:i/>
          <w:iCs/>
        </w:rPr>
        <w:t>Приложение 5, пункты 3.7 и 3.8</w:t>
      </w:r>
      <w: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Cs/>
          <w:snapToGrid w:val="0"/>
          <w:color w:val="000000" w:themeColor="text1"/>
        </w:rPr>
      </w:pPr>
      <w:r>
        <w:t>«3.7</w:t>
      </w:r>
      <w:r>
        <w:tab/>
        <w:t xml:space="preserve">Первоначальная нагрузка увеличивается со скоростью </w:t>
      </w:r>
      <w:r>
        <w:rPr>
          <w:b/>
          <w:bCs/>
        </w:rPr>
        <w:t>[2,5–37,3 Нм/с]</w:t>
      </w:r>
      <w:r>
        <w:t xml:space="preserve"> </w:t>
      </w:r>
      <w:r w:rsidR="00D955A1">
        <w:br/>
      </w:r>
      <w:r>
        <w:t xml:space="preserve">до тех пор, пока не будет достигнут крутящий момент </w:t>
      </w:r>
      <w:r w:rsidR="00D955A1">
        <w:br/>
      </w:r>
      <w:r>
        <w:t>величиной 373</w:t>
      </w:r>
      <w:r>
        <w:rPr>
          <w:strike/>
        </w:rPr>
        <w:t xml:space="preserve"> ± 7,5</w:t>
      </w:r>
      <w:r>
        <w:t xml:space="preserve"> Нм вокруг точки R.</w:t>
      </w:r>
      <w:r w:rsidR="00D955A1">
        <w:t xml:space="preserve"> </w:t>
      </w:r>
      <w:r>
        <w:t>Уровень нагрузки, создающей этот крутящий момент, поддерживается в течение не менее 5 секунд и затем измеряется смещение модели головы назад по отношению к смещенной исходной линии туловища.</w:t>
      </w:r>
    </w:p>
    <w:p w:rsidR="00DD4DE1" w:rsidRPr="00EF2E55" w:rsidRDefault="00B07144" w:rsidP="00D955A1">
      <w:pPr>
        <w:pStyle w:val="SingleTxtG"/>
        <w:ind w:left="2268" w:hanging="1134"/>
        <w:rPr>
          <w:bCs/>
          <w:snapToGrid w:val="0"/>
          <w:color w:val="000000" w:themeColor="text1"/>
        </w:rPr>
      </w:pPr>
      <w:r>
        <w:t>3.8</w:t>
      </w:r>
      <w:r>
        <w:tab/>
      </w:r>
      <w:r w:rsidR="00DD4DE1">
        <w:t xml:space="preserve">Нагрузка снижается </w:t>
      </w:r>
      <w:r w:rsidR="00DD4DE1">
        <w:rPr>
          <w:b/>
          <w:bCs/>
        </w:rPr>
        <w:t>со скоростью [2,5–37,3 Нм/с]</w:t>
      </w:r>
      <w:r w:rsidR="00DD4DE1">
        <w:t xml:space="preserve"> до 0 Нм.</w:t>
      </w:r>
      <w:r w:rsidR="00D955A1">
        <w:t xml:space="preserve"> </w:t>
      </w:r>
      <w:r w:rsidR="00DD4DE1">
        <w:t xml:space="preserve">После </w:t>
      </w:r>
      <w:r w:rsidR="00DD4DE1">
        <w:rPr>
          <w:b/>
          <w:bCs/>
        </w:rPr>
        <w:t xml:space="preserve">не более чем </w:t>
      </w:r>
      <w:r w:rsidR="00DD4DE1">
        <w:rPr>
          <w:strike/>
        </w:rPr>
        <w:t>10</w:t>
      </w:r>
      <w:r w:rsidR="00DD4DE1">
        <w:rPr>
          <w:b/>
          <w:bCs/>
        </w:rPr>
        <w:t>2</w:t>
      </w:r>
      <w:r w:rsidR="00DD4DE1">
        <w:t xml:space="preserve">-минутной паузы нагрузка прилагается еще раз до достижения вращательного момента 37 </w:t>
      </w:r>
      <w:r w:rsidR="00DD4DE1">
        <w:rPr>
          <w:strike/>
        </w:rPr>
        <w:t>± 0,7</w:t>
      </w:r>
      <w:r w:rsidR="00DD4DE1">
        <w:t xml:space="preserve"> Нм вокруг точки R. При</w:t>
      </w:r>
      <w:r w:rsidR="00D955A1">
        <w:t> </w:t>
      </w:r>
      <w:r w:rsidR="00DD4DE1">
        <w:t>поддержании уровня нагрузки, создающей этот момент, измеряется смещение положения модели головы в заднем направлении по отношению к ее начальному исходному положению».</w:t>
      </w:r>
      <w:r w:rsidR="00D955A1">
        <w:t xml:space="preserve"> </w:t>
      </w:r>
    </w:p>
    <w:p w:rsidR="00DD4DE1" w:rsidRPr="00EF2E55" w:rsidRDefault="00DD4DE1" w:rsidP="00DD4DE1">
      <w:pPr>
        <w:pStyle w:val="SingleTxtG"/>
        <w:rPr>
          <w:bCs/>
          <w:snapToGrid w:val="0"/>
          <w:color w:val="000000" w:themeColor="text1"/>
        </w:rPr>
      </w:pPr>
      <w:r>
        <w:rPr>
          <w:i/>
          <w:iCs/>
        </w:rPr>
        <w:t>Приложение 5, пункт 4.1</w:t>
      </w:r>
      <w: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Cs/>
          <w:snapToGrid w:val="0"/>
          <w:color w:val="000000" w:themeColor="text1"/>
        </w:rPr>
      </w:pPr>
      <w:r>
        <w:t>«4.1</w:t>
      </w:r>
      <w:r>
        <w:tab/>
        <w:t xml:space="preserve">Нагрузка, указанная в пункте 3.8 настоящего приложения, увеличивается со скоростью </w:t>
      </w:r>
      <w:r>
        <w:rPr>
          <w:b/>
          <w:bCs/>
        </w:rPr>
        <w:t>[5–200 Н/с]</w:t>
      </w:r>
      <w:r>
        <w:t xml:space="preserve"> до достижения величины, равной 890 </w:t>
      </w:r>
      <w:r>
        <w:rPr>
          <w:strike/>
        </w:rPr>
        <w:t>± 5</w:t>
      </w:r>
      <w:r>
        <w:t xml:space="preserve"> Н, и</w:t>
      </w:r>
      <w:r w:rsidR="00D955A1">
        <w:t> </w:t>
      </w:r>
      <w:r>
        <w:t xml:space="preserve">прилагаемая нагрузка поддерживается в течение не менее 5 секунд без какого-либо разрушения сиденья или подголовника. </w:t>
      </w:r>
      <w:r>
        <w:rPr>
          <w:b/>
          <w:bCs/>
        </w:rPr>
        <w:t xml:space="preserve">По просьбе изготовителя нагрузка, указанная в пункте 2.3 приложения 5, повышается синхронно до 530 Нм только в случае сидячих мест без </w:t>
      </w:r>
      <w:r>
        <w:rPr>
          <w:b/>
          <w:bCs/>
        </w:rPr>
        <w:lastRenderedPageBreak/>
        <w:t>подголовников для одновременного обеспечения соответствия пунктам 5.11 и 6.2</w:t>
      </w:r>
      <w:r w:rsidRPr="00DD4DE1">
        <w:rPr>
          <w:bCs/>
        </w:rPr>
        <w:t>».</w:t>
      </w:r>
    </w:p>
    <w:p w:rsidR="00DD4DE1" w:rsidRPr="00B07144" w:rsidRDefault="00DD4DE1" w:rsidP="00DD4DE1">
      <w:pPr>
        <w:pStyle w:val="SingleTxtG"/>
        <w:rPr>
          <w:bCs/>
          <w:snapToGrid w:val="0"/>
          <w:color w:val="000000" w:themeColor="text1"/>
        </w:rPr>
      </w:pPr>
      <w:r>
        <w:rPr>
          <w:i/>
          <w:iCs/>
        </w:rPr>
        <w:t xml:space="preserve">Приложение 8, пункт 2.3 </w:t>
      </w:r>
      <w:r w:rsidRPr="00B07144">
        <w:rPr>
          <w:iCs/>
        </w:rPr>
        <w:t>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«2.3</w:t>
      </w:r>
      <w:r>
        <w:tab/>
        <w:t xml:space="preserve">Зоной измерения является любая точка между двумя вертикальными продольными плоскостями, проходящими на расстоянии 85 мм с одной и с другой стороны от исходной линии туловища и выше </w:t>
      </w:r>
      <w:r>
        <w:rPr>
          <w:strike/>
        </w:rPr>
        <w:t>верха спинки сиденья</w:t>
      </w:r>
      <w:r>
        <w:t xml:space="preserve"> </w:t>
      </w:r>
      <w:r>
        <w:rPr>
          <w:b/>
          <w:bCs/>
        </w:rPr>
        <w:t>точки, расположенной на высоте 540 мм</w:t>
      </w:r>
      <w:r>
        <w:t>».</w:t>
      </w:r>
    </w:p>
    <w:p w:rsidR="00DD4DE1" w:rsidRPr="00B07144" w:rsidRDefault="00DD4DE1" w:rsidP="00DD4DE1">
      <w:pPr>
        <w:pStyle w:val="SingleTxtG"/>
        <w:rPr>
          <w:bCs/>
          <w:snapToGrid w:val="0"/>
          <w:color w:val="000000" w:themeColor="text1"/>
        </w:rPr>
      </w:pPr>
      <w:r>
        <w:rPr>
          <w:i/>
          <w:iCs/>
        </w:rPr>
        <w:t>Приложение 8, пункт 2.5</w:t>
      </w:r>
      <w:r w:rsidRPr="00B07144">
        <w:rPr>
          <w:iCs/>
        </w:rP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«2.5</w:t>
      </w:r>
      <w:r>
        <w:tab/>
        <w:t>Размер проема определяется путем измерения расстояния по прямой линии между внутренними краями двух наиболее удаленных точек контакта, как показано на рис. 8-1</w:t>
      </w:r>
      <w:r>
        <w:rPr>
          <w:b/>
          <w:bCs/>
        </w:rPr>
        <w:t>,</w:t>
      </w:r>
      <w:r>
        <w:t xml:space="preserve"> </w:t>
      </w:r>
      <w:r>
        <w:rPr>
          <w:strike/>
        </w:rPr>
        <w:t>и</w:t>
      </w:r>
      <w:r>
        <w:t xml:space="preserve"> 8-2 </w:t>
      </w:r>
      <w:r>
        <w:rPr>
          <w:b/>
          <w:bCs/>
        </w:rPr>
        <w:t>и 8-3</w:t>
      </w:r>
      <w:r>
        <w:t>».</w:t>
      </w:r>
    </w:p>
    <w:p w:rsidR="00DD4DE1" w:rsidRPr="00EF2E55" w:rsidRDefault="00DD4DE1" w:rsidP="00DD4DE1">
      <w:pPr>
        <w:spacing w:after="120"/>
        <w:ind w:left="1134" w:right="1134"/>
        <w:jc w:val="both"/>
        <w:rPr>
          <w:iCs/>
          <w:color w:val="000000" w:themeColor="text1"/>
        </w:rPr>
      </w:pPr>
      <w:r>
        <w:rPr>
          <w:i/>
          <w:iCs/>
        </w:rPr>
        <w:t>Приложение 8,</w:t>
      </w:r>
      <w:r w:rsidRPr="007749B7">
        <w:rPr>
          <w:i/>
          <w:iCs/>
        </w:rPr>
        <w:t xml:space="preserve"> включить следующий новый рис. 8-3:</w:t>
      </w:r>
    </w:p>
    <w:p w:rsidR="00DD4DE1" w:rsidRPr="00533AC1" w:rsidRDefault="00DD4DE1" w:rsidP="00DD4DE1">
      <w:pPr>
        <w:spacing w:after="120"/>
        <w:ind w:left="1134" w:right="1134"/>
        <w:rPr>
          <w:b/>
          <w:bCs/>
        </w:rPr>
      </w:pPr>
      <w:r w:rsidRPr="00DD4DE1">
        <w:rPr>
          <w:bCs/>
        </w:rPr>
        <w:t>«</w:t>
      </w:r>
      <w:r>
        <w:rPr>
          <w:b/>
          <w:bCs/>
        </w:rPr>
        <w:t>Рис. 8-3</w:t>
      </w:r>
      <w:r>
        <w:rPr>
          <w:b/>
          <w:bCs/>
        </w:rPr>
        <w:br/>
      </w:r>
      <w:r w:rsidRPr="00533AC1">
        <w:rPr>
          <w:b/>
          <w:bCs/>
        </w:rPr>
        <w:t>Часть проема выше 540 мм</w:t>
      </w:r>
    </w:p>
    <w:p w:rsidR="00D955A1" w:rsidRDefault="00533AC1" w:rsidP="00DD4DE1">
      <w:pPr>
        <w:spacing w:after="120"/>
        <w:ind w:left="2835" w:right="1134"/>
        <w:rPr>
          <w:b/>
          <w:bCs/>
        </w:rPr>
      </w:pPr>
      <w:r w:rsidRPr="00DD4DE1">
        <w:rPr>
          <w:b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9DC164" wp14:editId="6C10E3F4">
                <wp:simplePos x="0" y="0"/>
                <wp:positionH relativeFrom="column">
                  <wp:posOffset>1418272</wp:posOffset>
                </wp:positionH>
                <wp:positionV relativeFrom="paragraph">
                  <wp:posOffset>66358</wp:posOffset>
                </wp:positionV>
                <wp:extent cx="3514725" cy="228282"/>
                <wp:effectExtent l="0" t="0" r="952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28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DE1" w:rsidRPr="00533AC1" w:rsidRDefault="00533AC1" w:rsidP="00533AC1">
                            <w:pPr>
                              <w:spacing w:line="240" w:lineRule="auto"/>
                              <w:rPr>
                                <w:b/>
                                <w:szCs w:val="20"/>
                              </w:rPr>
                            </w:pPr>
                            <w:r w:rsidRPr="00533AC1">
                              <w:rPr>
                                <w:b/>
                                <w:szCs w:val="20"/>
                              </w:rPr>
                              <w:t>Крайнее нижнее рабочее положение регулировки по высоте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DC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5pt;margin-top:5.25pt;width:276.75pt;height:17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" stroked="f">
                <v:textbox inset="0,0,0,0">
                  <w:txbxContent>
                    <w:p w:rsidR="00DD4DE1" w:rsidRPr="00533AC1" w:rsidRDefault="00533AC1" w:rsidP="00533AC1">
                      <w:pPr>
                        <w:spacing w:line="240" w:lineRule="auto"/>
                        <w:rPr>
                          <w:b/>
                          <w:szCs w:val="20"/>
                        </w:rPr>
                      </w:pPr>
                      <w:r w:rsidRPr="00533AC1">
                        <w:rPr>
                          <w:b/>
                          <w:szCs w:val="20"/>
                        </w:rPr>
                        <w:t>Крайнее нижнее рабочее положение регулировки по высоте</w:t>
                      </w:r>
                    </w:p>
                  </w:txbxContent>
                </v:textbox>
              </v:shape>
            </w:pict>
          </mc:Fallback>
        </mc:AlternateContent>
      </w:r>
      <w:r w:rsidR="00DD4DE1" w:rsidRPr="00987619">
        <w:rPr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5F06048B" wp14:editId="04E940E9">
            <wp:simplePos x="0" y="0"/>
            <wp:positionH relativeFrom="column">
              <wp:posOffset>1479868</wp:posOffset>
            </wp:positionH>
            <wp:positionV relativeFrom="paragraph">
              <wp:posOffset>23495</wp:posOffset>
            </wp:positionV>
            <wp:extent cx="3097530" cy="3101457"/>
            <wp:effectExtent l="0" t="0" r="7620" b="381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10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5A1" w:rsidRDefault="00D955A1" w:rsidP="00DD4DE1">
      <w:pPr>
        <w:spacing w:after="120"/>
        <w:ind w:left="1134" w:right="1134"/>
        <w:rPr>
          <w:b/>
          <w:bCs/>
        </w:rPr>
      </w:pPr>
    </w:p>
    <w:p w:rsidR="00D955A1" w:rsidRDefault="00D955A1" w:rsidP="00DD4DE1">
      <w:pPr>
        <w:spacing w:after="120"/>
        <w:ind w:left="1134" w:right="1134"/>
        <w:rPr>
          <w:b/>
          <w:bCs/>
        </w:rPr>
      </w:pPr>
      <w:r w:rsidRPr="00533AC1">
        <w:rPr>
          <w:b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876D52" wp14:editId="6F79A386">
                <wp:simplePos x="0" y="0"/>
                <wp:positionH relativeFrom="column">
                  <wp:posOffset>1294130</wp:posOffset>
                </wp:positionH>
                <wp:positionV relativeFrom="paragraph">
                  <wp:posOffset>155892</wp:posOffset>
                </wp:positionV>
                <wp:extent cx="1090295" cy="3143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C1" w:rsidRPr="00533AC1" w:rsidRDefault="00533AC1" w:rsidP="00533A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533AC1">
                              <w:rPr>
                                <w:b/>
                              </w:rPr>
                              <w:t>Часть проема выше 540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6D52" id="_x0000_s1027" type="#_x0000_t202" style="position:absolute;left:0;text-align:left;margin-left:101.9pt;margin-top:12.25pt;width:85.8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" stroked="f">
                <v:textbox inset="0,0,0,0">
                  <w:txbxContent>
                    <w:p w:rsidR="00533AC1" w:rsidRPr="00533AC1" w:rsidRDefault="00533AC1" w:rsidP="00533AC1">
                      <w:pPr>
                        <w:spacing w:line="240" w:lineRule="auto"/>
                        <w:jc w:val="center"/>
                        <w:rPr>
                          <w:b/>
                          <w:lang w:val="en-US"/>
                        </w:rPr>
                      </w:pPr>
                      <w:r w:rsidRPr="00533AC1">
                        <w:rPr>
                          <w:b/>
                        </w:rPr>
                        <w:t>Часть проема выше 540 мм</w:t>
                      </w:r>
                    </w:p>
                  </w:txbxContent>
                </v:textbox>
              </v:shape>
            </w:pict>
          </mc:Fallback>
        </mc:AlternateContent>
      </w:r>
    </w:p>
    <w:p w:rsidR="00D955A1" w:rsidRDefault="00D955A1" w:rsidP="00DD4DE1">
      <w:pPr>
        <w:spacing w:after="120"/>
        <w:ind w:left="1134" w:right="1134"/>
        <w:rPr>
          <w:b/>
          <w:bCs/>
        </w:rPr>
      </w:pPr>
    </w:p>
    <w:p w:rsidR="00D955A1" w:rsidRDefault="00D955A1" w:rsidP="00DD4DE1">
      <w:pPr>
        <w:spacing w:after="120"/>
        <w:ind w:left="1134" w:right="1134"/>
        <w:rPr>
          <w:b/>
          <w:bCs/>
        </w:rPr>
      </w:pPr>
    </w:p>
    <w:p w:rsidR="00D955A1" w:rsidRDefault="00D955A1" w:rsidP="00DD4DE1">
      <w:pPr>
        <w:spacing w:after="120"/>
        <w:ind w:left="1134" w:right="1134"/>
        <w:rPr>
          <w:b/>
          <w:bCs/>
        </w:rPr>
      </w:pPr>
    </w:p>
    <w:p w:rsidR="00D955A1" w:rsidRDefault="00D955A1" w:rsidP="00DD4DE1">
      <w:pPr>
        <w:spacing w:after="120"/>
        <w:ind w:left="1134" w:right="1134"/>
        <w:rPr>
          <w:b/>
          <w:bCs/>
        </w:rPr>
      </w:pPr>
    </w:p>
    <w:p w:rsidR="00D955A1" w:rsidRDefault="00533AC1" w:rsidP="00DD4DE1">
      <w:pPr>
        <w:spacing w:after="120"/>
        <w:ind w:left="1134" w:right="1134"/>
        <w:rPr>
          <w:b/>
          <w:bCs/>
        </w:rPr>
      </w:pPr>
      <w:r w:rsidRPr="00533AC1">
        <w:rPr>
          <w:b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0FEA03" wp14:editId="05912F76">
                <wp:simplePos x="0" y="0"/>
                <wp:positionH relativeFrom="column">
                  <wp:posOffset>2451100</wp:posOffset>
                </wp:positionH>
                <wp:positionV relativeFrom="paragraph">
                  <wp:posOffset>46990</wp:posOffset>
                </wp:positionV>
                <wp:extent cx="685800" cy="1854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C1" w:rsidRPr="00533AC1" w:rsidRDefault="00533AC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3AC1">
                              <w:rPr>
                                <w:b/>
                              </w:rPr>
                              <w:t>Весь проем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EA03" id="_x0000_s1028" type="#_x0000_t202" style="position:absolute;left:0;text-align:left;margin-left:193pt;margin-top:3.7pt;width:54pt;height:1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" stroked="f">
                <v:textbox inset="0,0,0,0">
                  <w:txbxContent>
                    <w:p w:rsidR="00533AC1" w:rsidRPr="00533AC1" w:rsidRDefault="00533AC1">
                      <w:pPr>
                        <w:rPr>
                          <w:b/>
                          <w:lang w:val="en-US"/>
                        </w:rPr>
                      </w:pPr>
                      <w:r w:rsidRPr="00533AC1">
                        <w:rPr>
                          <w:b/>
                        </w:rPr>
                        <w:t>Весь проем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55A1" w:rsidRDefault="00D955A1" w:rsidP="00DD4DE1">
      <w:pPr>
        <w:spacing w:after="120"/>
        <w:ind w:left="1134" w:right="1134"/>
        <w:rPr>
          <w:b/>
          <w:bCs/>
          <w:iCs/>
          <w:color w:val="000000" w:themeColor="text1"/>
        </w:rPr>
      </w:pPr>
    </w:p>
    <w:p w:rsidR="00D955A1" w:rsidRDefault="00D955A1" w:rsidP="00DD4DE1">
      <w:pPr>
        <w:spacing w:after="120"/>
        <w:ind w:left="1134" w:right="1134"/>
        <w:rPr>
          <w:b/>
          <w:bCs/>
          <w:iCs/>
          <w:color w:val="000000" w:themeColor="text1"/>
        </w:rPr>
      </w:pPr>
      <w:r w:rsidRPr="00533AC1">
        <w:rPr>
          <w:b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3B6B35" wp14:editId="628CBACD">
                <wp:simplePos x="0" y="0"/>
                <wp:positionH relativeFrom="column">
                  <wp:posOffset>3656330</wp:posOffset>
                </wp:positionH>
                <wp:positionV relativeFrom="paragraph">
                  <wp:posOffset>46990</wp:posOffset>
                </wp:positionV>
                <wp:extent cx="485775" cy="19939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C1" w:rsidRPr="00533AC1" w:rsidRDefault="00533AC1" w:rsidP="00533AC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3AC1">
                              <w:rPr>
                                <w:b/>
                              </w:rPr>
                              <w:t>540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6B35" id="_x0000_s1029" type="#_x0000_t202" style="position:absolute;left:0;text-align:left;margin-left:287.9pt;margin-top:3.7pt;width:38.25pt;height:15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" stroked="f">
                <v:textbox inset="0,0,0,0">
                  <w:txbxContent>
                    <w:p w:rsidR="00533AC1" w:rsidRPr="00533AC1" w:rsidRDefault="00533AC1" w:rsidP="00533AC1">
                      <w:pPr>
                        <w:rPr>
                          <w:b/>
                          <w:lang w:val="en-US"/>
                        </w:rPr>
                      </w:pPr>
                      <w:r w:rsidRPr="00533AC1">
                        <w:rPr>
                          <w:b/>
                        </w:rPr>
                        <w:t>540 мм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55A1" w:rsidRDefault="00D955A1" w:rsidP="00DD4DE1">
      <w:pPr>
        <w:spacing w:after="120"/>
        <w:ind w:left="1134" w:right="1134"/>
        <w:rPr>
          <w:b/>
          <w:bCs/>
          <w:iCs/>
          <w:color w:val="000000" w:themeColor="text1"/>
        </w:rPr>
      </w:pPr>
    </w:p>
    <w:p w:rsidR="00D955A1" w:rsidRDefault="00D955A1" w:rsidP="00DD4DE1">
      <w:pPr>
        <w:spacing w:after="120"/>
        <w:ind w:left="1134" w:right="1134"/>
        <w:rPr>
          <w:b/>
          <w:bCs/>
          <w:iCs/>
          <w:color w:val="000000" w:themeColor="text1"/>
        </w:rPr>
      </w:pPr>
      <w:r w:rsidRPr="00533AC1">
        <w:rPr>
          <w:b/>
          <w:bCs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59804A" wp14:editId="0A9B6317">
                <wp:simplePos x="0" y="0"/>
                <wp:positionH relativeFrom="column">
                  <wp:posOffset>1622425</wp:posOffset>
                </wp:positionH>
                <wp:positionV relativeFrom="paragraph">
                  <wp:posOffset>98743</wp:posOffset>
                </wp:positionV>
                <wp:extent cx="604520" cy="185420"/>
                <wp:effectExtent l="0" t="0" r="508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C1" w:rsidRPr="00533AC1" w:rsidRDefault="00533AC1" w:rsidP="00533AC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33AC1">
                              <w:rPr>
                                <w:b/>
                              </w:rPr>
                              <w:t>Точка 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804A" id="_x0000_s1030" type="#_x0000_t202" style="position:absolute;left:0;text-align:left;margin-left:127.75pt;margin-top:7.8pt;width:47.6pt;height:1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" stroked="f">
                <v:textbox inset="0,0,0,0">
                  <w:txbxContent>
                    <w:p w:rsidR="00533AC1" w:rsidRPr="00533AC1" w:rsidRDefault="00533AC1" w:rsidP="00533AC1">
                      <w:pPr>
                        <w:rPr>
                          <w:b/>
                          <w:lang w:val="en-US"/>
                        </w:rPr>
                      </w:pPr>
                      <w:r w:rsidRPr="00533AC1">
                        <w:rPr>
                          <w:b/>
                        </w:rPr>
                        <w:t>Точка 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55A1" w:rsidRDefault="00D955A1" w:rsidP="00DD4DE1">
      <w:pPr>
        <w:spacing w:after="120"/>
        <w:ind w:left="1134" w:right="1134"/>
        <w:rPr>
          <w:b/>
          <w:bCs/>
          <w:iCs/>
          <w:color w:val="000000" w:themeColor="text1"/>
        </w:rPr>
      </w:pPr>
    </w:p>
    <w:p w:rsidR="00D955A1" w:rsidRDefault="00D955A1" w:rsidP="00DD4DE1">
      <w:pPr>
        <w:spacing w:after="120"/>
        <w:ind w:left="1134" w:right="1134"/>
        <w:rPr>
          <w:b/>
          <w:bCs/>
          <w:iCs/>
          <w:color w:val="000000" w:themeColor="text1"/>
        </w:rPr>
      </w:pPr>
    </w:p>
    <w:p w:rsidR="00DD4DE1" w:rsidRPr="00EF2E55" w:rsidRDefault="00DD4DE1" w:rsidP="00D955A1">
      <w:pPr>
        <w:pStyle w:val="SingleTxtG"/>
        <w:ind w:left="7938"/>
        <w:rPr>
          <w:snapToGrid w:val="0"/>
        </w:rPr>
      </w:pPr>
      <w:r>
        <w:rPr>
          <w:snapToGrid w:val="0"/>
        </w:rPr>
        <w:t>»</w:t>
      </w:r>
    </w:p>
    <w:p w:rsidR="00DD4DE1" w:rsidRPr="00EF2E55" w:rsidRDefault="00DD4DE1" w:rsidP="00DD4DE1">
      <w:pPr>
        <w:pStyle w:val="SingleTxtG"/>
        <w:ind w:left="567" w:firstLine="567"/>
        <w:rPr>
          <w:bCs/>
          <w:snapToGrid w:val="0"/>
          <w:color w:val="000000" w:themeColor="text1"/>
        </w:rPr>
      </w:pPr>
      <w:r>
        <w:rPr>
          <w:i/>
          <w:iCs/>
        </w:rPr>
        <w:t>Приложение 8, пункт 3.3</w:t>
      </w:r>
      <w:r>
        <w:t xml:space="preserve"> изменить следующим образом:</w:t>
      </w:r>
    </w:p>
    <w:p w:rsidR="00B07144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>«3.3</w:t>
      </w:r>
      <w:r>
        <w:tab/>
        <w:t>Проем измеряется в качестве расстояния, перпендикулярного обеим параллельным плоскостям, как это описано ниже (см. рис. 8-</w:t>
      </w:r>
      <w:r>
        <w:rPr>
          <w:strike/>
        </w:rPr>
        <w:t>3</w:t>
      </w:r>
      <w:r>
        <w:rPr>
          <w:b/>
          <w:bCs/>
        </w:rPr>
        <w:t>4</w:t>
      </w:r>
      <w:r>
        <w:t>):</w:t>
      </w:r>
    </w:p>
    <w:p w:rsidR="00DD4DE1" w:rsidRPr="00EF2E55" w:rsidRDefault="00DD4DE1" w:rsidP="00B07144">
      <w:pPr>
        <w:pStyle w:val="SingleTxtG"/>
        <w:ind w:left="2835" w:hanging="567"/>
        <w:rPr>
          <w:bCs/>
          <w:color w:val="000000" w:themeColor="text1"/>
        </w:rPr>
      </w:pPr>
      <w:r>
        <w:t>a)</w:t>
      </w:r>
      <w:r>
        <w:tab/>
        <w:t>каждая плоскость перпендикулярна конструктивной исходной линии туловища;</w:t>
      </w:r>
    </w:p>
    <w:p w:rsidR="00DD4DE1" w:rsidRPr="00EF2E55" w:rsidRDefault="00DD4DE1" w:rsidP="00B07144">
      <w:pPr>
        <w:pStyle w:val="SingleTxtG"/>
        <w:ind w:left="2835" w:hanging="567"/>
        <w:rPr>
          <w:bCs/>
          <w:color w:val="000000" w:themeColor="text1"/>
        </w:rPr>
      </w:pPr>
      <w:r>
        <w:t>b)</w:t>
      </w:r>
      <w:r>
        <w:tab/>
        <w:t xml:space="preserve">одна из плоскостей проходит по касательной к нижнему краю подголовника; </w:t>
      </w:r>
    </w:p>
    <w:p w:rsidR="00DD4DE1" w:rsidRPr="00EF2E55" w:rsidRDefault="00DD4DE1" w:rsidP="00B07144">
      <w:pPr>
        <w:pStyle w:val="SingleTxtG"/>
        <w:ind w:left="2835" w:hanging="567"/>
        <w:rPr>
          <w:bCs/>
          <w:color w:val="000000" w:themeColor="text1"/>
        </w:rPr>
      </w:pPr>
      <w:r>
        <w:t>с)</w:t>
      </w:r>
      <w:r>
        <w:tab/>
        <w:t>другая плоскость проходит по касательной к верхнему краю спинки сиденья».</w:t>
      </w:r>
    </w:p>
    <w:p w:rsidR="00DD4DE1" w:rsidRPr="00EF2E55" w:rsidRDefault="00DD4DE1" w:rsidP="00D955A1">
      <w:pPr>
        <w:pStyle w:val="SingleTxtG"/>
        <w:ind w:left="2268" w:hanging="1134"/>
        <w:rPr>
          <w:i/>
          <w:color w:val="000000" w:themeColor="text1"/>
        </w:rPr>
      </w:pPr>
      <w:r>
        <w:rPr>
          <w:i/>
          <w:iCs/>
        </w:rPr>
        <w:t>Приложение 8, рис. 8-3 (прежний),</w:t>
      </w:r>
      <w:r>
        <w:t xml:space="preserve"> изменить нумерацию на рис. 8-4. </w:t>
      </w:r>
    </w:p>
    <w:p w:rsidR="00DD4DE1" w:rsidRPr="00EF2E55" w:rsidRDefault="00DD4DE1" w:rsidP="007749B7">
      <w:pPr>
        <w:pStyle w:val="SingleTxtG"/>
        <w:pageBreakBefore/>
        <w:rPr>
          <w:bCs/>
          <w:iCs/>
          <w:color w:val="000000" w:themeColor="text1"/>
        </w:rPr>
      </w:pPr>
      <w:r>
        <w:rPr>
          <w:i/>
          <w:iCs/>
        </w:rPr>
        <w:lastRenderedPageBreak/>
        <w:t>Приложение 10, пункт 2.3</w:t>
      </w:r>
      <w:r>
        <w:t xml:space="preserve"> изменить следующим образом (к тексту на русском языке не относится):</w:t>
      </w:r>
    </w:p>
    <w:p w:rsidR="00DD4DE1" w:rsidRPr="00EF2E55" w:rsidRDefault="00DD4DE1" w:rsidP="007749B7">
      <w:pPr>
        <w:pStyle w:val="SingleTxtG"/>
        <w:ind w:left="2268" w:hanging="1134"/>
        <w:rPr>
          <w:bCs/>
          <w:color w:val="000000" w:themeColor="text1"/>
        </w:rPr>
      </w:pPr>
      <w:r>
        <w:t>«2.3</w:t>
      </w:r>
      <w:r>
        <w:tab/>
        <w:t>Измерение высоты</w:t>
      </w:r>
    </w:p>
    <w:p w:rsidR="00DD4DE1" w:rsidRPr="00EF2E55" w:rsidRDefault="00DD4DE1" w:rsidP="00D955A1">
      <w:pPr>
        <w:pStyle w:val="SingleTxtG"/>
        <w:ind w:left="2268" w:hanging="1134"/>
        <w:rPr>
          <w:bCs/>
          <w:color w:val="000000" w:themeColor="text1"/>
        </w:rPr>
      </w:pPr>
      <w:r>
        <w:tab/>
      </w:r>
      <w:r>
        <w:tab/>
        <w:t>Все измерения производятся в средней продольной плоскости места для сидения».</w:t>
      </w:r>
    </w:p>
    <w:p w:rsidR="00DD4DE1" w:rsidRPr="00EF2E55" w:rsidRDefault="00DD4DE1" w:rsidP="00B07144">
      <w:pPr>
        <w:pStyle w:val="SingleTxtG"/>
        <w:spacing w:before="120"/>
        <w:rPr>
          <w:bCs/>
          <w:color w:val="000000" w:themeColor="text1"/>
        </w:rPr>
      </w:pPr>
      <w:r>
        <w:rPr>
          <w:i/>
          <w:iCs/>
        </w:rPr>
        <w:t>Приложение 12, пункт 3.1.1</w:t>
      </w:r>
      <w:r>
        <w:t xml:space="preserve"> изменить следующим образом:</w:t>
      </w:r>
    </w:p>
    <w:p w:rsidR="00DD4DE1" w:rsidRPr="00EF2E55" w:rsidRDefault="00DD4DE1" w:rsidP="00D955A1">
      <w:pPr>
        <w:pStyle w:val="SingleTxtG"/>
        <w:ind w:left="2268" w:hanging="1134"/>
        <w:rPr>
          <w:rFonts w:eastAsia="MS Mincho"/>
          <w:bCs/>
          <w:color w:val="000000" w:themeColor="text1"/>
        </w:rPr>
      </w:pPr>
      <w:r>
        <w:t>«3.1.1</w:t>
      </w:r>
      <w:r>
        <w:tab/>
        <w:t>Используется ударный механизм, оснащенный моделью головы в форме полусферы диаметром 165 ± 2 мм.</w:t>
      </w:r>
      <w:r w:rsidR="00D955A1">
        <w:t xml:space="preserve"> </w:t>
      </w:r>
      <w:r>
        <w:t xml:space="preserve">Модель головы и его основание должны иметь такую общую массу, чтобы при скорости </w:t>
      </w:r>
      <w:r>
        <w:rPr>
          <w:strike/>
        </w:rPr>
        <w:t>не более</w:t>
      </w:r>
      <w:r>
        <w:t xml:space="preserve"> 24,1</w:t>
      </w:r>
      <w:r w:rsidR="00B07144">
        <w:t> </w:t>
      </w:r>
      <w:r>
        <w:t xml:space="preserve">км/ч в момент удара обеспечивалась энергия на уровне 152 </w:t>
      </w:r>
      <w:r>
        <w:rPr>
          <w:strike/>
        </w:rPr>
        <w:t xml:space="preserve">± </w:t>
      </w:r>
      <w:r>
        <w:rPr>
          <w:b/>
          <w:bCs/>
          <w:strike/>
        </w:rPr>
        <w:t>6</w:t>
      </w:r>
      <w:r>
        <w:t xml:space="preserve"> Дж».</w:t>
      </w:r>
    </w:p>
    <w:p w:rsidR="00DD4DE1" w:rsidRPr="00EF2E55" w:rsidRDefault="00DD4DE1" w:rsidP="00DD4DE1">
      <w:pPr>
        <w:pStyle w:val="SingleTxtG"/>
        <w:rPr>
          <w:rFonts w:eastAsia="MS Mincho"/>
          <w:bCs/>
          <w:color w:val="000000" w:themeColor="text1"/>
        </w:rPr>
      </w:pPr>
      <w:r>
        <w:rPr>
          <w:i/>
          <w:iCs/>
        </w:rPr>
        <w:t>Приложение 13, включить новый пункт 2.10</w:t>
      </w:r>
      <w:r>
        <w:t xml:space="preserve"> следующего содержания:</w:t>
      </w:r>
    </w:p>
    <w:p w:rsidR="00DD4DE1" w:rsidRPr="00EF2E55" w:rsidRDefault="00DD4DE1" w:rsidP="00D955A1">
      <w:pPr>
        <w:pStyle w:val="SingleTxtG"/>
        <w:ind w:left="2268" w:hanging="1134"/>
        <w:rPr>
          <w:rFonts w:eastAsia="MS Mincho"/>
          <w:b/>
          <w:color w:val="000000" w:themeColor="text1"/>
        </w:rPr>
      </w:pPr>
      <w:r w:rsidRPr="00DD4DE1">
        <w:rPr>
          <w:bCs/>
        </w:rPr>
        <w:t>«</w:t>
      </w:r>
      <w:r>
        <w:rPr>
          <w:b/>
          <w:bCs/>
        </w:rPr>
        <w:t>2.10</w:t>
      </w:r>
      <w:r>
        <w:tab/>
      </w:r>
      <w:r>
        <w:rPr>
          <w:b/>
          <w:bCs/>
        </w:rPr>
        <w:t>В качестве альтернативы, если изготовитель демонстрирует, что разница между исходными положениями цилиндра, измеренная в соответствии с пунктами 2.3 и 2.6 настоящего приложения, меньше значения, предписанного в пункте 5.7.4 настоящих Правил, результат испытания также будет</w:t>
      </w:r>
      <w:r w:rsidRPr="005D5B70">
        <w:rPr>
          <w:b/>
          <w:bCs/>
        </w:rPr>
        <w:t xml:space="preserve"> </w:t>
      </w:r>
      <w:r w:rsidRPr="005D5B70">
        <w:rPr>
          <w:b/>
        </w:rPr>
        <w:t>соответствовать</w:t>
      </w:r>
      <w:r>
        <w:rPr>
          <w:b/>
          <w:bCs/>
        </w:rPr>
        <w:t xml:space="preserve"> требованиям пункта 5.7.4 настоящих Правил.</w:t>
      </w:r>
      <w:r>
        <w:t xml:space="preserve"> </w:t>
      </w:r>
      <w:r>
        <w:rPr>
          <w:b/>
          <w:bCs/>
        </w:rPr>
        <w:t>В этом случае не требуется регистрировать измерения, проводимые в соответствии с пунктами</w:t>
      </w:r>
      <w:r w:rsidR="00B07144">
        <w:rPr>
          <w:b/>
          <w:bCs/>
        </w:rPr>
        <w:t> </w:t>
      </w:r>
      <w:r>
        <w:rPr>
          <w:b/>
          <w:bCs/>
        </w:rPr>
        <w:t>2.4 и 2.7</w:t>
      </w:r>
      <w:r w:rsidRPr="00DD4DE1">
        <w:rPr>
          <w:bCs/>
        </w:rPr>
        <w:t>».</w:t>
      </w:r>
    </w:p>
    <w:p w:rsidR="00DD4DE1" w:rsidRPr="00EF2E55" w:rsidRDefault="00DD4DE1" w:rsidP="00DD4DE1">
      <w:pPr>
        <w:pStyle w:val="SingleTxtG"/>
        <w:rPr>
          <w:iCs/>
          <w:color w:val="000000" w:themeColor="text1"/>
        </w:rPr>
      </w:pPr>
      <w:r>
        <w:rPr>
          <w:i/>
          <w:iCs/>
        </w:rPr>
        <w:t>Приложение 15, рис. 15-1</w:t>
      </w:r>
      <w:r>
        <w:t xml:space="preserve"> изменить следующим образом:</w:t>
      </w:r>
    </w:p>
    <w:p w:rsidR="00DD4DE1" w:rsidRPr="00987619" w:rsidRDefault="00DD4DE1" w:rsidP="00DD4DE1">
      <w:pPr>
        <w:pStyle w:val="para"/>
        <w:rPr>
          <w:bCs/>
        </w:rPr>
      </w:pPr>
      <w:r>
        <w:rPr>
          <w:lang w:val="ru-RU"/>
        </w:rPr>
        <w:t>«Рис. 15</w:t>
      </w:r>
      <w:r w:rsidR="002332BF">
        <w:rPr>
          <w:lang w:val="en-US"/>
        </w:rPr>
        <w:t>-</w:t>
      </w:r>
      <w:r>
        <w:rPr>
          <w:lang w:val="ru-RU"/>
        </w:rPr>
        <w:t>1</w:t>
      </w:r>
    </w:p>
    <w:p w:rsidR="00DD4DE1" w:rsidRPr="00987619" w:rsidRDefault="00B2745B" w:rsidP="00DD4DE1">
      <w:pPr>
        <w:pStyle w:val="SingleTxtG"/>
        <w:rPr>
          <w:color w:val="000000" w:themeColor="text1"/>
          <w:lang w:val="en-GB"/>
        </w:rPr>
      </w:pPr>
      <w:r w:rsidRPr="00B2745B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C01193" wp14:editId="1F6F276B">
                <wp:simplePos x="0" y="0"/>
                <wp:positionH relativeFrom="column">
                  <wp:posOffset>2208847</wp:posOffset>
                </wp:positionH>
                <wp:positionV relativeFrom="paragraph">
                  <wp:posOffset>2427923</wp:posOffset>
                </wp:positionV>
                <wp:extent cx="466407" cy="166688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" cy="16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45B" w:rsidRPr="00B2745B" w:rsidRDefault="00B2745B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2745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Точка 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1193" id="_x0000_s1031" type="#_x0000_t202" style="position:absolute;left:0;text-align:left;margin-left:173.9pt;margin-top:191.2pt;width:36.7pt;height:13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" stroked="f">
                <v:textbox inset="0,0,0,0">
                  <w:txbxContent>
                    <w:p w:rsidR="00B2745B" w:rsidRPr="00B2745B" w:rsidRDefault="00B2745B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B2745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Точка R</w:t>
                      </w:r>
                    </w:p>
                  </w:txbxContent>
                </v:textbox>
              </v:shape>
            </w:pict>
          </mc:Fallback>
        </mc:AlternateContent>
      </w:r>
      <w:r w:rsidR="00533AC1" w:rsidRPr="00533AC1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9510DF" wp14:editId="35B4FDD9">
                <wp:simplePos x="0" y="0"/>
                <wp:positionH relativeFrom="column">
                  <wp:posOffset>2941637</wp:posOffset>
                </wp:positionH>
                <wp:positionV relativeFrom="paragraph">
                  <wp:posOffset>74930</wp:posOffset>
                </wp:positionV>
                <wp:extent cx="290195" cy="133350"/>
                <wp:effectExtent l="19050" t="57150" r="14605" b="571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4227">
                          <a:off x="0" y="0"/>
                          <a:ext cx="29019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C1" w:rsidRPr="00533AC1" w:rsidRDefault="00533AC1" w:rsidP="00533AC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10DF" id="_x0000_s1032" type="#_x0000_t202" style="position:absolute;left:0;text-align:left;margin-left:231.6pt;margin-top:5.9pt;width:22.85pt;height:10.5pt;rotation:-1415330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" stroked="f">
                <v:textbox inset="0,0,0,0">
                  <w:txbxContent>
                    <w:p w:rsidR="00533AC1" w:rsidRPr="00533AC1" w:rsidRDefault="00533AC1" w:rsidP="00533AC1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533AC1" w:rsidRPr="00533AC1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2379662</wp:posOffset>
                </wp:positionH>
                <wp:positionV relativeFrom="paragraph">
                  <wp:posOffset>835660</wp:posOffset>
                </wp:positionV>
                <wp:extent cx="1514475" cy="1404620"/>
                <wp:effectExtent l="219393" t="0" r="247967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46836"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AC1" w:rsidRPr="00533AC1" w:rsidRDefault="00533AC1">
                            <w:pPr>
                              <w:rPr>
                                <w:lang w:val="en-US"/>
                              </w:rPr>
                            </w:pPr>
                            <w:r w:rsidRPr="00533AC1">
                              <w:rPr>
                                <w:color w:val="000000" w:themeColor="text1"/>
                              </w:rPr>
                              <w:t>Исходная линия туловища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7.35pt;margin-top:65.8pt;width:119.25pt;height:110.6pt;rotation:4529451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" stroked="f">
                <v:textbox style="mso-fit-shape-to-text:t" inset="0,0,0,0">
                  <w:txbxContent>
                    <w:p w:rsidR="00533AC1" w:rsidRPr="00533AC1" w:rsidRDefault="00533AC1">
                      <w:pPr>
                        <w:rPr>
                          <w:lang w:val="en-US"/>
                        </w:rPr>
                      </w:pPr>
                      <w:r w:rsidRPr="00533AC1">
                        <w:rPr>
                          <w:color w:val="000000" w:themeColor="text1"/>
                        </w:rPr>
                        <w:t>Исходная линия туловища</w:t>
                      </w:r>
                    </w:p>
                  </w:txbxContent>
                </v:textbox>
              </v:shape>
            </w:pict>
          </mc:Fallback>
        </mc:AlternateContent>
      </w:r>
      <w:r w:rsidR="00DD4DE1" w:rsidRPr="00987619">
        <w:rPr>
          <w:noProof/>
          <w:color w:val="000000" w:themeColor="text1"/>
          <w:lang w:eastAsia="ru-RU"/>
        </w:rPr>
        <w:drawing>
          <wp:inline distT="0" distB="0" distL="0" distR="0" wp14:anchorId="6E5EB21B" wp14:editId="41E3B3B0">
            <wp:extent cx="3667125" cy="319087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DE1" w:rsidRDefault="00DD4DE1" w:rsidP="00DD4DE1">
      <w:pPr>
        <w:pStyle w:val="SingleTxtG"/>
        <w:jc w:val="right"/>
        <w:rPr>
          <w:color w:val="000000" w:themeColor="text1"/>
        </w:rPr>
      </w:pPr>
      <w:r>
        <w:rPr>
          <w:color w:val="000000" w:themeColor="text1"/>
        </w:rPr>
        <w:t>»</w:t>
      </w:r>
    </w:p>
    <w:p w:rsidR="00DD4DE1" w:rsidRPr="00EF2E55" w:rsidRDefault="00DD4DE1" w:rsidP="00DD4DE1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:rsidR="00DD4DE1" w:rsidRPr="00EF2E55" w:rsidRDefault="00DD4DE1" w:rsidP="00D955A1">
      <w:pPr>
        <w:pStyle w:val="SingleTxtG"/>
        <w:rPr>
          <w:rFonts w:eastAsia="MS Mincho"/>
          <w:color w:val="000000" w:themeColor="text1"/>
        </w:rPr>
      </w:pPr>
      <w:r>
        <w:t>1.</w:t>
      </w:r>
      <w:r>
        <w:tab/>
        <w:t>Когда эксперты от КСАОД приступили к применению положений проекта поправок серии 10 к Правилам № 17 ООН, они выявили различные способы применения предлагаемых поправок, и это потребовало внесения некоторых уточнений.</w:t>
      </w:r>
    </w:p>
    <w:p w:rsidR="00DD4DE1" w:rsidRPr="00EF2E55" w:rsidRDefault="00DD4DE1" w:rsidP="00D955A1">
      <w:pPr>
        <w:pStyle w:val="SingleTxtG"/>
        <w:rPr>
          <w:rFonts w:eastAsia="MS Mincho"/>
          <w:color w:val="000000" w:themeColor="text1"/>
        </w:rPr>
      </w:pPr>
      <w:r>
        <w:t>2.</w:t>
      </w:r>
      <w:r>
        <w:tab/>
        <w:t xml:space="preserve">В тексте предлагаемых поправок серии 10 были исключены или изменены некоторые пункты поправок серии 09 к Правилам № 17 ООН, в результате чего изменился и смысл существующих эффективных положений. В этой связи КСАОД </w:t>
      </w:r>
      <w:r>
        <w:lastRenderedPageBreak/>
        <w:t>предлагает вновь включить некоторые пункты поправок серии 09, которые были изъяты в соответствии с документом ECE/TRANS/GRSP/2018/34, сохранив эти пункты без изменения либо изложив их суть таким образом, чтобы они в большей степени соответствовали предлагаемой новой структуре Правил № 17 ООН.</w:t>
      </w:r>
    </w:p>
    <w:p w:rsidR="00E12C5F" w:rsidRDefault="00DD4DE1" w:rsidP="00D955A1">
      <w:pPr>
        <w:pStyle w:val="SingleTxtG"/>
      </w:pPr>
      <w:r>
        <w:t>3.</w:t>
      </w:r>
      <w:r>
        <w:tab/>
        <w:t>Кроме того, процедура измерения проема с помощью сферы была изменена в соответствии с Федеральным стандартом по безопасности механических транспортных средств № 202a, с тем чтобы измерять проемы только в зоне, расположенной выше 540 мм. В настоящем тексте предлагаемая зона отражена в положениях об измерении проема с помощью сферы.</w:t>
      </w:r>
    </w:p>
    <w:p w:rsidR="00DD4DE1" w:rsidRPr="00DD4DE1" w:rsidRDefault="00DD4DE1" w:rsidP="00DD4D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4DE1" w:rsidRPr="00DD4DE1" w:rsidSect="00DD4DE1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32" w:rsidRPr="00A312BC" w:rsidRDefault="00D97032" w:rsidP="00A312BC"/>
  </w:endnote>
  <w:endnote w:type="continuationSeparator" w:id="0">
    <w:p w:rsidR="00D97032" w:rsidRPr="00A312BC" w:rsidRDefault="00D9703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E1" w:rsidRPr="00DD4DE1" w:rsidRDefault="00DD4DE1">
    <w:pPr>
      <w:pStyle w:val="Footer"/>
    </w:pPr>
    <w:r w:rsidRPr="00DD4DE1">
      <w:rPr>
        <w:b/>
        <w:sz w:val="18"/>
      </w:rPr>
      <w:fldChar w:fldCharType="begin"/>
    </w:r>
    <w:r w:rsidRPr="00DD4DE1">
      <w:rPr>
        <w:b/>
        <w:sz w:val="18"/>
      </w:rPr>
      <w:instrText xml:space="preserve"> PAGE  \* MERGEFORMAT </w:instrText>
    </w:r>
    <w:r w:rsidRPr="00DD4DE1">
      <w:rPr>
        <w:b/>
        <w:sz w:val="18"/>
      </w:rPr>
      <w:fldChar w:fldCharType="separate"/>
    </w:r>
    <w:r w:rsidR="0042058E">
      <w:rPr>
        <w:b/>
        <w:noProof/>
        <w:sz w:val="18"/>
      </w:rPr>
      <w:t>8</w:t>
    </w:r>
    <w:r w:rsidRPr="00DD4DE1">
      <w:rPr>
        <w:b/>
        <w:sz w:val="18"/>
      </w:rPr>
      <w:fldChar w:fldCharType="end"/>
    </w:r>
    <w:r>
      <w:rPr>
        <w:b/>
        <w:sz w:val="18"/>
      </w:rPr>
      <w:tab/>
    </w:r>
    <w:r>
      <w:t>GE.19-03062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E1" w:rsidRPr="00DD4DE1" w:rsidRDefault="00DD4DE1" w:rsidP="00DD4DE1">
    <w:pPr>
      <w:pStyle w:val="Footer"/>
      <w:tabs>
        <w:tab w:val="clear" w:pos="9639"/>
        <w:tab w:val="right" w:pos="9638"/>
      </w:tabs>
      <w:rPr>
        <w:b/>
        <w:sz w:val="18"/>
      </w:rPr>
    </w:pPr>
    <w:r>
      <w:t>GE.19-03062</w:t>
    </w:r>
    <w:r>
      <w:tab/>
    </w:r>
    <w:r w:rsidRPr="00DD4DE1">
      <w:rPr>
        <w:b/>
        <w:sz w:val="18"/>
      </w:rPr>
      <w:fldChar w:fldCharType="begin"/>
    </w:r>
    <w:r w:rsidRPr="00DD4DE1">
      <w:rPr>
        <w:b/>
        <w:sz w:val="18"/>
      </w:rPr>
      <w:instrText xml:space="preserve"> PAGE  \* MERGEFORMAT </w:instrText>
    </w:r>
    <w:r w:rsidRPr="00DD4DE1">
      <w:rPr>
        <w:b/>
        <w:sz w:val="18"/>
      </w:rPr>
      <w:fldChar w:fldCharType="separate"/>
    </w:r>
    <w:r w:rsidR="0042058E">
      <w:rPr>
        <w:b/>
        <w:noProof/>
        <w:sz w:val="18"/>
      </w:rPr>
      <w:t>7</w:t>
    </w:r>
    <w:r w:rsidRPr="00DD4D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D4DE1" w:rsidRDefault="00DD4DE1" w:rsidP="00DD4DE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19-03062  (R)</w:t>
    </w:r>
    <w:r w:rsidR="00B07144">
      <w:rPr>
        <w:lang w:val="en-US"/>
      </w:rPr>
      <w:t xml:space="preserve">  050319  06</w:t>
    </w:r>
    <w:r>
      <w:rPr>
        <w:lang w:val="en-US"/>
      </w:rPr>
      <w:t>0319</w:t>
    </w:r>
    <w:r>
      <w:br/>
    </w:r>
    <w:r w:rsidRPr="00DD4DE1">
      <w:rPr>
        <w:rFonts w:ascii="C39T30Lfz" w:hAnsi="C39T30Lfz"/>
        <w:kern w:val="14"/>
        <w:sz w:val="56"/>
      </w:rPr>
      <w:t></w:t>
    </w:r>
    <w:r w:rsidRPr="00DD4DE1">
      <w:rPr>
        <w:rFonts w:ascii="C39T30Lfz" w:hAnsi="C39T30Lfz"/>
        <w:kern w:val="14"/>
        <w:sz w:val="56"/>
      </w:rPr>
      <w:t></w:t>
    </w:r>
    <w:r w:rsidRPr="00DD4DE1">
      <w:rPr>
        <w:rFonts w:ascii="C39T30Lfz" w:hAnsi="C39T30Lfz"/>
        <w:kern w:val="14"/>
        <w:sz w:val="56"/>
      </w:rPr>
      <w:t></w:t>
    </w:r>
    <w:r w:rsidRPr="00DD4DE1">
      <w:rPr>
        <w:rFonts w:ascii="C39T30Lfz" w:hAnsi="C39T30Lfz"/>
        <w:kern w:val="14"/>
        <w:sz w:val="56"/>
      </w:rPr>
      <w:t></w:t>
    </w:r>
    <w:r w:rsidRPr="00DD4DE1">
      <w:rPr>
        <w:rFonts w:ascii="C39T30Lfz" w:hAnsi="C39T30Lfz"/>
        <w:kern w:val="14"/>
        <w:sz w:val="56"/>
      </w:rPr>
      <w:t></w:t>
    </w:r>
    <w:r w:rsidRPr="00DD4DE1">
      <w:rPr>
        <w:rFonts w:ascii="C39T30Lfz" w:hAnsi="C39T30Lfz"/>
        <w:kern w:val="14"/>
        <w:sz w:val="56"/>
      </w:rPr>
      <w:t></w:t>
    </w:r>
    <w:r w:rsidRPr="00DD4DE1">
      <w:rPr>
        <w:rFonts w:ascii="C39T30Lfz" w:hAnsi="C39T30Lfz"/>
        <w:kern w:val="14"/>
        <w:sz w:val="56"/>
      </w:rPr>
      <w:t></w:t>
    </w:r>
    <w:r w:rsidRPr="00DD4DE1">
      <w:rPr>
        <w:rFonts w:ascii="C39T30Lfz" w:hAnsi="C39T30Lfz"/>
        <w:kern w:val="14"/>
        <w:sz w:val="56"/>
      </w:rPr>
      <w:t></w:t>
    </w:r>
    <w:r w:rsidRPr="00DD4DE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SP/2019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32" w:rsidRPr="001075E9" w:rsidRDefault="00D9703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7032" w:rsidRDefault="00D9703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D4DE1" w:rsidRPr="00EC4B12" w:rsidRDefault="00DD4DE1" w:rsidP="00DD4DE1">
      <w:pPr>
        <w:pStyle w:val="FootnoteText"/>
      </w:pPr>
      <w:r>
        <w:tab/>
      </w:r>
      <w:r w:rsidRPr="00DD4DE1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="00C70FB9">
        <w:br/>
      </w:r>
      <w:r>
        <w:t>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E1" w:rsidRPr="00DD4DE1" w:rsidRDefault="00892E0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058E">
      <w:t>ECE/TRANS/WP.29/GRSP/2019/9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E1" w:rsidRPr="00DD4DE1" w:rsidRDefault="00892E00" w:rsidP="00DD4DE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058E">
      <w:t>ECE/TRANS/WP.29/GRSP/2019/9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3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35B2"/>
    <w:rsid w:val="0014152F"/>
    <w:rsid w:val="00180183"/>
    <w:rsid w:val="0018024D"/>
    <w:rsid w:val="0018649F"/>
    <w:rsid w:val="00196389"/>
    <w:rsid w:val="001B3EF6"/>
    <w:rsid w:val="001C7A89"/>
    <w:rsid w:val="002332B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058E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3AC1"/>
    <w:rsid w:val="005639C1"/>
    <w:rsid w:val="005709E0"/>
    <w:rsid w:val="00572E19"/>
    <w:rsid w:val="005961C8"/>
    <w:rsid w:val="005966F1"/>
    <w:rsid w:val="005D5B70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9B7"/>
    <w:rsid w:val="00792497"/>
    <w:rsid w:val="00806737"/>
    <w:rsid w:val="00825F8D"/>
    <w:rsid w:val="00834B71"/>
    <w:rsid w:val="0086445C"/>
    <w:rsid w:val="00892E00"/>
    <w:rsid w:val="00894693"/>
    <w:rsid w:val="008A08D7"/>
    <w:rsid w:val="008A37C8"/>
    <w:rsid w:val="008B6909"/>
    <w:rsid w:val="008D53B6"/>
    <w:rsid w:val="008F7609"/>
    <w:rsid w:val="00906890"/>
    <w:rsid w:val="00911BE4"/>
    <w:rsid w:val="00933939"/>
    <w:rsid w:val="00951972"/>
    <w:rsid w:val="009608F3"/>
    <w:rsid w:val="009A24AC"/>
    <w:rsid w:val="009A299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7144"/>
    <w:rsid w:val="00B10CC7"/>
    <w:rsid w:val="00B2745B"/>
    <w:rsid w:val="00B36DF7"/>
    <w:rsid w:val="00B539E7"/>
    <w:rsid w:val="00B62458"/>
    <w:rsid w:val="00BC18B2"/>
    <w:rsid w:val="00BD33EE"/>
    <w:rsid w:val="00BE1CC7"/>
    <w:rsid w:val="00C106D6"/>
    <w:rsid w:val="00C119AE"/>
    <w:rsid w:val="00C3532C"/>
    <w:rsid w:val="00C60F0C"/>
    <w:rsid w:val="00C70FB9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55A1"/>
    <w:rsid w:val="00D97032"/>
    <w:rsid w:val="00DD4DE1"/>
    <w:rsid w:val="00DD78D1"/>
    <w:rsid w:val="00DE32CD"/>
    <w:rsid w:val="00DF5767"/>
    <w:rsid w:val="00DF71B9"/>
    <w:rsid w:val="00E12C5F"/>
    <w:rsid w:val="00E73F76"/>
    <w:rsid w:val="00EA2C9F"/>
    <w:rsid w:val="00EA420E"/>
    <w:rsid w:val="00EC1D36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1450B0C-A748-42EC-BDE9-B2B1356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1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D4DE1"/>
    <w:rPr>
      <w:lang w:val="ru-RU" w:eastAsia="en-US"/>
    </w:rPr>
  </w:style>
  <w:style w:type="character" w:customStyle="1" w:styleId="HChGChar">
    <w:name w:val="_ H _Ch_G Char"/>
    <w:link w:val="HChG"/>
    <w:rsid w:val="00DD4DE1"/>
    <w:rPr>
      <w:b/>
      <w:sz w:val="28"/>
      <w:lang w:val="ru-RU" w:eastAsia="ru-RU"/>
    </w:rPr>
  </w:style>
  <w:style w:type="character" w:customStyle="1" w:styleId="FootnoteTextChar1">
    <w:name w:val="Footnote Text Char1"/>
    <w:aliases w:val="5_G Char1,PP Char,Footnote Text Char Char"/>
    <w:rsid w:val="00DD4DE1"/>
    <w:rPr>
      <w:sz w:val="18"/>
      <w:lang w:val="en-GB" w:eastAsia="en-US" w:bidi="ar-SA"/>
    </w:rPr>
  </w:style>
  <w:style w:type="paragraph" w:customStyle="1" w:styleId="para">
    <w:name w:val="para"/>
    <w:basedOn w:val="Normal"/>
    <w:link w:val="paraChar"/>
    <w:qFormat/>
    <w:rsid w:val="00DD4DE1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DD4DE1"/>
    <w:rPr>
      <w:rFonts w:eastAsia="Yu Mincho"/>
      <w:snapToGrid w:val="0"/>
      <w:lang w:val="fr-FR" w:eastAsia="en-US"/>
    </w:rPr>
  </w:style>
  <w:style w:type="character" w:customStyle="1" w:styleId="H1GChar">
    <w:name w:val="_ H_1_G Char"/>
    <w:link w:val="H1G"/>
    <w:rsid w:val="00DD4DE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C539-549D-4BE9-B1B3-9FB89145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ECE/TRANS/WP.29/GRSP/2019/9</vt:lpstr>
      <vt:lpstr>A/</vt:lpstr>
      <vt:lpstr>A/</vt:lpstr>
    </vt:vector>
  </TitlesOfParts>
  <Company>DCM</Company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ECE/TRANS/WP.29/GRSP/2019/9</dc:title>
  <dc:subject/>
  <dc:creator>Tatiana SHARKINA</dc:creator>
  <cp:keywords/>
  <cp:lastModifiedBy>Benedicte Boudol</cp:lastModifiedBy>
  <cp:revision>2</cp:revision>
  <cp:lastPrinted>2019-03-06T16:33:00Z</cp:lastPrinted>
  <dcterms:created xsi:type="dcterms:W3CDTF">2019-03-19T09:23:00Z</dcterms:created>
  <dcterms:modified xsi:type="dcterms:W3CDTF">2019-03-19T09:23:00Z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