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32739D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B5FBC2" w14:textId="77777777" w:rsidR="00F35BAF" w:rsidRPr="00DB58B5" w:rsidRDefault="00F35BAF" w:rsidP="001D392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88255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0DF2C4" w14:textId="77777777" w:rsidR="00F35BAF" w:rsidRPr="00DB58B5" w:rsidRDefault="001D3926" w:rsidP="001D3926">
            <w:pPr>
              <w:jc w:val="right"/>
            </w:pPr>
            <w:r w:rsidRPr="001D3926">
              <w:rPr>
                <w:sz w:val="40"/>
              </w:rPr>
              <w:t>ECE</w:t>
            </w:r>
            <w:r>
              <w:t>/TRANS/WP</w:t>
            </w:r>
            <w:r w:rsidR="00BC3BAB">
              <w:t>.</w:t>
            </w:r>
            <w:r>
              <w:t>29/GRSP/2019/9</w:t>
            </w:r>
          </w:p>
        </w:tc>
      </w:tr>
      <w:tr w:rsidR="00F35BAF" w:rsidRPr="00DB58B5" w14:paraId="6B13CB0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E2075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17EEFF5" wp14:editId="6DC8563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40EE4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01C075" w14:textId="77777777" w:rsidR="00F35BAF" w:rsidRDefault="001D3926" w:rsidP="00C97039">
            <w:pPr>
              <w:spacing w:before="240"/>
            </w:pPr>
            <w:r>
              <w:t>Distr</w:t>
            </w:r>
            <w:r w:rsidR="00BC3BAB">
              <w:t>.</w:t>
            </w:r>
            <w:r>
              <w:t xml:space="preserve"> générale</w:t>
            </w:r>
          </w:p>
          <w:p w14:paraId="504117DA" w14:textId="77777777" w:rsidR="001D3926" w:rsidRDefault="001D3926" w:rsidP="001D3926">
            <w:pPr>
              <w:spacing w:line="240" w:lineRule="exact"/>
            </w:pPr>
            <w:r>
              <w:t>22 février 2019</w:t>
            </w:r>
          </w:p>
          <w:p w14:paraId="6C3CEDBE" w14:textId="77777777" w:rsidR="001D3926" w:rsidRDefault="001D3926" w:rsidP="001D3926">
            <w:pPr>
              <w:spacing w:line="240" w:lineRule="exact"/>
            </w:pPr>
            <w:r>
              <w:t>Français</w:t>
            </w:r>
          </w:p>
          <w:p w14:paraId="78799346" w14:textId="77777777" w:rsidR="001D3926" w:rsidRPr="00DB58B5" w:rsidRDefault="001D3926" w:rsidP="001D3926">
            <w:pPr>
              <w:spacing w:line="240" w:lineRule="exact"/>
            </w:pPr>
            <w:r>
              <w:t>Original : anglais</w:t>
            </w:r>
          </w:p>
        </w:tc>
      </w:tr>
    </w:tbl>
    <w:p w14:paraId="715FD8D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33E0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50E136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80B6742" w14:textId="77777777" w:rsidR="00A33E01" w:rsidRPr="00A33E01" w:rsidRDefault="00A33E01" w:rsidP="00C7287D">
      <w:pPr>
        <w:spacing w:before="120"/>
        <w:rPr>
          <w:rFonts w:eastAsia="MS Mincho"/>
          <w:b/>
          <w:color w:val="000000" w:themeColor="text1"/>
          <w:sz w:val="24"/>
          <w:szCs w:val="24"/>
        </w:rPr>
      </w:pPr>
      <w:r w:rsidRPr="00A33E01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A33E01">
        <w:rPr>
          <w:b/>
          <w:bCs/>
          <w:sz w:val="24"/>
          <w:szCs w:val="24"/>
          <w:lang w:val="fr-FR"/>
        </w:rPr>
        <w:t>des Règlements concernant les véhicules</w:t>
      </w:r>
    </w:p>
    <w:p w14:paraId="388506B9" w14:textId="77777777" w:rsidR="00A33E01" w:rsidRPr="00987619" w:rsidRDefault="00A33E01" w:rsidP="00C7287D">
      <w:pPr>
        <w:spacing w:before="120" w:after="120"/>
        <w:rPr>
          <w:rFonts w:eastAsia="MS Mincho"/>
          <w:b/>
          <w:bCs/>
          <w:color w:val="000000" w:themeColor="text1"/>
        </w:rPr>
      </w:pPr>
      <w:r>
        <w:rPr>
          <w:b/>
          <w:bCs/>
          <w:lang w:val="fr-FR"/>
        </w:rPr>
        <w:t>Groupe de travail de la sécurité passive</w:t>
      </w:r>
    </w:p>
    <w:p w14:paraId="625FC670" w14:textId="77777777" w:rsidR="00A33E01" w:rsidRPr="00987619" w:rsidRDefault="00A33E01" w:rsidP="00C7287D">
      <w:pPr>
        <w:rPr>
          <w:rFonts w:eastAsia="MS Mincho"/>
          <w:b/>
          <w:color w:val="000000" w:themeColor="text1"/>
        </w:rPr>
      </w:pPr>
      <w:r>
        <w:rPr>
          <w:b/>
          <w:bCs/>
          <w:lang w:val="fr-FR"/>
        </w:rPr>
        <w:t>Soixante-cinquième session</w:t>
      </w:r>
    </w:p>
    <w:p w14:paraId="0F4CB1B9" w14:textId="77777777" w:rsidR="00A33E01" w:rsidRPr="00987619" w:rsidRDefault="00A33E01" w:rsidP="00C7287D">
      <w:pPr>
        <w:rPr>
          <w:rFonts w:eastAsia="MS Mincho"/>
          <w:bCs/>
          <w:color w:val="000000" w:themeColor="text1"/>
        </w:rPr>
      </w:pPr>
      <w:r>
        <w:rPr>
          <w:lang w:val="fr-FR"/>
        </w:rPr>
        <w:t>Genève, 13-17 mai 2019</w:t>
      </w:r>
    </w:p>
    <w:p w14:paraId="0C4AC36D" w14:textId="77777777" w:rsidR="00A33E01" w:rsidRPr="00987619" w:rsidRDefault="00A33E01" w:rsidP="00C7287D">
      <w:pPr>
        <w:tabs>
          <w:tab w:val="left" w:pos="6915"/>
        </w:tabs>
        <w:rPr>
          <w:rFonts w:eastAsia="MS Mincho"/>
          <w:bCs/>
          <w:color w:val="000000" w:themeColor="text1"/>
        </w:rPr>
      </w:pPr>
      <w:r>
        <w:rPr>
          <w:lang w:val="fr-FR"/>
        </w:rPr>
        <w:t>Point 9 de l’ordre du jour provisoire</w:t>
      </w:r>
    </w:p>
    <w:p w14:paraId="2B37EF6F" w14:textId="77777777" w:rsidR="00A33E01" w:rsidRPr="00987619" w:rsidRDefault="00A33E01" w:rsidP="00C7287D">
      <w:pPr>
        <w:rPr>
          <w:rFonts w:eastAsia="MS Mincho"/>
          <w:b/>
          <w:color w:val="000000" w:themeColor="text1"/>
        </w:rPr>
      </w:pPr>
      <w:r>
        <w:rPr>
          <w:b/>
          <w:bCs/>
          <w:lang w:val="fr-FR"/>
        </w:rPr>
        <w:t xml:space="preserve">Règlement </w:t>
      </w:r>
      <w:r w:rsidR="009A36CC">
        <w:rPr>
          <w:b/>
          <w:bCs/>
          <w:lang w:val="fr-FR"/>
        </w:rPr>
        <w:t xml:space="preserve">ONU </w:t>
      </w:r>
      <w:r>
        <w:rPr>
          <w:b/>
          <w:bCs/>
          <w:lang w:val="fr-FR"/>
        </w:rPr>
        <w:t>n</w:t>
      </w:r>
      <w:r w:rsidRPr="001216EE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 17 (Résistance mécanique des sièges)</w:t>
      </w:r>
    </w:p>
    <w:p w14:paraId="1BE95011" w14:textId="77777777" w:rsidR="00A33E01" w:rsidRPr="00987619" w:rsidRDefault="00A33E01" w:rsidP="00A33E0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série 10 d’amendements au Règlement ONU n</w:t>
      </w:r>
      <w:r w:rsidRPr="001216EE">
        <w:rPr>
          <w:vertAlign w:val="superscript"/>
          <w:lang w:val="fr-FR"/>
        </w:rPr>
        <w:t>o</w:t>
      </w:r>
      <w:r w:rsidR="00C7287D">
        <w:rPr>
          <w:lang w:val="fr-FR"/>
        </w:rPr>
        <w:t> </w:t>
      </w:r>
      <w:r>
        <w:rPr>
          <w:lang w:val="fr-FR"/>
        </w:rPr>
        <w:t>17 (Résistance mécanique des sièges)</w:t>
      </w:r>
    </w:p>
    <w:p w14:paraId="60B14E60" w14:textId="77777777" w:rsidR="00A33E01" w:rsidRPr="00987619" w:rsidRDefault="00A33E01" w:rsidP="00A33E0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de l’Association européenne </w:t>
      </w:r>
      <w:r w:rsidR="00C7287D">
        <w:rPr>
          <w:lang w:val="fr-FR"/>
        </w:rPr>
        <w:br/>
      </w:r>
      <w:r>
        <w:rPr>
          <w:lang w:val="fr-FR"/>
        </w:rPr>
        <w:t>des fournisseurs de l’automobile</w:t>
      </w:r>
      <w:bookmarkStart w:id="1" w:name="_Hlk1570245"/>
      <w:bookmarkStart w:id="2" w:name="_Hlk1570270"/>
      <w:bookmarkEnd w:id="1"/>
      <w:bookmarkEnd w:id="2"/>
      <w:r w:rsidRPr="00A33E0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18AD8B" w14:textId="77777777" w:rsidR="00A33E01" w:rsidRDefault="00A33E01" w:rsidP="00A33E01">
      <w:pPr>
        <w:pStyle w:val="SingleTxtG"/>
        <w:rPr>
          <w:rFonts w:eastAsia="MS Mincho"/>
        </w:rPr>
      </w:pPr>
      <w:bookmarkStart w:id="3" w:name="_Hlk1570019"/>
      <w:r>
        <w:rPr>
          <w:lang w:val="fr-FR"/>
        </w:rPr>
        <w:tab/>
        <w:t>Le texte reproduit ci-après, établi par l’expert de l’Association européenne des fournisseurs de l’automobile (CLEPA), vise à modifier les options statiques du projet de série 10 d’amendements présenté par les experts du Japon et de la Commission européenne (ECE/TRANS/WP</w:t>
      </w:r>
      <w:r w:rsidR="00BC3BAB">
        <w:rPr>
          <w:lang w:val="fr-FR"/>
        </w:rPr>
        <w:t>.</w:t>
      </w:r>
      <w:r>
        <w:rPr>
          <w:lang w:val="fr-FR"/>
        </w:rPr>
        <w:t>29/GRSP/2018/34)</w:t>
      </w:r>
      <w:r w:rsidR="00BC3BAB">
        <w:rPr>
          <w:lang w:val="fr-FR"/>
        </w:rPr>
        <w:t>.</w:t>
      </w:r>
      <w:r>
        <w:rPr>
          <w:lang w:val="fr-FR"/>
        </w:rPr>
        <w:t xml:space="preserve"> Il s’inspire du document informel GRSP-64-25 présenté pendant la soixante-quatrième session du Groupe de travail de la sécurité passive (GRSP)</w:t>
      </w:r>
      <w:r w:rsidR="00BC3BAB">
        <w:rPr>
          <w:lang w:val="fr-FR"/>
        </w:rPr>
        <w:t>.</w:t>
      </w:r>
      <w:r>
        <w:rPr>
          <w:lang w:val="fr-FR"/>
        </w:rPr>
        <w:t xml:space="preserve"> Les modifications qu’il est proposé d’apporter au texte du document ECE/TRANS/WP</w:t>
      </w:r>
      <w:r w:rsidR="00BC3BAB">
        <w:rPr>
          <w:lang w:val="fr-FR"/>
        </w:rPr>
        <w:t>.</w:t>
      </w:r>
      <w:r>
        <w:rPr>
          <w:lang w:val="fr-FR"/>
        </w:rPr>
        <w:t>29/GRSG/2018/34 sont signalées en caractères gras pour les ajouts ou en caractères biffés pour les suppressions</w:t>
      </w:r>
      <w:r w:rsidR="00BC3BAB">
        <w:rPr>
          <w:lang w:val="fr-FR"/>
        </w:rPr>
        <w:t>.</w:t>
      </w:r>
      <w:bookmarkStart w:id="4" w:name="_Hlk1570167"/>
      <w:bookmarkEnd w:id="3"/>
      <w:bookmarkEnd w:id="4"/>
    </w:p>
    <w:p w14:paraId="06C659DC" w14:textId="77777777" w:rsidR="00A33E01" w:rsidRPr="00B83654" w:rsidRDefault="00A33E01" w:rsidP="00A33E01">
      <w:pPr>
        <w:pStyle w:val="HChG"/>
        <w:rPr>
          <w:color w:val="000000" w:themeColor="text1"/>
        </w:rPr>
      </w:pPr>
      <w:r w:rsidRPr="001216EE">
        <w:br w:type="page"/>
      </w:r>
      <w:r w:rsidRPr="00B83654">
        <w:lastRenderedPageBreak/>
        <w:tab/>
        <w:t>I</w:t>
      </w:r>
      <w:r w:rsidR="00BC3BAB">
        <w:t>.</w:t>
      </w:r>
      <w:r w:rsidRPr="00B83654">
        <w:tab/>
        <w:t>Proposition</w:t>
      </w:r>
    </w:p>
    <w:p w14:paraId="0271EE6B" w14:textId="77777777" w:rsidR="00241DE5" w:rsidRPr="00F144A8" w:rsidRDefault="00241DE5" w:rsidP="00241DE5">
      <w:pPr>
        <w:pStyle w:val="SingleTxtG"/>
        <w:spacing w:line="276" w:lineRule="auto"/>
        <w:rPr>
          <w:iCs/>
        </w:rPr>
      </w:pPr>
      <w:r w:rsidRPr="00F144A8">
        <w:rPr>
          <w:i/>
          <w:iCs/>
        </w:rPr>
        <w:t>Paragraphe 5.2.7</w:t>
      </w:r>
      <w:r w:rsidRPr="00F144A8">
        <w:t>, lire</w:t>
      </w:r>
      <w:r w:rsidR="00F144A8" w:rsidRPr="00F144A8">
        <w:t> </w:t>
      </w:r>
      <w:r w:rsidRPr="00F144A8">
        <w:t>:</w:t>
      </w:r>
    </w:p>
    <w:p w14:paraId="67D439C3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</w:pPr>
      <w:r w:rsidRPr="00F144A8">
        <w:t>« 5.2.7</w:t>
      </w:r>
      <w:r w:rsidRPr="00F144A8">
        <w:tab/>
        <w:t>Après les essais, les dispositifs de déplacement destinés à permettre ou faciliter l’accès des occupants doivent rester verrouillés : ils doivent pouvoir au moins une fois être déverrouillés et permettre le déplacement du siège ou de la partie de celui</w:t>
      </w:r>
      <w:r w:rsidRPr="00F144A8">
        <w:noBreakHyphen/>
        <w:t>ci pour laquelle ils sont prévus.</w:t>
      </w:r>
    </w:p>
    <w:p w14:paraId="53B8E534" w14:textId="77777777" w:rsidR="00241DE5" w:rsidRPr="00F144A8" w:rsidRDefault="00241DE5" w:rsidP="00F144A8">
      <w:pPr>
        <w:pStyle w:val="SingleTxtG"/>
        <w:kinsoku/>
        <w:overflowPunct/>
        <w:autoSpaceDE/>
        <w:autoSpaceDN/>
        <w:adjustRightInd/>
        <w:snapToGrid/>
        <w:ind w:left="2268"/>
      </w:pPr>
      <w:r w:rsidRPr="00F144A8">
        <w:tab/>
        <w:t>Les autres dispositifs tels que les dispositifs de réglage et leurs dispositifs de verrouillage ne sont pas tenus d’être en état de fonctionnement.</w:t>
      </w:r>
    </w:p>
    <w:p w14:paraId="773DD3EE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/>
      </w:pPr>
      <w:r w:rsidRPr="00F144A8">
        <w:tab/>
        <w:t>Dans le cas de sièges munis d’un appuie-tête, la résistance du dossier et de ses dispositifs de verrouillage est supposée répondre aux prescriptions définies au paragraphe 6.2, quand, après l’essai décrit au paragraphe annexe 5 ci-après, aucune rupture du siège ou du dossier n’est apparue, sinon, il doit être vérifié que le siège est capable de répondre aux prescriptions d’essai décrites au paragraphe 6.2 ci-après.</w:t>
      </w:r>
    </w:p>
    <w:p w14:paraId="19F83BB6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/>
        <w:rPr>
          <w:bCs/>
          <w:snapToGrid w:val="0"/>
        </w:rPr>
      </w:pPr>
      <w:r w:rsidRPr="00F144A8">
        <w:tab/>
        <w:t>Dans le cas de sièges (banquettes) comportant plus de places assises que d’appuie</w:t>
      </w:r>
      <w:r w:rsidRPr="00F144A8">
        <w:noBreakHyphen/>
        <w:t>tête, et dans le cas où le constructeur décide de ne pas appliquer la valeur de 53 daNm pendant l’essai décrit au paragraphe </w:t>
      </w:r>
      <w:r w:rsidRPr="00F144A8">
        <w:rPr>
          <w:strike/>
        </w:rPr>
        <w:t>6.4</w:t>
      </w:r>
      <w:r w:rsidRPr="00F144A8">
        <w:rPr>
          <w:b/>
        </w:rPr>
        <w:t>4.1 de l’annexe 5</w:t>
      </w:r>
      <w:r w:rsidRPr="00F144A8">
        <w:t>, l’essai de résistance mécanique du dossier de siège décrit au paragraphe 6.2 doit être effectué en plus de l’essai décrit au paragraphe </w:t>
      </w:r>
      <w:r w:rsidRPr="00F144A8">
        <w:rPr>
          <w:strike/>
        </w:rPr>
        <w:t>6.4</w:t>
      </w:r>
      <w:r w:rsidRPr="00F144A8">
        <w:rPr>
          <w:b/>
        </w:rPr>
        <w:t>4.1 de l’annexe</w:t>
      </w:r>
      <w:r w:rsidR="00F144A8" w:rsidRPr="00F144A8">
        <w:rPr>
          <w:b/>
        </w:rPr>
        <w:t> </w:t>
      </w:r>
      <w:r w:rsidRPr="00F144A8">
        <w:rPr>
          <w:b/>
        </w:rPr>
        <w:t>5</w:t>
      </w:r>
      <w:r w:rsidRPr="00F144A8">
        <w:t>.</w:t>
      </w:r>
      <w:r w:rsidR="00F144A8" w:rsidRPr="00F144A8">
        <w:t> </w:t>
      </w:r>
      <w:r w:rsidRPr="00F144A8">
        <w:t>».</w:t>
      </w:r>
    </w:p>
    <w:p w14:paraId="63177E78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 5.5.1.2</w:t>
      </w:r>
      <w:r w:rsidRPr="00F144A8">
        <w:rPr>
          <w:iCs/>
        </w:rPr>
        <w:t>, lire :</w:t>
      </w:r>
    </w:p>
    <w:p w14:paraId="175BBB21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</w:pPr>
      <w:r w:rsidRPr="00F144A8">
        <w:rPr>
          <w:bCs/>
        </w:rPr>
        <w:t>«</w:t>
      </w:r>
      <w:r w:rsidR="007D5036">
        <w:rPr>
          <w:bCs/>
        </w:rPr>
        <w:t> </w:t>
      </w:r>
      <w:r w:rsidRPr="00F144A8">
        <w:rPr>
          <w:bCs/>
        </w:rPr>
        <w:t>5.5.1.2</w:t>
      </w:r>
      <w:r w:rsidRPr="00F144A8">
        <w:tab/>
        <w:t xml:space="preserve">Les parties avant et arrière des appuie-tête situées dans la zone 2 définie au paragraphe 6.8.1.2 ci-après doivent être rembourrées pour éviter tout contact direct de la tête avec les éléments de la structure et doivent répondre aux prescriptions du paragraphe 5.2.4 ci-dessus applicables aux parties arrière des sièges de la zone 2. </w:t>
      </w:r>
      <w:r w:rsidRPr="00F144A8">
        <w:rPr>
          <w:b/>
          <w:strike/>
        </w:rPr>
        <w:t xml:space="preserve">Dans le cas où </w:t>
      </w:r>
      <w:r w:rsidRPr="00F144A8">
        <w:rPr>
          <w:b/>
        </w:rPr>
        <w:t>Lorsque le paragraphe 5.2.4.2 est utilisé pour les faces avant des appuie-tête, l’essai de dissipation d’énergie doit être effectué conformément à l’annexe 12</w:t>
      </w:r>
      <w:r w:rsidRPr="00F144A8">
        <w:t>. Dans le cas d’un appuie-tête intégré au dossier, la partie avant de l’appuie-tête est considérée comme un élément situé au-dessus du plan perpendiculaire à la ligne de référence, à 540 mm du point R, et entre deux plans verticaux longitudinaux passant à 85 mm de part et d’autre de la ligne de référence.</w:t>
      </w:r>
      <w:r w:rsidR="007D5036">
        <w:t> </w:t>
      </w:r>
      <w:r w:rsidRPr="00F144A8">
        <w:t>».</w:t>
      </w:r>
    </w:p>
    <w:p w14:paraId="3526AC4B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 5.6.2.3</w:t>
      </w:r>
      <w:r w:rsidRPr="007D5036">
        <w:t>,</w:t>
      </w:r>
      <w:r w:rsidRPr="00F144A8">
        <w:rPr>
          <w:i/>
        </w:rPr>
        <w:t xml:space="preserve"> </w:t>
      </w:r>
      <w:r w:rsidRPr="00F144A8">
        <w:t>lire :</w:t>
      </w:r>
    </w:p>
    <w:p w14:paraId="27AC81C7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rFonts w:eastAsia="MS Mincho"/>
          <w:bCs/>
        </w:rPr>
      </w:pPr>
      <w:r w:rsidRPr="00F144A8">
        <w:rPr>
          <w:rFonts w:eastAsia="MS Mincho"/>
          <w:bCs/>
        </w:rPr>
        <w:t>«</w:t>
      </w:r>
      <w:r w:rsidR="007D5036">
        <w:rPr>
          <w:rFonts w:eastAsia="MS Mincho"/>
          <w:bCs/>
        </w:rPr>
        <w:t> </w:t>
      </w:r>
      <w:r w:rsidRPr="00F144A8">
        <w:rPr>
          <w:rFonts w:eastAsia="MS Mincho"/>
          <w:bCs/>
        </w:rPr>
        <w:t>5.</w:t>
      </w:r>
      <w:r w:rsidRPr="00F144A8">
        <w:rPr>
          <w:rFonts w:eastAsia="MS Mincho"/>
          <w:bCs/>
          <w:lang w:eastAsia="ja-JP"/>
        </w:rPr>
        <w:t>6.2.3</w:t>
      </w:r>
      <w:r w:rsidRPr="00F144A8">
        <w:rPr>
          <w:rFonts w:eastAsia="MS Mincho"/>
          <w:bCs/>
          <w:lang w:eastAsia="ja-JP"/>
        </w:rPr>
        <w:tab/>
      </w:r>
      <w:r w:rsidRPr="00F144A8">
        <w:rPr>
          <w:rFonts w:eastAsia="MS Mincho"/>
          <w:bCs/>
        </w:rPr>
        <w:t>Exception</w:t>
      </w:r>
    </w:p>
    <w:p w14:paraId="1FFB828A" w14:textId="77777777" w:rsidR="00241DE5" w:rsidRPr="00F144A8" w:rsidRDefault="00241DE5" w:rsidP="00F144A8">
      <w:pPr>
        <w:pStyle w:val="SingleTxtG"/>
        <w:kinsoku/>
        <w:overflowPunct/>
        <w:autoSpaceDE/>
        <w:autoSpaceDN/>
        <w:adjustRightInd/>
        <w:snapToGrid/>
        <w:ind w:left="2268"/>
        <w:rPr>
          <w:rFonts w:eastAsia="MS PGothic"/>
          <w:bCs/>
          <w:lang w:eastAsia="ja-JP"/>
        </w:rPr>
      </w:pPr>
      <w:r w:rsidRPr="00F144A8">
        <w:rPr>
          <w:rFonts w:eastAsia="Times New Roman"/>
          <w:lang w:eastAsia="fr-FR"/>
        </w:rPr>
        <w:t xml:space="preserve">Si la surface intérieure du pavillon du véhicule, y compris sa garniture, empêche physiquement un appuie-tête situé à la place assise avant considérée d’atteindre la hauteur prescrite aux paragraphes 5.6.2.1 </w:t>
      </w:r>
      <w:r w:rsidRPr="00F144A8">
        <w:rPr>
          <w:rFonts w:eastAsia="Times New Roman"/>
          <w:strike/>
          <w:lang w:eastAsia="fr-FR"/>
        </w:rPr>
        <w:t>et/</w:t>
      </w:r>
      <w:r w:rsidRPr="00F144A8">
        <w:rPr>
          <w:rFonts w:eastAsia="Times New Roman"/>
          <w:lang w:eastAsia="fr-FR"/>
        </w:rPr>
        <w:t xml:space="preserve">ou 5.6.2.2 du présent Règlement, selon le cas, la distance entre l’appuie-tête et la surface intérieure du pavillon, y compris sa garniture, lorsqu’elle est mesurée conformément au paragraphe 2.3.3.1 de l’annexe 10, ne doit pas dépasser 50 mm lorsque l’appuie-tête est réglé à la position la plus haute prévue pour une utilisation par un occupant. Cependant, la hauteur d’un appuie-tête situé à une place assise avant </w:t>
      </w:r>
      <w:r w:rsidRPr="00F144A8">
        <w:rPr>
          <w:rFonts w:eastAsia="Times New Roman"/>
          <w:strike/>
          <w:lang w:eastAsia="fr-FR"/>
        </w:rPr>
        <w:t>latérale</w:t>
      </w:r>
      <w:r w:rsidRPr="00F144A8">
        <w:rPr>
          <w:rFonts w:eastAsia="Times New Roman"/>
          <w:lang w:eastAsia="fr-FR"/>
        </w:rPr>
        <w:t xml:space="preserve"> ne doit en aucun cas être inférieure à 700 mm lorsque l’appuie-tête est réglé à la position la plus basse prévue pour une utilisation par un occupant.</w:t>
      </w:r>
      <w:r w:rsidR="007D5036">
        <w:rPr>
          <w:rFonts w:eastAsia="Times New Roman"/>
          <w:lang w:eastAsia="fr-FR"/>
        </w:rPr>
        <w:t> </w:t>
      </w:r>
      <w:r w:rsidRPr="00F144A8">
        <w:rPr>
          <w:rFonts w:eastAsia="Times New Roman"/>
          <w:lang w:eastAsia="fr-FR"/>
        </w:rPr>
        <w:t>».</w:t>
      </w:r>
    </w:p>
    <w:p w14:paraId="0ECBBA68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 5.6.4</w:t>
      </w:r>
      <w:r w:rsidRPr="007D5036">
        <w:t>,</w:t>
      </w:r>
      <w:r w:rsidRPr="00F144A8">
        <w:rPr>
          <w:i/>
        </w:rPr>
        <w:t xml:space="preserve"> </w:t>
      </w:r>
      <w:r w:rsidRPr="00F144A8">
        <w:t>lire</w:t>
      </w:r>
      <w:r w:rsidR="00F144A8" w:rsidRPr="00F144A8">
        <w:t> :</w:t>
      </w:r>
    </w:p>
    <w:p w14:paraId="38BAEC31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</w:pPr>
      <w:r w:rsidRPr="00F144A8">
        <w:rPr>
          <w:bCs/>
          <w:lang w:eastAsia="zh-CN"/>
        </w:rPr>
        <w:t>«</w:t>
      </w:r>
      <w:r w:rsidR="007D5036">
        <w:rPr>
          <w:bCs/>
          <w:lang w:eastAsia="zh-CN"/>
        </w:rPr>
        <w:t> </w:t>
      </w:r>
      <w:r w:rsidRPr="00F144A8">
        <w:rPr>
          <w:bCs/>
          <w:lang w:eastAsia="zh-CN"/>
        </w:rPr>
        <w:t>5.6.4</w:t>
      </w:r>
      <w:r w:rsidRPr="00F144A8">
        <w:rPr>
          <w:bCs/>
          <w:lang w:eastAsia="zh-CN"/>
        </w:rPr>
        <w:tab/>
      </w:r>
      <w:r w:rsidRPr="00F144A8">
        <w:t xml:space="preserve">Discontinuités dans les appuie-tête </w:t>
      </w:r>
    </w:p>
    <w:p w14:paraId="7603E76B" w14:textId="77777777" w:rsidR="00241DE5" w:rsidRPr="00F144A8" w:rsidRDefault="00241DE5" w:rsidP="00F144A8">
      <w:pPr>
        <w:pStyle w:val="SingleTxtG"/>
        <w:kinsoku/>
        <w:overflowPunct/>
        <w:autoSpaceDE/>
        <w:autoSpaceDN/>
        <w:adjustRightInd/>
        <w:snapToGrid/>
        <w:ind w:left="2268"/>
        <w:rPr>
          <w:bCs/>
          <w:lang w:eastAsia="zh-CN"/>
        </w:rPr>
      </w:pPr>
      <w:r w:rsidRPr="00F144A8">
        <w:t>Si, lors d’une mesure effectuée conformément à l’annexe 8, un appuie</w:t>
      </w:r>
      <w:r w:rsidRPr="00F144A8">
        <w:noBreakHyphen/>
        <w:t xml:space="preserve">tête a une discontinuité supérieure à 60 mm, le déplacement maximal vers l’arrière de la tête d’essai doit être inférieur à 102 mm lorsque l’appuie-tête présentant </w:t>
      </w:r>
      <w:r w:rsidRPr="00F144A8">
        <w:lastRenderedPageBreak/>
        <w:t xml:space="preserve">une telle discontinuité est soumis à un essai au niveau de cette discontinuité conformément à l’annexe 5. </w:t>
      </w:r>
    </w:p>
    <w:p w14:paraId="0ED1E8FD" w14:textId="77777777" w:rsidR="00241DE5" w:rsidRPr="00F144A8" w:rsidRDefault="00241DE5" w:rsidP="00F144A8">
      <w:pPr>
        <w:pStyle w:val="SingleTxtG"/>
        <w:kinsoku/>
        <w:overflowPunct/>
        <w:autoSpaceDE/>
        <w:autoSpaceDN/>
        <w:adjustRightInd/>
        <w:snapToGrid/>
        <w:ind w:left="2268"/>
        <w:rPr>
          <w:b/>
          <w:lang w:eastAsia="zh-CN"/>
        </w:rPr>
      </w:pPr>
      <w:r w:rsidRPr="00F144A8">
        <w:rPr>
          <w:bCs/>
          <w:lang w:eastAsia="zh-CN"/>
        </w:rPr>
        <w:tab/>
      </w:r>
      <w:r w:rsidRPr="00F144A8">
        <w:rPr>
          <w:b/>
          <w:bCs/>
          <w:lang w:eastAsia="zh-CN"/>
        </w:rPr>
        <w:t>Dans le cas d’un appuie-tête intégré au dossier, la zone à considérer est située</w:t>
      </w:r>
      <w:r w:rsidR="00F144A8" w:rsidRPr="00F144A8">
        <w:rPr>
          <w:b/>
          <w:lang w:eastAsia="zh-CN"/>
        </w:rPr>
        <w:t> :</w:t>
      </w:r>
    </w:p>
    <w:p w14:paraId="25E3E1CB" w14:textId="77777777" w:rsidR="00241DE5" w:rsidRPr="00F144A8" w:rsidRDefault="00241DE5" w:rsidP="00F144A8">
      <w:pPr>
        <w:pStyle w:val="SingleTxtG"/>
        <w:kinsoku/>
        <w:overflowPunct/>
        <w:autoSpaceDE/>
        <w:autoSpaceDN/>
        <w:adjustRightInd/>
        <w:snapToGrid/>
        <w:ind w:left="2268"/>
        <w:rPr>
          <w:b/>
        </w:rPr>
      </w:pPr>
      <w:r w:rsidRPr="00F144A8">
        <w:rPr>
          <w:b/>
        </w:rPr>
        <w:t>Au-dessus du plan perpendiculaire à la ligne de référence, à 540 mm du point R et entre deux plans verticaux longitudinaux passant à 85 mm de part et d’autre de la ligne de référence.</w:t>
      </w:r>
      <w:r w:rsidR="007D5036">
        <w:rPr>
          <w:b/>
        </w:rPr>
        <w:t> </w:t>
      </w:r>
      <w:r w:rsidRPr="007D5036">
        <w:t>».</w:t>
      </w:r>
    </w:p>
    <w:p w14:paraId="3259DED8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 5.6.7</w:t>
      </w:r>
      <w:r w:rsidRPr="007D5036">
        <w:t>,</w:t>
      </w:r>
      <w:r w:rsidRPr="00F144A8">
        <w:rPr>
          <w:i/>
        </w:rPr>
        <w:t xml:space="preserve"> </w:t>
      </w:r>
      <w:r w:rsidRPr="00F144A8">
        <w:t>lire</w:t>
      </w:r>
      <w:r w:rsidR="00F144A8" w:rsidRPr="00F144A8">
        <w:t> :</w:t>
      </w:r>
    </w:p>
    <w:p w14:paraId="3CC6E3DA" w14:textId="77777777" w:rsidR="00241DE5" w:rsidRPr="007D5036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rFonts w:eastAsia="SimSun"/>
          <w:bCs/>
          <w:kern w:val="24"/>
          <w:lang w:val="fr-FR"/>
        </w:rPr>
      </w:pPr>
      <w:r w:rsidRPr="00F144A8">
        <w:rPr>
          <w:bCs/>
          <w:lang w:eastAsia="zh-CN"/>
        </w:rPr>
        <w:t>«</w:t>
      </w:r>
      <w:r w:rsidR="007D5036">
        <w:rPr>
          <w:bCs/>
          <w:lang w:eastAsia="zh-CN"/>
        </w:rPr>
        <w:t> </w:t>
      </w:r>
      <w:r w:rsidRPr="00F144A8">
        <w:rPr>
          <w:bCs/>
          <w:lang w:eastAsia="zh-CN"/>
        </w:rPr>
        <w:t>5.6.7</w:t>
      </w:r>
      <w:r w:rsidRPr="00F144A8">
        <w:rPr>
          <w:bCs/>
          <w:lang w:eastAsia="zh-CN"/>
        </w:rPr>
        <w:tab/>
      </w:r>
      <w:r w:rsidRPr="00F144A8">
        <w:t xml:space="preserve">La hauteur de la face avant de l’appuie-tête </w:t>
      </w:r>
      <w:r w:rsidRPr="00F144A8">
        <w:rPr>
          <w:b/>
        </w:rPr>
        <w:t>non intégré</w:t>
      </w:r>
      <w:r w:rsidRPr="00F144A8">
        <w:t xml:space="preserve"> </w:t>
      </w:r>
      <w:r w:rsidRPr="00F144A8">
        <w:rPr>
          <w:b/>
        </w:rPr>
        <w:t>au dossier</w:t>
      </w:r>
      <w:r w:rsidRPr="00F144A8">
        <w:t xml:space="preserve"> déterminée par la distance entre le point de contact et la tangente au bord inférieur de l’appuie-tête (voir la figure 10-6 de l’annexe 10) ne doit pas être inférieure à 100 mm, lorsqu’elle est mesurée parallèlement à la ligne de torse de référence.</w:t>
      </w:r>
      <w:r w:rsidR="007D5036">
        <w:t> </w:t>
      </w:r>
      <w:r w:rsidRPr="00F144A8">
        <w:t>».</w:t>
      </w:r>
    </w:p>
    <w:p w14:paraId="352004CD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 5.8.4.2</w:t>
      </w:r>
      <w:r w:rsidRPr="00934247">
        <w:t>,</w:t>
      </w:r>
      <w:r w:rsidRPr="00F144A8">
        <w:rPr>
          <w:i/>
        </w:rPr>
        <w:t xml:space="preserve"> </w:t>
      </w:r>
      <w:r w:rsidRPr="00F144A8">
        <w:t>lire</w:t>
      </w:r>
      <w:r w:rsidR="00F144A8" w:rsidRPr="00F144A8">
        <w:t> :</w:t>
      </w:r>
    </w:p>
    <w:p w14:paraId="286507D0" w14:textId="77777777" w:rsidR="00241DE5" w:rsidRPr="007D5036" w:rsidRDefault="00241DE5" w:rsidP="007D5036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shd w:val="clear" w:color="auto" w:fill="FFFFFF"/>
        </w:rPr>
      </w:pPr>
      <w:r w:rsidRPr="00F144A8">
        <w:rPr>
          <w:bCs/>
          <w:lang w:eastAsia="zh-CN"/>
        </w:rPr>
        <w:t>«</w:t>
      </w:r>
      <w:r w:rsidR="007D5036">
        <w:rPr>
          <w:bCs/>
          <w:lang w:eastAsia="zh-CN"/>
        </w:rPr>
        <w:t> </w:t>
      </w:r>
      <w:r w:rsidRPr="00F144A8">
        <w:rPr>
          <w:bCs/>
          <w:lang w:eastAsia="zh-CN"/>
        </w:rPr>
        <w:t>5.8.4.2</w:t>
      </w:r>
      <w:r w:rsidRPr="00F144A8">
        <w:rPr>
          <w:b/>
          <w:lang w:eastAsia="zh-CN"/>
        </w:rPr>
        <w:tab/>
      </w:r>
      <w:r w:rsidRPr="00F144A8">
        <w:t xml:space="preserve">Aux places avant centrales et aux places arrière </w:t>
      </w:r>
      <w:r w:rsidRPr="00F144A8">
        <w:rPr>
          <w:b/>
        </w:rPr>
        <w:t>latérales et centrales</w:t>
      </w:r>
      <w:r w:rsidRPr="00F144A8">
        <w:t xml:space="preserve"> munies d’appuie</w:t>
      </w:r>
      <w:r w:rsidRPr="00F144A8">
        <w:noBreakHyphen/>
        <w:t>tête, l’appuie</w:t>
      </w:r>
      <w:r w:rsidRPr="00F144A8">
        <w:noBreakHyphen/>
        <w:t xml:space="preserve">tête doit, lors d’un essai exécuté conformément à l’annexe 15, pouvoir être rabattu à la main vers l’avant ou vers l’arrière d’au moins 60° par rapport à toute position de réglage pour une utilisation par un occupant dans laquelle sa hauteur minimale n’est pas inférieure à celle prescrite au paragraphe 5.6.2 du présent Règlement. </w:t>
      </w:r>
      <w:r w:rsidRPr="00F144A8">
        <w:rPr>
          <w:b/>
          <w:shd w:val="clear" w:color="auto" w:fill="FFFFFF"/>
        </w:rPr>
        <w:t>Un appuie-tête pivoté d’au moins 60° vers l’avant ou vers l’arrière est considéré comme étant placé dans une position de non-utilisation même si la hauteur de l’appuie-tête dans cette position est supérieure à celle spécifiée au paragraphe 5.6.2.</w:t>
      </w:r>
      <w:r w:rsidR="007D5036">
        <w:rPr>
          <w:b/>
          <w:shd w:val="clear" w:color="auto" w:fill="FFFFFF"/>
        </w:rPr>
        <w:t> </w:t>
      </w:r>
      <w:r w:rsidRPr="00F144A8">
        <w:rPr>
          <w:shd w:val="clear" w:color="auto" w:fill="FFFFFF"/>
        </w:rPr>
        <w:t>».</w:t>
      </w:r>
    </w:p>
    <w:p w14:paraId="46E97A26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 5.8.4.5</w:t>
      </w:r>
      <w:r w:rsidRPr="00934247">
        <w:t>,</w:t>
      </w:r>
      <w:r w:rsidRPr="00F144A8">
        <w:rPr>
          <w:i/>
        </w:rPr>
        <w:t xml:space="preserve"> </w:t>
      </w:r>
      <w:r w:rsidRPr="00F144A8">
        <w:t>lire</w:t>
      </w:r>
      <w:r w:rsidR="00F144A8" w:rsidRPr="00F144A8">
        <w:t> :</w:t>
      </w:r>
    </w:p>
    <w:p w14:paraId="05FFD781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  <w:lang w:eastAsia="zh-CN"/>
        </w:rPr>
      </w:pPr>
      <w:r w:rsidRPr="00F144A8">
        <w:rPr>
          <w:bCs/>
          <w:lang w:eastAsia="zh-CN"/>
        </w:rPr>
        <w:t>«</w:t>
      </w:r>
      <w:r w:rsidR="007D5036">
        <w:rPr>
          <w:bCs/>
          <w:lang w:eastAsia="zh-CN"/>
        </w:rPr>
        <w:t> </w:t>
      </w:r>
      <w:r w:rsidRPr="00F144A8">
        <w:rPr>
          <w:bCs/>
          <w:lang w:eastAsia="zh-CN"/>
        </w:rPr>
        <w:t>5.8.4.5</w:t>
      </w:r>
      <w:r w:rsidRPr="00F144A8">
        <w:rPr>
          <w:bCs/>
          <w:lang w:eastAsia="zh-CN"/>
        </w:rPr>
        <w:tab/>
      </w:r>
      <w:r w:rsidRPr="00F144A8">
        <w:rPr>
          <w:b/>
          <w:bCs/>
          <w:lang w:eastAsia="zh-CN"/>
        </w:rPr>
        <w:t>La présence d’une position de non-utilisation pour un appuie-tête</w:t>
      </w:r>
      <w:r w:rsidRPr="00F144A8">
        <w:rPr>
          <w:bCs/>
          <w:lang w:eastAsia="zh-CN"/>
        </w:rPr>
        <w:t xml:space="preserve"> doit être indiquée par u</w:t>
      </w:r>
      <w:r w:rsidRPr="00F144A8">
        <w:t xml:space="preserve">ne étiquette ayant la forme d’un pictogramme et pouvant être accompagnée d’un texte explicatif </w:t>
      </w:r>
      <w:r w:rsidRPr="00F144A8">
        <w:rPr>
          <w:strike/>
        </w:rPr>
        <w:t>doit être apposée sur chaque appuie</w:t>
      </w:r>
      <w:r w:rsidRPr="00F144A8">
        <w:rPr>
          <w:strike/>
        </w:rPr>
        <w:noBreakHyphen/>
        <w:t>tête</w:t>
      </w:r>
      <w:r w:rsidRPr="00F144A8">
        <w:t>. Cette étiquette doit soit indiquer que l’appuie</w:t>
      </w:r>
      <w:r w:rsidRPr="00F144A8">
        <w:noBreakHyphen/>
        <w:t>tête est en position de non</w:t>
      </w:r>
      <w:r w:rsidRPr="00F144A8">
        <w:noBreakHyphen/>
        <w:t>utilisation lorsque c’est le cas, soit donner à l’occupant les informations qui lui permettent de déterminer si tel est le cas. Cette étiquette doit être apposée sur l’appuie</w:t>
      </w:r>
      <w:r w:rsidRPr="00F144A8">
        <w:noBreakHyphen/>
        <w:t>tête de manière durable et être placée de manière clairement visible dans le champ de vision d’un occupant lorsqu’il entre dans le véhicule pour s’asseoir à la place assise munie de l’appuie</w:t>
      </w:r>
      <w:r w:rsidRPr="00F144A8">
        <w:noBreakHyphen/>
        <w:t xml:space="preserve">tête en question. </w:t>
      </w:r>
      <w:r w:rsidRPr="00F144A8">
        <w:rPr>
          <w:b/>
        </w:rPr>
        <w:t>Il n’est pas nécessaire que l</w:t>
      </w:r>
      <w:r w:rsidRPr="00F144A8">
        <w:rPr>
          <w:b/>
          <w:bCs/>
        </w:rPr>
        <w:t xml:space="preserve">e nombre d’étiquettes ne dépasse pas le nombre d’appuie-tête en position de non-utilisation. </w:t>
      </w:r>
      <w:r w:rsidRPr="00F144A8">
        <w:t>La figure 1 donne des exemples de pictogrammes.</w:t>
      </w:r>
      <w:r w:rsidR="007D5036">
        <w:t> </w:t>
      </w:r>
      <w:r w:rsidRPr="00F144A8">
        <w:t>».</w:t>
      </w:r>
    </w:p>
    <w:p w14:paraId="42FB1F38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 5.10</w:t>
      </w:r>
      <w:r w:rsidRPr="007D5036">
        <w:t>,</w:t>
      </w:r>
      <w:r w:rsidRPr="00F144A8">
        <w:rPr>
          <w:i/>
        </w:rPr>
        <w:t xml:space="preserve"> </w:t>
      </w:r>
      <w:r w:rsidRPr="00F144A8">
        <w:t>lire</w:t>
      </w:r>
      <w:r w:rsidR="00F144A8" w:rsidRPr="00F144A8">
        <w:t> :</w:t>
      </w:r>
    </w:p>
    <w:p w14:paraId="36E97964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</w:pPr>
      <w:r w:rsidRPr="00F144A8">
        <w:t>«</w:t>
      </w:r>
      <w:r w:rsidR="007D5036">
        <w:t> </w:t>
      </w:r>
      <w:r w:rsidRPr="00F144A8">
        <w:t>5.10</w:t>
      </w:r>
      <w:r w:rsidRPr="00F144A8">
        <w:tab/>
        <w:t>Si l’appuie</w:t>
      </w:r>
      <w:r w:rsidRPr="00F144A8">
        <w:noBreakHyphen/>
        <w:t xml:space="preserve">tête est réglable, il ne doit pas être possible de le relever au-delà de sa hauteur maximale d’utilisation, </w:t>
      </w:r>
      <w:r w:rsidRPr="00F144A8">
        <w:rPr>
          <w:b/>
        </w:rPr>
        <w:t xml:space="preserve">ni de l’enlever, </w:t>
      </w:r>
      <w:r w:rsidRPr="00F144A8">
        <w:t xml:space="preserve">sans une action délibérée de l’utilisateur, distincte de toute opération de réglage </w:t>
      </w:r>
      <w:r w:rsidRPr="00F144A8">
        <w:rPr>
          <w:b/>
        </w:rPr>
        <w:t>vers le haut</w:t>
      </w:r>
      <w:r w:rsidRPr="00F144A8">
        <w:t>.</w:t>
      </w:r>
      <w:r w:rsidR="007D5036">
        <w:t> </w:t>
      </w:r>
      <w:r w:rsidRPr="00F144A8">
        <w:t>».</w:t>
      </w:r>
    </w:p>
    <w:p w14:paraId="35E2C732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 6.4.4</w:t>
      </w:r>
      <w:r w:rsidRPr="007D5036">
        <w:t>,</w:t>
      </w:r>
      <w:r w:rsidRPr="00F144A8">
        <w:rPr>
          <w:i/>
        </w:rPr>
        <w:t xml:space="preserve"> </w:t>
      </w:r>
      <w:r w:rsidRPr="00F144A8">
        <w:t>lire</w:t>
      </w:r>
      <w:r w:rsidR="00F144A8" w:rsidRPr="00F144A8">
        <w:t> :</w:t>
      </w:r>
    </w:p>
    <w:p w14:paraId="5800A925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</w:rPr>
      </w:pPr>
      <w:r w:rsidRPr="00F144A8">
        <w:rPr>
          <w:bCs/>
        </w:rPr>
        <w:t>«</w:t>
      </w:r>
      <w:r w:rsidR="007D5036">
        <w:rPr>
          <w:bCs/>
        </w:rPr>
        <w:t> </w:t>
      </w:r>
      <w:r w:rsidRPr="00F144A8">
        <w:rPr>
          <w:bCs/>
        </w:rPr>
        <w:t>6.4.4</w:t>
      </w:r>
      <w:r w:rsidRPr="00F144A8">
        <w:rPr>
          <w:bCs/>
        </w:rPr>
        <w:tab/>
      </w:r>
      <w:r w:rsidRPr="00F144A8">
        <w:t xml:space="preserve">Démontrer la conformité avec les paragraphes 5.6 à 5.8 du présent Règlement, </w:t>
      </w:r>
      <w:r w:rsidRPr="00F144A8">
        <w:rPr>
          <w:strike/>
        </w:rPr>
        <w:t>le</w:t>
      </w:r>
      <w:r w:rsidRPr="00934247">
        <w:rPr>
          <w:strike/>
        </w:rPr>
        <w:t xml:space="preserve"> </w:t>
      </w:r>
      <w:r w:rsidRPr="00F144A8">
        <w:t xml:space="preserve">tout soutien lombaire </w:t>
      </w:r>
      <w:r w:rsidRPr="00F144A8">
        <w:rPr>
          <w:b/>
        </w:rPr>
        <w:t>et toute traverse latérale</w:t>
      </w:r>
      <w:r w:rsidRPr="00F144A8">
        <w:t xml:space="preserve"> étant réglés dans leur position la plus en arrière. Si l’assise du siège peut être réglée indépendamment du dossier, la placer de telle façon que le point H occupe la position la plus basse par rapport au dossier. Cependant, ces dispositions peuvent être annulées par les procédures détaillées prévues dans les annexes.</w:t>
      </w:r>
      <w:r w:rsidR="007D5036">
        <w:t> </w:t>
      </w:r>
      <w:r w:rsidRPr="00F144A8">
        <w:t>».</w:t>
      </w:r>
    </w:p>
    <w:p w14:paraId="2C65E46F" w14:textId="77777777" w:rsidR="00241DE5" w:rsidRPr="00F144A8" w:rsidRDefault="00241DE5" w:rsidP="00F01A6F">
      <w:pPr>
        <w:pStyle w:val="SingleTxtG"/>
        <w:keepNext/>
        <w:spacing w:line="276" w:lineRule="auto"/>
        <w:rPr>
          <w:i/>
        </w:rPr>
      </w:pPr>
      <w:r w:rsidRPr="00F144A8">
        <w:rPr>
          <w:i/>
        </w:rPr>
        <w:lastRenderedPageBreak/>
        <w:t>Paragraphe 6.6.3</w:t>
      </w:r>
      <w:r w:rsidRPr="00F144A8">
        <w:rPr>
          <w:iCs/>
        </w:rPr>
        <w:t xml:space="preserve">, à supprimer </w:t>
      </w:r>
    </w:p>
    <w:p w14:paraId="5BF930B1" w14:textId="77777777" w:rsidR="00241DE5" w:rsidRPr="00F144A8" w:rsidRDefault="00241DE5" w:rsidP="00241DE5">
      <w:pPr>
        <w:pStyle w:val="SingleTxtG"/>
        <w:spacing w:line="276" w:lineRule="auto"/>
        <w:rPr>
          <w:iCs/>
        </w:rPr>
      </w:pPr>
      <w:r w:rsidRPr="00F144A8">
        <w:rPr>
          <w:i/>
        </w:rPr>
        <w:t>Paragraphe 6.8.1.3.1</w:t>
      </w:r>
      <w:r w:rsidRPr="00F144A8">
        <w:rPr>
          <w:iCs/>
        </w:rPr>
        <w:t>, lire</w:t>
      </w:r>
      <w:r w:rsidR="00F144A8" w:rsidRPr="00F144A8">
        <w:rPr>
          <w:iCs/>
        </w:rPr>
        <w:t> :</w:t>
      </w:r>
    </w:p>
    <w:p w14:paraId="01CDE340" w14:textId="77777777" w:rsidR="00241DE5" w:rsidRPr="00F144A8" w:rsidRDefault="00241DE5" w:rsidP="007D5036">
      <w:pPr>
        <w:pStyle w:val="SingleTxtG"/>
        <w:kinsoku/>
        <w:overflowPunct/>
        <w:autoSpaceDE/>
        <w:autoSpaceDN/>
        <w:adjustRightInd/>
        <w:snapToGrid/>
        <w:ind w:left="2268" w:hanging="1134"/>
      </w:pPr>
      <w:r w:rsidRPr="00F144A8">
        <w:t>«</w:t>
      </w:r>
      <w:r w:rsidR="007D5036">
        <w:t> </w:t>
      </w:r>
      <w:r w:rsidRPr="00F144A8">
        <w:t>6.8.1.3.1</w:t>
      </w:r>
      <w:r w:rsidRPr="00F144A8">
        <w:tab/>
        <w:t>La zone 3 est définie comme la partie du dossier du siège ou de la banquette située au</w:t>
      </w:r>
      <w:r w:rsidRPr="00F144A8">
        <w:noBreakHyphen/>
        <w:t xml:space="preserve">dessus des plans horizontaux </w:t>
      </w:r>
      <w:r w:rsidRPr="00F144A8">
        <w:rPr>
          <w:strike/>
        </w:rPr>
        <w:t xml:space="preserve">passant par le point R du siège, mais </w:t>
      </w:r>
      <w:r w:rsidRPr="00F144A8">
        <w:rPr>
          <w:b/>
        </w:rPr>
        <w:t>définis au paragraphe 5.2.4.1.3</w:t>
      </w:r>
      <w:r w:rsidRPr="00F144A8">
        <w:t xml:space="preserve"> à l’exclusion des parties situées dans les zones 1 et 2.</w:t>
      </w:r>
      <w:r w:rsidR="007D5036">
        <w:t> </w:t>
      </w:r>
      <w:r w:rsidRPr="00F144A8">
        <w:t>».</w:t>
      </w:r>
    </w:p>
    <w:p w14:paraId="5293C5C5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 6.9</w:t>
      </w:r>
      <w:r w:rsidRPr="007D5036">
        <w:t>,</w:t>
      </w:r>
      <w:r w:rsidRPr="00F144A8">
        <w:rPr>
          <w:i/>
        </w:rPr>
        <w:t xml:space="preserve"> </w:t>
      </w:r>
      <w:r w:rsidRPr="00F144A8">
        <w:t>lire</w:t>
      </w:r>
      <w:r w:rsidR="00F144A8" w:rsidRPr="00F144A8">
        <w:t> :</w:t>
      </w:r>
    </w:p>
    <w:p w14:paraId="0A170744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</w:pPr>
      <w:r w:rsidRPr="00F144A8">
        <w:t>«</w:t>
      </w:r>
      <w:r w:rsidR="007D5036">
        <w:t> </w:t>
      </w:r>
      <w:r w:rsidRPr="00F144A8">
        <w:t>6.9</w:t>
      </w:r>
      <w:r w:rsidRPr="00F144A8">
        <w:tab/>
        <w:t>Méthodes d’essai équivalentes</w:t>
      </w:r>
    </w:p>
    <w:p w14:paraId="307E6703" w14:textId="77777777" w:rsidR="00241DE5" w:rsidRPr="00F144A8" w:rsidRDefault="00241DE5" w:rsidP="00F144A8">
      <w:pPr>
        <w:pStyle w:val="SingleTxtG"/>
        <w:kinsoku/>
        <w:overflowPunct/>
        <w:autoSpaceDE/>
        <w:autoSpaceDN/>
        <w:adjustRightInd/>
        <w:snapToGrid/>
        <w:ind w:left="2268"/>
      </w:pPr>
      <w:r w:rsidRPr="00F144A8">
        <w:tab/>
        <w:t>Si une méthode autre que celles décrites aux paragraphes 6.2</w:t>
      </w:r>
      <w:r w:rsidRPr="00F144A8">
        <w:rPr>
          <w:strike/>
        </w:rPr>
        <w:t>,</w:t>
      </w:r>
      <w:r w:rsidRPr="00F144A8">
        <w:t xml:space="preserve"> </w:t>
      </w:r>
      <w:r w:rsidRPr="00F144A8">
        <w:rPr>
          <w:b/>
        </w:rPr>
        <w:t>et</w:t>
      </w:r>
      <w:r w:rsidRPr="00F144A8">
        <w:t xml:space="preserve"> 6.3</w:t>
      </w:r>
      <w:r w:rsidRPr="00F144A8">
        <w:rPr>
          <w:strike/>
        </w:rPr>
        <w:t>, 6.4</w:t>
      </w:r>
      <w:r w:rsidRPr="00F144A8">
        <w:t xml:space="preserve"> ci</w:t>
      </w:r>
      <w:r w:rsidRPr="00F144A8">
        <w:noBreakHyphen/>
        <w:t xml:space="preserve">dessus </w:t>
      </w:r>
      <w:r w:rsidRPr="007D5036">
        <w:rPr>
          <w:b/>
        </w:rPr>
        <w:t>ou</w:t>
      </w:r>
      <w:r w:rsidRPr="00F144A8">
        <w:rPr>
          <w:b/>
        </w:rPr>
        <w:t xml:space="preserve"> aux</w:t>
      </w:r>
      <w:r w:rsidRPr="00F144A8">
        <w:t xml:space="preserve"> </w:t>
      </w:r>
      <w:r w:rsidRPr="00F144A8">
        <w:rPr>
          <w:strike/>
        </w:rPr>
        <w:t>à l’</w:t>
      </w:r>
      <w:r w:rsidRPr="00F144A8">
        <w:t>annexe</w:t>
      </w:r>
      <w:r w:rsidRPr="00F144A8">
        <w:rPr>
          <w:b/>
        </w:rPr>
        <w:t>s</w:t>
      </w:r>
      <w:r w:rsidRPr="00F144A8">
        <w:t xml:space="preserve"> </w:t>
      </w:r>
      <w:r w:rsidRPr="00F144A8">
        <w:rPr>
          <w:b/>
        </w:rPr>
        <w:t>5</w:t>
      </w:r>
      <w:r w:rsidRPr="00F144A8">
        <w:t xml:space="preserve">, 6 </w:t>
      </w:r>
      <w:r w:rsidRPr="00F144A8">
        <w:rPr>
          <w:b/>
        </w:rPr>
        <w:t>ou 12</w:t>
      </w:r>
      <w:r w:rsidRPr="00F144A8">
        <w:t xml:space="preserve"> est utilisée, son équivalence doit être démontrée.</w:t>
      </w:r>
      <w:r w:rsidR="007D5036">
        <w:t> </w:t>
      </w:r>
      <w:r w:rsidRPr="00F144A8">
        <w:t>».</w:t>
      </w:r>
    </w:p>
    <w:p w14:paraId="7C42B77A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Paragraphes 13.13.1 à 13.13.3</w:t>
      </w:r>
      <w:r w:rsidRPr="007D5036">
        <w:t>,</w:t>
      </w:r>
      <w:r w:rsidRPr="00F144A8">
        <w:rPr>
          <w:i/>
        </w:rPr>
        <w:t xml:space="preserve"> </w:t>
      </w:r>
      <w:r w:rsidRPr="00F144A8">
        <w:t>lire</w:t>
      </w:r>
      <w:r w:rsidR="00F144A8" w:rsidRPr="00F144A8">
        <w:t> :</w:t>
      </w:r>
    </w:p>
    <w:p w14:paraId="2685B7E9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  <w:lang w:eastAsia="ja-JP"/>
        </w:rPr>
      </w:pPr>
      <w:r w:rsidRPr="00F144A8">
        <w:rPr>
          <w:bCs/>
          <w:lang w:eastAsia="ja-JP"/>
        </w:rPr>
        <w:t>«</w:t>
      </w:r>
      <w:r w:rsidR="007D5036">
        <w:rPr>
          <w:bCs/>
          <w:lang w:eastAsia="ja-JP"/>
        </w:rPr>
        <w:t> </w:t>
      </w:r>
      <w:r w:rsidRPr="00F144A8">
        <w:rPr>
          <w:bCs/>
          <w:lang w:eastAsia="ja-JP"/>
        </w:rPr>
        <w:t>13.13.1</w:t>
      </w:r>
      <w:r w:rsidRPr="00F144A8">
        <w:rPr>
          <w:bCs/>
          <w:lang w:eastAsia="ja-JP"/>
        </w:rPr>
        <w:tab/>
      </w:r>
      <w:r w:rsidRPr="00F144A8">
        <w:rPr>
          <w:shd w:val="clear" w:color="auto" w:fill="FFFFFF"/>
        </w:rPr>
        <w:t>À compter du [1</w:t>
      </w:r>
      <w:r w:rsidRPr="00F144A8">
        <w:rPr>
          <w:shd w:val="clear" w:color="auto" w:fill="FFFFFF"/>
          <w:vertAlign w:val="superscript"/>
        </w:rPr>
        <w:t>er</w:t>
      </w:r>
      <w:r w:rsidRPr="00F144A8">
        <w:rPr>
          <w:shd w:val="clear" w:color="auto" w:fill="FFFFFF"/>
        </w:rPr>
        <w:t xml:space="preserve"> septembre </w:t>
      </w:r>
      <w:r w:rsidRPr="00F144A8">
        <w:rPr>
          <w:b/>
          <w:shd w:val="clear" w:color="auto" w:fill="FFFFFF"/>
        </w:rPr>
        <w:t>2022</w:t>
      </w:r>
      <w:r w:rsidRPr="00F144A8">
        <w:rPr>
          <w:shd w:val="clear" w:color="auto" w:fill="FFFFFF"/>
        </w:rPr>
        <w:t>], les Parties contractantes appliquant le présent Règlement ONU ne seront plus tenues d’accepter les homologations de type délivrées au titre des précédentes séries d’amendements [le 1</w:t>
      </w:r>
      <w:r w:rsidRPr="00F144A8">
        <w:rPr>
          <w:shd w:val="clear" w:color="auto" w:fill="FFFFFF"/>
          <w:vertAlign w:val="superscript"/>
        </w:rPr>
        <w:t>er</w:t>
      </w:r>
      <w:r w:rsidRPr="00F144A8">
        <w:rPr>
          <w:shd w:val="clear" w:color="auto" w:fill="FFFFFF"/>
        </w:rPr>
        <w:t xml:space="preserve"> septembre </w:t>
      </w:r>
      <w:r w:rsidRPr="00F144A8">
        <w:rPr>
          <w:b/>
          <w:shd w:val="clear" w:color="auto" w:fill="FFFFFF"/>
        </w:rPr>
        <w:t>2022</w:t>
      </w:r>
      <w:r w:rsidRPr="00F144A8">
        <w:rPr>
          <w:shd w:val="clear" w:color="auto" w:fill="FFFFFF"/>
        </w:rPr>
        <w:t>] ou ultérieurement.</w:t>
      </w:r>
    </w:p>
    <w:p w14:paraId="72ED3165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</w:rPr>
      </w:pPr>
      <w:r w:rsidRPr="00F144A8">
        <w:t>13.13.2</w:t>
      </w:r>
      <w:r w:rsidRPr="00F144A8">
        <w:tab/>
      </w:r>
      <w:r w:rsidRPr="00F144A8">
        <w:rPr>
          <w:shd w:val="clear" w:color="auto" w:fill="FFFFFF"/>
        </w:rPr>
        <w:t>Jusqu’au [1</w:t>
      </w:r>
      <w:r w:rsidRPr="00F144A8">
        <w:rPr>
          <w:shd w:val="clear" w:color="auto" w:fill="FFFFFF"/>
          <w:vertAlign w:val="superscript"/>
        </w:rPr>
        <w:t>er</w:t>
      </w:r>
      <w:r w:rsidRPr="00F144A8">
        <w:rPr>
          <w:shd w:val="clear" w:color="auto" w:fill="FFFFFF"/>
        </w:rPr>
        <w:t xml:space="preserve"> septembre </w:t>
      </w:r>
      <w:r w:rsidRPr="00F144A8">
        <w:rPr>
          <w:b/>
          <w:shd w:val="clear" w:color="auto" w:fill="FFFFFF"/>
        </w:rPr>
        <w:t>2025</w:t>
      </w:r>
      <w:r w:rsidRPr="00F144A8">
        <w:rPr>
          <w:shd w:val="clear" w:color="auto" w:fill="FFFFFF"/>
        </w:rPr>
        <w:t>], les Parties contractantes appliquant le présent Règlement ONU accepteront les homologations de type délivrées au titre des précédentes séries d’amendements avant le [1</w:t>
      </w:r>
      <w:r w:rsidRPr="00F144A8">
        <w:rPr>
          <w:shd w:val="clear" w:color="auto" w:fill="FFFFFF"/>
          <w:vertAlign w:val="superscript"/>
        </w:rPr>
        <w:t>er</w:t>
      </w:r>
      <w:r w:rsidRPr="00F144A8">
        <w:rPr>
          <w:shd w:val="clear" w:color="auto" w:fill="FFFFFF"/>
        </w:rPr>
        <w:t xml:space="preserve"> septembre </w:t>
      </w:r>
      <w:r w:rsidRPr="00F144A8">
        <w:rPr>
          <w:b/>
          <w:shd w:val="clear" w:color="auto" w:fill="FFFFFF"/>
        </w:rPr>
        <w:t>2022</w:t>
      </w:r>
      <w:r w:rsidRPr="00F144A8">
        <w:rPr>
          <w:shd w:val="clear" w:color="auto" w:fill="FFFFFF"/>
        </w:rPr>
        <w:t>].</w:t>
      </w:r>
    </w:p>
    <w:p w14:paraId="108CE209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</w:rPr>
      </w:pPr>
      <w:r w:rsidRPr="00F144A8">
        <w:t>13.13.3</w:t>
      </w:r>
      <w:r w:rsidRPr="00F144A8">
        <w:tab/>
      </w:r>
      <w:r w:rsidRPr="00F144A8">
        <w:rPr>
          <w:shd w:val="clear" w:color="auto" w:fill="FFFFFF"/>
        </w:rPr>
        <w:t>À compter du [1</w:t>
      </w:r>
      <w:r w:rsidRPr="00F144A8">
        <w:rPr>
          <w:shd w:val="clear" w:color="auto" w:fill="FFFFFF"/>
          <w:vertAlign w:val="superscript"/>
        </w:rPr>
        <w:t>er</w:t>
      </w:r>
      <w:r w:rsidRPr="00F144A8">
        <w:rPr>
          <w:shd w:val="clear" w:color="auto" w:fill="FFFFFF"/>
        </w:rPr>
        <w:t xml:space="preserve"> septembre </w:t>
      </w:r>
      <w:r w:rsidRPr="00F144A8">
        <w:rPr>
          <w:b/>
          <w:shd w:val="clear" w:color="auto" w:fill="FFFFFF"/>
        </w:rPr>
        <w:t>2025</w:t>
      </w:r>
      <w:r w:rsidRPr="00F144A8">
        <w:rPr>
          <w:shd w:val="clear" w:color="auto" w:fill="FFFFFF"/>
        </w:rPr>
        <w:t xml:space="preserve">], les Parties contractantes appliquant le présent Règlement ne seront plus tenues d’accepter les homologations de type délivrées au titre des précédentes séries d’amendements audit Règlement </w:t>
      </w:r>
      <w:r w:rsidRPr="00F144A8">
        <w:rPr>
          <w:b/>
          <w:shd w:val="clear" w:color="auto" w:fill="FFFFFF"/>
        </w:rPr>
        <w:t>pour les appuie-tête avant</w:t>
      </w:r>
      <w:r w:rsidRPr="00F144A8">
        <w:rPr>
          <w:shd w:val="clear" w:color="auto" w:fill="FFFFFF"/>
        </w:rPr>
        <w:t>.</w:t>
      </w:r>
      <w:r w:rsidR="007D5036">
        <w:rPr>
          <w:shd w:val="clear" w:color="auto" w:fill="FFFFFF"/>
        </w:rPr>
        <w:t> </w:t>
      </w:r>
      <w:r w:rsidRPr="00F144A8">
        <w:rPr>
          <w:shd w:val="clear" w:color="auto" w:fill="FFFFFF"/>
        </w:rPr>
        <w:t>».</w:t>
      </w:r>
    </w:p>
    <w:p w14:paraId="07C82DF1" w14:textId="77777777" w:rsidR="00241DE5" w:rsidRPr="00F144A8" w:rsidRDefault="00241DE5" w:rsidP="00241DE5">
      <w:pPr>
        <w:pStyle w:val="SingleTxtG"/>
        <w:spacing w:line="276" w:lineRule="auto"/>
      </w:pPr>
      <w:r w:rsidRPr="00F144A8">
        <w:rPr>
          <w:i/>
        </w:rPr>
        <w:t>Annexe 4, paragraphe 2.1</w:t>
      </w:r>
      <w:r w:rsidRPr="007D5036">
        <w:t>,</w:t>
      </w:r>
      <w:r w:rsidRPr="00F144A8">
        <w:rPr>
          <w:i/>
        </w:rPr>
        <w:t xml:space="preserve"> </w:t>
      </w:r>
      <w:r w:rsidRPr="00F144A8">
        <w:rPr>
          <w:iCs/>
        </w:rPr>
        <w:t>lire</w:t>
      </w:r>
      <w:r w:rsidR="00F144A8" w:rsidRPr="00F144A8">
        <w:rPr>
          <w:iCs/>
        </w:rPr>
        <w:t> :</w:t>
      </w:r>
    </w:p>
    <w:p w14:paraId="259732A5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</w:rPr>
      </w:pPr>
      <w:r w:rsidRPr="00F144A8">
        <w:rPr>
          <w:bCs/>
        </w:rPr>
        <w:t>«</w:t>
      </w:r>
      <w:r w:rsidR="007D5036">
        <w:rPr>
          <w:bCs/>
        </w:rPr>
        <w:t> </w:t>
      </w:r>
      <w:r w:rsidRPr="00F144A8">
        <w:rPr>
          <w:bCs/>
        </w:rPr>
        <w:t>2.1</w:t>
      </w:r>
      <w:r w:rsidRPr="00F144A8">
        <w:rPr>
          <w:bCs/>
        </w:rPr>
        <w:tab/>
      </w:r>
      <w:r w:rsidRPr="00F144A8">
        <w:t>Le siège doit être réglé de telle sorte que le point H coïncide avec le point R ; si le dossier du siège est réglable, il doit être réglé sur l’angle prévu d’inclinaison. Ces deux réglages doivent être effectués conformément aux prescriptions du paragraphe 2.1 de l’annexe 10.</w:t>
      </w:r>
    </w:p>
    <w:p w14:paraId="347EB158" w14:textId="77777777" w:rsidR="00241DE5" w:rsidRPr="00F144A8" w:rsidRDefault="00241DE5" w:rsidP="00F144A8">
      <w:pPr>
        <w:pStyle w:val="SingleTxtG"/>
        <w:kinsoku/>
        <w:overflowPunct/>
        <w:autoSpaceDE/>
        <w:autoSpaceDN/>
        <w:adjustRightInd/>
        <w:snapToGrid/>
        <w:ind w:left="2268"/>
        <w:rPr>
          <w:shd w:val="clear" w:color="auto" w:fill="FFFFFF"/>
        </w:rPr>
      </w:pPr>
      <w:r w:rsidRPr="00F144A8">
        <w:rPr>
          <w:b/>
        </w:rPr>
        <w:tab/>
      </w:r>
      <w:r w:rsidRPr="00F144A8">
        <w:rPr>
          <w:b/>
          <w:shd w:val="clear" w:color="auto" w:fill="FFFFFF"/>
        </w:rPr>
        <w:t>L’appuie-tête doit être réglé à sa position la plus haute et la plus en arrière par rapport au dossier du siège.</w:t>
      </w:r>
      <w:r w:rsidR="00F144A8">
        <w:rPr>
          <w:b/>
          <w:shd w:val="clear" w:color="auto" w:fill="FFFFFF"/>
        </w:rPr>
        <w:t> </w:t>
      </w:r>
      <w:r w:rsidRPr="00F144A8">
        <w:rPr>
          <w:shd w:val="clear" w:color="auto" w:fill="FFFFFF"/>
        </w:rPr>
        <w:t>».</w:t>
      </w:r>
    </w:p>
    <w:p w14:paraId="7B6648CB" w14:textId="77777777" w:rsidR="00241DE5" w:rsidRPr="00F144A8" w:rsidRDefault="00241DE5" w:rsidP="00241DE5">
      <w:pPr>
        <w:pStyle w:val="SingleTxtG"/>
        <w:spacing w:line="276" w:lineRule="auto"/>
        <w:rPr>
          <w:bCs/>
          <w:lang w:eastAsia="zh-CN"/>
        </w:rPr>
      </w:pPr>
      <w:r w:rsidRPr="00F144A8">
        <w:rPr>
          <w:i/>
        </w:rPr>
        <w:t>Annexe 5, paragraphes 2.3 et 2.4</w:t>
      </w:r>
      <w:r w:rsidRPr="00F144A8">
        <w:rPr>
          <w:iCs/>
        </w:rPr>
        <w:t>, lire</w:t>
      </w:r>
      <w:r w:rsidR="00F144A8" w:rsidRPr="00F144A8">
        <w:rPr>
          <w:iCs/>
        </w:rPr>
        <w:t> :</w:t>
      </w:r>
    </w:p>
    <w:p w14:paraId="1E038D0F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snapToGrid w:val="0"/>
        </w:rPr>
      </w:pPr>
      <w:r w:rsidRPr="00F144A8">
        <w:rPr>
          <w:bCs/>
          <w:snapToGrid w:val="0"/>
        </w:rPr>
        <w:t>«</w:t>
      </w:r>
      <w:r w:rsidR="007D5036">
        <w:rPr>
          <w:bCs/>
          <w:snapToGrid w:val="0"/>
        </w:rPr>
        <w:t> </w:t>
      </w:r>
      <w:r w:rsidRPr="00F144A8">
        <w:rPr>
          <w:bCs/>
          <w:snapToGrid w:val="0"/>
        </w:rPr>
        <w:t>2.3</w:t>
      </w:r>
      <w:r w:rsidRPr="00F144A8">
        <w:rPr>
          <w:bCs/>
          <w:snapToGrid w:val="0"/>
        </w:rPr>
        <w:tab/>
      </w:r>
      <w:r w:rsidRPr="00F144A8">
        <w:t>Établir la ligne de torse de référence déplacée “r1” en produisant un moment vers l’arrière de 373 </w:t>
      </w:r>
      <w:r w:rsidRPr="00F144A8">
        <w:sym w:font="Symbol" w:char="F0B1"/>
      </w:r>
      <w:r w:rsidRPr="00F144A8">
        <w:t xml:space="preserve"> 7,5 Nm autour du point R en appliquant une force au dossier du siège par l’intermédiaire de l’élément de dos, à la vitesse de </w:t>
      </w:r>
      <w:r w:rsidRPr="00F144A8">
        <w:rPr>
          <w:b/>
        </w:rPr>
        <w:t>[2,5 à 37,3 Nm/s]</w:t>
      </w:r>
      <w:r w:rsidRPr="00F144A8">
        <w:t>. L’emplacement initial sur l’élément de dos du vecteur force engendrant le moment est situé à une hauteur de 290 </w:t>
      </w:r>
      <w:r w:rsidRPr="00F144A8">
        <w:sym w:font="Symbol" w:char="F0B1"/>
      </w:r>
      <w:r w:rsidRPr="00F144A8">
        <w:t xml:space="preserve"> 13 mm. Appliquer le vecteur force normalement à la ligne de torse et le maintenir à 2° près dans un plan vertical parallèle au plan de référence vertical longitudinal du véhicule. Forcer l’élément de dos à pivoter autour du point R. Faire subir une rotation au vecteur force correspondant à celle de l’élément de dos. </w:t>
      </w:r>
      <w:r w:rsidRPr="00F144A8">
        <w:rPr>
          <w:b/>
          <w:bCs/>
        </w:rPr>
        <w:t>En cas d’essai simultané, le moment vers l’arrière sera appliqué à chaque place assise qu’elle soit ou non équipée d’appuie-tête.</w:t>
      </w:r>
      <w:r w:rsidR="00F144A8">
        <w:rPr>
          <w:b/>
          <w:bCs/>
        </w:rPr>
        <w:t> </w:t>
      </w:r>
      <w:r w:rsidRPr="00F144A8">
        <w:rPr>
          <w:bCs/>
        </w:rPr>
        <w:t>».</w:t>
      </w:r>
    </w:p>
    <w:p w14:paraId="09472EED" w14:textId="40623595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  <w:snapToGrid w:val="0"/>
        </w:rPr>
      </w:pPr>
      <w:r w:rsidRPr="00F144A8">
        <w:t>2.4</w:t>
      </w:r>
      <w:r w:rsidRPr="00F144A8">
        <w:tab/>
        <w:t>Maintenir la position de l’élément de dos comme indiqué au paragraphe 2.3 de la présente annexe. En utilisant une tête d’essai sphérique de 165 </w:t>
      </w:r>
      <w:r w:rsidRPr="00F144A8">
        <w:rPr>
          <w:bCs/>
          <w:lang w:val="en-GB" w:eastAsia="zh-CN"/>
        </w:rPr>
        <w:sym w:font="Symbol" w:char="00B1"/>
      </w:r>
      <w:r w:rsidRPr="00F144A8">
        <w:t> 2 mm de diamètre, établir la position de référence initiale de cette tête en appliquant, perpendiculairement à la ligne de référence de torse déplacée, une force initiale vers l’arrière sur l’axe médian du siège à une hauteur de 65 </w:t>
      </w:r>
      <w:r w:rsidRPr="00F144A8">
        <w:sym w:font="Symbol" w:char="F0B1"/>
      </w:r>
      <w:r w:rsidRPr="00F144A8">
        <w:t> 3 mm au</w:t>
      </w:r>
      <w:r w:rsidRPr="00F144A8">
        <w:noBreakHyphen/>
        <w:t>dessous du sommet de l’appuie</w:t>
      </w:r>
      <w:r w:rsidRPr="00F144A8">
        <w:noBreakHyphen/>
        <w:t>tête, qui produise un moment de 373 </w:t>
      </w:r>
      <w:r w:rsidRPr="00F144A8">
        <w:rPr>
          <w:strike/>
        </w:rPr>
        <w:sym w:font="Symbol" w:char="F0B1"/>
      </w:r>
      <w:r w:rsidRPr="00F144A8">
        <w:rPr>
          <w:strike/>
        </w:rPr>
        <w:t> 7,5</w:t>
      </w:r>
      <w:r w:rsidRPr="00F144A8">
        <w:t xml:space="preserve"> Nm autour du point R. Maintenir ce moment pendant 5 s, puis mesurer le déplacement vers l’arrière de la tête d’essai pendant l’application </w:t>
      </w:r>
      <w:r w:rsidRPr="00F144A8">
        <w:lastRenderedPageBreak/>
        <w:t xml:space="preserve">de la force. </w:t>
      </w:r>
      <w:r w:rsidRPr="00F144A8">
        <w:rPr>
          <w:b/>
          <w:shd w:val="clear" w:color="auto" w:fill="FFFFFF"/>
        </w:rPr>
        <w:t>En cas d’essai simultané, le moment sera appliqué à chaque appuie-tête.</w:t>
      </w:r>
      <w:r w:rsidR="00F144A8">
        <w:rPr>
          <w:b/>
          <w:shd w:val="clear" w:color="auto" w:fill="FFFFFF"/>
        </w:rPr>
        <w:t> </w:t>
      </w:r>
      <w:r w:rsidRPr="00F144A8">
        <w:rPr>
          <w:shd w:val="clear" w:color="auto" w:fill="FFFFFF"/>
        </w:rPr>
        <w:t>».</w:t>
      </w:r>
    </w:p>
    <w:p w14:paraId="0ADFEF9A" w14:textId="77777777" w:rsidR="00241DE5" w:rsidRPr="00F144A8" w:rsidRDefault="00241DE5" w:rsidP="00241DE5">
      <w:pPr>
        <w:pStyle w:val="SingleTxtG"/>
        <w:spacing w:line="276" w:lineRule="auto"/>
        <w:rPr>
          <w:iCs/>
        </w:rPr>
      </w:pPr>
      <w:r w:rsidRPr="00F144A8">
        <w:rPr>
          <w:i/>
        </w:rPr>
        <w:t>Annexe 5, paragraphe 3.4</w:t>
      </w:r>
      <w:r w:rsidRPr="00F144A8">
        <w:rPr>
          <w:iCs/>
        </w:rPr>
        <w:t>, lire</w:t>
      </w:r>
      <w:r w:rsidR="00F144A8" w:rsidRPr="00F144A8">
        <w:rPr>
          <w:iCs/>
        </w:rPr>
        <w:t> :</w:t>
      </w:r>
    </w:p>
    <w:p w14:paraId="4BF78E95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  <w:snapToGrid w:val="0"/>
          <w:lang w:val="fr-FR"/>
        </w:rPr>
      </w:pPr>
      <w:r w:rsidRPr="00F144A8">
        <w:rPr>
          <w:bCs/>
          <w:snapToGrid w:val="0"/>
        </w:rPr>
        <w:t>«</w:t>
      </w:r>
      <w:r w:rsidR="007D5036">
        <w:rPr>
          <w:bCs/>
          <w:snapToGrid w:val="0"/>
        </w:rPr>
        <w:t> </w:t>
      </w:r>
      <w:r w:rsidRPr="00F144A8">
        <w:rPr>
          <w:bCs/>
          <w:snapToGrid w:val="0"/>
        </w:rPr>
        <w:t>3.4</w:t>
      </w:r>
      <w:r w:rsidRPr="00F144A8">
        <w:rPr>
          <w:bCs/>
          <w:snapToGrid w:val="0"/>
        </w:rPr>
        <w:tab/>
      </w:r>
      <w:r w:rsidRPr="00F144A8">
        <w:t>Établir la ligne de torse déplacée en produisant un moment vers l’arrière de 373 </w:t>
      </w:r>
      <w:r w:rsidRPr="00F144A8">
        <w:sym w:font="Symbol" w:char="F0B1"/>
      </w:r>
      <w:r w:rsidRPr="00F144A8">
        <w:t xml:space="preserve"> 7,5 Nm autour du point R en appliquant une force au dossier du siège par l’intermédiaire de l’élément de dos, à la vitesse de </w:t>
      </w:r>
      <w:r w:rsidRPr="00F144A8">
        <w:rPr>
          <w:b/>
        </w:rPr>
        <w:t>[2,5 à 37,3 Nm/s]</w:t>
      </w:r>
      <w:r w:rsidRPr="00F144A8">
        <w:t>. L’emplacement initial sur l’élément de dos du vecteur force engendrant le moment est situé à une hauteur de 290 </w:t>
      </w:r>
      <w:r w:rsidRPr="00F144A8">
        <w:sym w:font="Symbol" w:char="F0B1"/>
      </w:r>
      <w:r w:rsidRPr="00F144A8">
        <w:t> 13 mm. Appliquer le vecteur force perpendiculairement à la ligne de torse et le maintenir à 2° près dans un plan vertical parallèle au plan de référence vertical longitudinal du véhicule. Forcer l’élément de dos à pivoter autour du point R. Faire subir une rotation au vecteur force correspondant à celle de l’élément de dos.</w:t>
      </w:r>
      <w:r w:rsidR="00F144A8">
        <w:t> </w:t>
      </w:r>
      <w:r w:rsidRPr="00F144A8">
        <w:t>».</w:t>
      </w:r>
    </w:p>
    <w:p w14:paraId="7325C756" w14:textId="77777777" w:rsidR="00241DE5" w:rsidRPr="00F144A8" w:rsidRDefault="00241DE5" w:rsidP="00241DE5">
      <w:pPr>
        <w:pStyle w:val="SingleTxtG"/>
        <w:spacing w:line="276" w:lineRule="auto"/>
        <w:rPr>
          <w:bCs/>
          <w:snapToGrid w:val="0"/>
        </w:rPr>
      </w:pPr>
      <w:r w:rsidRPr="00F144A8">
        <w:rPr>
          <w:i/>
        </w:rPr>
        <w:t>Annexe 5, paragraphe 3.7 et 3.8</w:t>
      </w:r>
      <w:r w:rsidRPr="00F144A8">
        <w:rPr>
          <w:iCs/>
        </w:rPr>
        <w:t>, lire</w:t>
      </w:r>
      <w:r w:rsidR="00F144A8" w:rsidRPr="00F144A8">
        <w:rPr>
          <w:iCs/>
        </w:rPr>
        <w:t> :</w:t>
      </w:r>
    </w:p>
    <w:p w14:paraId="0B5D2CF3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  <w:snapToGrid w:val="0"/>
          <w:lang w:val="fr-FR"/>
        </w:rPr>
      </w:pPr>
      <w:r w:rsidRPr="00F144A8">
        <w:rPr>
          <w:bCs/>
          <w:snapToGrid w:val="0"/>
        </w:rPr>
        <w:t>«</w:t>
      </w:r>
      <w:r w:rsidR="00F144A8">
        <w:rPr>
          <w:bCs/>
          <w:snapToGrid w:val="0"/>
        </w:rPr>
        <w:t> </w:t>
      </w:r>
      <w:r w:rsidRPr="00F144A8">
        <w:rPr>
          <w:bCs/>
          <w:snapToGrid w:val="0"/>
        </w:rPr>
        <w:t>3.7</w:t>
      </w:r>
      <w:r w:rsidRPr="00F144A8">
        <w:rPr>
          <w:bCs/>
          <w:snapToGrid w:val="0"/>
        </w:rPr>
        <w:tab/>
      </w:r>
      <w:r w:rsidRPr="00F144A8">
        <w:t xml:space="preserve">Accroître la force par rapport à la valeur initiale à la vitesse de </w:t>
      </w:r>
      <w:r w:rsidRPr="00F144A8">
        <w:rPr>
          <w:b/>
        </w:rPr>
        <w:t>[2,5 à 37,3 Nm/s]</w:t>
      </w:r>
      <w:r w:rsidRPr="00F144A8">
        <w:t xml:space="preserve"> jusqu’à atteindre un moment de 373</w:t>
      </w:r>
      <w:r w:rsidRPr="00934247">
        <w:rPr>
          <w:strike/>
        </w:rPr>
        <w:t> </w:t>
      </w:r>
      <w:r w:rsidRPr="00F144A8">
        <w:rPr>
          <w:bCs/>
          <w:strike/>
          <w:lang w:val="en-GB" w:eastAsia="zh-CN"/>
        </w:rPr>
        <w:sym w:font="Symbol" w:char="00B1"/>
      </w:r>
      <w:r w:rsidRPr="00F144A8">
        <w:rPr>
          <w:bCs/>
          <w:strike/>
          <w:lang w:eastAsia="zh-CN"/>
        </w:rPr>
        <w:t> </w:t>
      </w:r>
      <w:r w:rsidRPr="00F144A8">
        <w:rPr>
          <w:rFonts w:eastAsia="Times New Roman"/>
          <w:strike/>
          <w:lang w:eastAsia="fr-FR"/>
        </w:rPr>
        <w:t>7,5</w:t>
      </w:r>
      <w:r w:rsidRPr="00F144A8">
        <w:rPr>
          <w:rFonts w:eastAsia="Times New Roman"/>
          <w:lang w:eastAsia="fr-FR"/>
        </w:rPr>
        <w:t> </w:t>
      </w:r>
      <w:r w:rsidRPr="00F144A8">
        <w:t>Nm autour du point R. Maintenir la force produisant ce moment pendant une durée d’au moins 5 s, puis mesurer le déplacement vers l’arrière de la tête d’essai par rapport à la ligne de torse déplacée.</w:t>
      </w:r>
    </w:p>
    <w:p w14:paraId="10921FC0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  <w:snapToGrid w:val="0"/>
          <w:lang w:val="fr-FR"/>
        </w:rPr>
      </w:pPr>
      <w:r w:rsidRPr="00F144A8">
        <w:t>3.8</w:t>
      </w:r>
      <w:r w:rsidRPr="00F144A8">
        <w:tab/>
        <w:t xml:space="preserve">Réduire la force à la vitesse de </w:t>
      </w:r>
      <w:r w:rsidRPr="00F144A8">
        <w:rPr>
          <w:b/>
        </w:rPr>
        <w:t>[2,5 à 37,3 Nm/s]</w:t>
      </w:r>
      <w:r w:rsidRPr="00F144A8">
        <w:t xml:space="preserve"> jusqu’à la valeur de 0 Nm. </w:t>
      </w:r>
      <w:r w:rsidRPr="00F144A8">
        <w:rPr>
          <w:b/>
        </w:rPr>
        <w:t>Ne pas</w:t>
      </w:r>
      <w:r w:rsidRPr="00F144A8">
        <w:t xml:space="preserve"> </w:t>
      </w:r>
      <w:r w:rsidRPr="00F144A8">
        <w:rPr>
          <w:b/>
        </w:rPr>
        <w:t>a</w:t>
      </w:r>
      <w:r w:rsidRPr="00F144A8">
        <w:rPr>
          <w:strike/>
        </w:rPr>
        <w:t>A</w:t>
      </w:r>
      <w:r w:rsidRPr="00F144A8">
        <w:t xml:space="preserve">ttendre </w:t>
      </w:r>
      <w:r w:rsidRPr="00F144A8">
        <w:rPr>
          <w:b/>
        </w:rPr>
        <w:t>plus de</w:t>
      </w:r>
      <w:r w:rsidRPr="00F144A8">
        <w:t xml:space="preserve">  </w:t>
      </w:r>
      <w:r w:rsidRPr="00F144A8">
        <w:rPr>
          <w:strike/>
        </w:rPr>
        <w:t>dix</w:t>
      </w:r>
      <w:r w:rsidRPr="00934247">
        <w:rPr>
          <w:strike/>
        </w:rPr>
        <w:t xml:space="preserve"> </w:t>
      </w:r>
      <w:r w:rsidRPr="00F144A8">
        <w:rPr>
          <w:b/>
        </w:rPr>
        <w:t>deux</w:t>
      </w:r>
      <w:r w:rsidRPr="00F144A8">
        <w:t xml:space="preserve"> minutes. Appliquer à nouveau une force produisant un moment de 37 </w:t>
      </w:r>
      <w:r w:rsidRPr="00F144A8">
        <w:rPr>
          <w:bCs/>
          <w:strike/>
          <w:lang w:val="en-GB" w:eastAsia="zh-CN"/>
        </w:rPr>
        <w:sym w:font="Symbol" w:char="00B1"/>
      </w:r>
      <w:r w:rsidRPr="00F144A8">
        <w:rPr>
          <w:rFonts w:eastAsia="Times New Roman"/>
          <w:strike/>
          <w:lang w:eastAsia="fr-FR"/>
        </w:rPr>
        <w:t> 0,7</w:t>
      </w:r>
      <w:r w:rsidRPr="00F144A8">
        <w:rPr>
          <w:rFonts w:eastAsia="Times New Roman"/>
          <w:lang w:eastAsia="fr-FR"/>
        </w:rPr>
        <w:t> </w:t>
      </w:r>
      <w:r w:rsidRPr="00F144A8">
        <w:t>Nm autour du point R. Tout en maintenant cette force, mesurer le déplacement vers l’arrière de la position de la tête d’essai par rapport à la position de référence initiale.</w:t>
      </w:r>
      <w:r w:rsidR="00F144A8">
        <w:t> </w:t>
      </w:r>
      <w:r w:rsidRPr="00F144A8">
        <w:t>».</w:t>
      </w:r>
    </w:p>
    <w:p w14:paraId="50D8C870" w14:textId="77777777" w:rsidR="00241DE5" w:rsidRPr="00F144A8" w:rsidRDefault="00241DE5" w:rsidP="00241DE5">
      <w:pPr>
        <w:pStyle w:val="SingleTxtG"/>
        <w:spacing w:line="276" w:lineRule="auto"/>
        <w:rPr>
          <w:bCs/>
          <w:snapToGrid w:val="0"/>
        </w:rPr>
      </w:pPr>
      <w:r w:rsidRPr="00F144A8">
        <w:rPr>
          <w:i/>
        </w:rPr>
        <w:t>Annexe 5, paragraphe 4.1</w:t>
      </w:r>
      <w:r w:rsidRPr="00F144A8">
        <w:rPr>
          <w:iCs/>
        </w:rPr>
        <w:t>, lire</w:t>
      </w:r>
      <w:r w:rsidR="00F144A8" w:rsidRPr="00F144A8">
        <w:rPr>
          <w:iCs/>
        </w:rPr>
        <w:t> :</w:t>
      </w:r>
    </w:p>
    <w:p w14:paraId="278E59AA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  <w:snapToGrid w:val="0"/>
          <w:lang w:val="fr-FR"/>
        </w:rPr>
      </w:pPr>
      <w:r w:rsidRPr="00F144A8">
        <w:rPr>
          <w:bCs/>
          <w:snapToGrid w:val="0"/>
        </w:rPr>
        <w:t>«</w:t>
      </w:r>
      <w:r w:rsidR="00F144A8">
        <w:rPr>
          <w:bCs/>
          <w:snapToGrid w:val="0"/>
        </w:rPr>
        <w:t> </w:t>
      </w:r>
      <w:r w:rsidRPr="00F144A8">
        <w:rPr>
          <w:bCs/>
          <w:snapToGrid w:val="0"/>
        </w:rPr>
        <w:t>4.1</w:t>
      </w:r>
      <w:r w:rsidRPr="00F144A8">
        <w:rPr>
          <w:bCs/>
          <w:snapToGrid w:val="0"/>
        </w:rPr>
        <w:tab/>
      </w:r>
      <w:r w:rsidRPr="00F144A8">
        <w:t xml:space="preserve">Accroître la force prescrite au paragraphe 3.8 de la présente annexe à la vitesse de </w:t>
      </w:r>
      <w:r w:rsidRPr="00F144A8">
        <w:rPr>
          <w:b/>
        </w:rPr>
        <w:t>[5 à 200 N/s]</w:t>
      </w:r>
      <w:r w:rsidRPr="00F144A8">
        <w:t xml:space="preserve"> jusqu’à 890 </w:t>
      </w:r>
      <w:r w:rsidRPr="00F144A8">
        <w:rPr>
          <w:bCs/>
          <w:strike/>
          <w:lang w:val="en-GB" w:eastAsia="zh-CN"/>
        </w:rPr>
        <w:sym w:font="Symbol" w:char="00B1"/>
      </w:r>
      <w:r w:rsidRPr="00F144A8">
        <w:rPr>
          <w:bCs/>
          <w:strike/>
          <w:lang w:eastAsia="zh-CN"/>
        </w:rPr>
        <w:t> </w:t>
      </w:r>
      <w:r w:rsidRPr="00F144A8">
        <w:rPr>
          <w:strike/>
        </w:rPr>
        <w:t>5 N,</w:t>
      </w:r>
      <w:r w:rsidRPr="00F144A8">
        <w:t xml:space="preserve"> et maintenir la force appliquée pendant au moins 5 s sans rupture du siège ou de l’appuie-tête. </w:t>
      </w:r>
      <w:r w:rsidRPr="00F144A8">
        <w:rPr>
          <w:b/>
          <w:shd w:val="clear" w:color="auto" w:fill="FFFFFF"/>
        </w:rPr>
        <w:t>À la demande du fabricant, la force mentionnée au paragraphe 2.3 de l’annexe 5 est accrue simultanément jusqu’à 530 Nm pour les places assises sans appuie-tête seulement afin de permettre le respect simultané des dispositions des paragraphes 5.11 et 6.2.</w:t>
      </w:r>
      <w:r w:rsidR="00F144A8">
        <w:rPr>
          <w:b/>
          <w:shd w:val="clear" w:color="auto" w:fill="FFFFFF"/>
        </w:rPr>
        <w:t> </w:t>
      </w:r>
      <w:r w:rsidRPr="00F144A8">
        <w:rPr>
          <w:shd w:val="clear" w:color="auto" w:fill="FFFFFF"/>
        </w:rPr>
        <w:t>».</w:t>
      </w:r>
    </w:p>
    <w:p w14:paraId="1B129498" w14:textId="77777777" w:rsidR="00241DE5" w:rsidRPr="00F144A8" w:rsidRDefault="00241DE5" w:rsidP="00241DE5">
      <w:pPr>
        <w:pStyle w:val="SingleTxtG"/>
        <w:spacing w:line="276" w:lineRule="auto"/>
        <w:rPr>
          <w:bCs/>
          <w:snapToGrid w:val="0"/>
        </w:rPr>
      </w:pPr>
      <w:r w:rsidRPr="00F144A8">
        <w:rPr>
          <w:i/>
        </w:rPr>
        <w:t>Annexe 8, paragraphe 2.3</w:t>
      </w:r>
      <w:r w:rsidRPr="00F144A8">
        <w:t>,</w:t>
      </w:r>
      <w:r w:rsidRPr="00F144A8">
        <w:rPr>
          <w:i/>
        </w:rPr>
        <w:t xml:space="preserve"> </w:t>
      </w:r>
      <w:r w:rsidRPr="00F144A8">
        <w:t>lire</w:t>
      </w:r>
      <w:r w:rsidR="00F144A8" w:rsidRPr="00F144A8">
        <w:t> :</w:t>
      </w:r>
    </w:p>
    <w:p w14:paraId="32DB49C9" w14:textId="77777777" w:rsidR="00241DE5" w:rsidRPr="00F144A8" w:rsidRDefault="00241DE5" w:rsidP="00241DE5">
      <w:pPr>
        <w:pStyle w:val="SingleTxtG"/>
        <w:kinsoku/>
        <w:overflowPunct/>
        <w:autoSpaceDE/>
        <w:autoSpaceDN/>
        <w:adjustRightInd/>
        <w:snapToGrid/>
        <w:ind w:left="2268" w:hanging="1134"/>
        <w:rPr>
          <w:bCs/>
          <w:lang w:val="fr-FR"/>
        </w:rPr>
      </w:pPr>
      <w:r w:rsidRPr="00F144A8">
        <w:rPr>
          <w:bCs/>
        </w:rPr>
        <w:t>«</w:t>
      </w:r>
      <w:r w:rsidR="00F144A8">
        <w:rPr>
          <w:bCs/>
        </w:rPr>
        <w:t> </w:t>
      </w:r>
      <w:r w:rsidRPr="00F144A8">
        <w:rPr>
          <w:bCs/>
        </w:rPr>
        <w:t>2.3</w:t>
      </w:r>
      <w:r w:rsidRPr="00F144A8">
        <w:rPr>
          <w:bCs/>
        </w:rPr>
        <w:tab/>
      </w:r>
      <w:r w:rsidRPr="00F144A8">
        <w:t xml:space="preserve">La zone de mesure est la zone comprise entre deux plans longitudinaux verticaux passant à 85 mm de part et d’autre de la ligne de torse et située </w:t>
      </w:r>
      <w:r w:rsidRPr="00F144A8">
        <w:rPr>
          <w:strike/>
        </w:rPr>
        <w:t>au</w:t>
      </w:r>
      <w:r w:rsidRPr="00F144A8">
        <w:rPr>
          <w:strike/>
        </w:rPr>
        <w:noBreakHyphen/>
        <w:t>dessus du sommet du dossier du siège</w:t>
      </w:r>
      <w:r w:rsidRPr="00934247">
        <w:rPr>
          <w:strike/>
        </w:rPr>
        <w:t xml:space="preserve"> </w:t>
      </w:r>
      <w:r w:rsidRPr="00F144A8">
        <w:rPr>
          <w:b/>
        </w:rPr>
        <w:t>à une hauteur supérieure à 540</w:t>
      </w:r>
      <w:r w:rsidR="00F144A8">
        <w:rPr>
          <w:b/>
        </w:rPr>
        <w:t> </w:t>
      </w:r>
      <w:r w:rsidRPr="00F144A8">
        <w:rPr>
          <w:b/>
        </w:rPr>
        <w:t>mm</w:t>
      </w:r>
      <w:r w:rsidRPr="00F144A8">
        <w:t>.</w:t>
      </w:r>
      <w:r w:rsidR="00F144A8">
        <w:t> </w:t>
      </w:r>
      <w:r w:rsidRPr="00F144A8">
        <w:t>».</w:t>
      </w:r>
    </w:p>
    <w:p w14:paraId="21AA7133" w14:textId="77777777" w:rsidR="00241DE5" w:rsidRPr="00F144A8" w:rsidRDefault="00241DE5" w:rsidP="00241DE5">
      <w:pPr>
        <w:pStyle w:val="SingleTxtG"/>
        <w:spacing w:line="276" w:lineRule="auto"/>
        <w:rPr>
          <w:bCs/>
          <w:snapToGrid w:val="0"/>
        </w:rPr>
      </w:pPr>
      <w:r w:rsidRPr="00F144A8">
        <w:rPr>
          <w:i/>
        </w:rPr>
        <w:t>Annexe 8, paragraphe 2.5</w:t>
      </w:r>
      <w:r w:rsidRPr="00F144A8">
        <w:t>,</w:t>
      </w:r>
      <w:r w:rsidRPr="00F144A8">
        <w:rPr>
          <w:i/>
        </w:rPr>
        <w:t xml:space="preserve"> lire</w:t>
      </w:r>
      <w:r w:rsidR="00F144A8" w:rsidRPr="00F144A8">
        <w:rPr>
          <w:i/>
        </w:rPr>
        <w:t> :</w:t>
      </w:r>
    </w:p>
    <w:p w14:paraId="22C56874" w14:textId="77777777" w:rsidR="00241DE5" w:rsidRPr="00C7287D" w:rsidRDefault="00241DE5" w:rsidP="00F144A8">
      <w:pPr>
        <w:pStyle w:val="SingleTxtG"/>
        <w:kinsoku/>
        <w:overflowPunct/>
        <w:autoSpaceDE/>
        <w:autoSpaceDN/>
        <w:adjustRightInd/>
        <w:snapToGrid/>
        <w:ind w:left="2268" w:hanging="1134"/>
      </w:pPr>
      <w:r w:rsidRPr="00F144A8">
        <w:rPr>
          <w:bCs/>
        </w:rPr>
        <w:t>«</w:t>
      </w:r>
      <w:r w:rsidR="00F144A8">
        <w:rPr>
          <w:bCs/>
        </w:rPr>
        <w:t> </w:t>
      </w:r>
      <w:r w:rsidRPr="00F144A8">
        <w:rPr>
          <w:bCs/>
        </w:rPr>
        <w:t>2.5</w:t>
      </w:r>
      <w:r w:rsidRPr="00F144A8">
        <w:rPr>
          <w:bCs/>
        </w:rPr>
        <w:tab/>
      </w:r>
      <w:r w:rsidRPr="00F144A8">
        <w:t>Déterminer la dimension de la discontinuité en mesurant la distance rectiligne entre les bords intérieurs des deux points de contact les plus éloignés, comme décrit aux figures 8</w:t>
      </w:r>
      <w:r w:rsidRPr="00F144A8">
        <w:noBreakHyphen/>
        <w:t>1</w:t>
      </w:r>
      <w:r w:rsidRPr="00F144A8">
        <w:rPr>
          <w:b/>
        </w:rPr>
        <w:t>,</w:t>
      </w:r>
      <w:r w:rsidRPr="00F144A8">
        <w:t xml:space="preserve"> </w:t>
      </w:r>
      <w:r w:rsidRPr="00F144A8">
        <w:rPr>
          <w:strike/>
        </w:rPr>
        <w:t>et</w:t>
      </w:r>
      <w:r w:rsidRPr="00F144A8">
        <w:t xml:space="preserve"> 8</w:t>
      </w:r>
      <w:r w:rsidRPr="00F144A8">
        <w:noBreakHyphen/>
        <w:t xml:space="preserve">2 </w:t>
      </w:r>
      <w:r w:rsidRPr="00F144A8">
        <w:rPr>
          <w:b/>
        </w:rPr>
        <w:t>et 8-3</w:t>
      </w:r>
      <w:r w:rsidRPr="00F144A8">
        <w:t>.</w:t>
      </w:r>
      <w:r w:rsidR="00F144A8">
        <w:t> </w:t>
      </w:r>
      <w:r w:rsidRPr="00F144A8">
        <w:t>».</w:t>
      </w:r>
    </w:p>
    <w:p w14:paraId="0A44E317" w14:textId="77777777" w:rsidR="00A33E01" w:rsidRPr="00C7287D" w:rsidRDefault="00A33E01" w:rsidP="00842174">
      <w:pPr>
        <w:keepNext/>
        <w:spacing w:after="120"/>
        <w:ind w:left="1134" w:right="1134"/>
        <w:jc w:val="both"/>
        <w:rPr>
          <w:iCs/>
          <w:color w:val="000000" w:themeColor="text1"/>
        </w:rPr>
      </w:pPr>
      <w:r w:rsidRPr="00C7287D">
        <w:rPr>
          <w:i/>
          <w:color w:val="000000" w:themeColor="text1"/>
        </w:rPr>
        <w:lastRenderedPageBreak/>
        <w:t>Annexe 8, ajouter une nouvelle figure 8-3</w:t>
      </w:r>
      <w:r w:rsidRPr="00FF00E1">
        <w:rPr>
          <w:color w:val="000000" w:themeColor="text1"/>
        </w:rPr>
        <w:t>,</w:t>
      </w:r>
      <w:r w:rsidRPr="00C7287D">
        <w:rPr>
          <w:i/>
          <w:color w:val="000000" w:themeColor="text1"/>
        </w:rPr>
        <w:t xml:space="preserve"> </w:t>
      </w:r>
      <w:r w:rsidRPr="00C7287D">
        <w:rPr>
          <w:iCs/>
          <w:color w:val="000000" w:themeColor="text1"/>
        </w:rPr>
        <w:t>comme suit</w:t>
      </w:r>
      <w:r w:rsidR="00FF00E1">
        <w:rPr>
          <w:iCs/>
          <w:color w:val="000000" w:themeColor="text1"/>
        </w:rPr>
        <w:t> </w:t>
      </w:r>
      <w:r w:rsidR="00F144A8">
        <w:rPr>
          <w:iCs/>
          <w:color w:val="000000" w:themeColor="text1"/>
        </w:rPr>
        <w:t> :</w:t>
      </w:r>
    </w:p>
    <w:p w14:paraId="0FC89EA2" w14:textId="77777777" w:rsidR="00A33E01" w:rsidRPr="00C7287D" w:rsidRDefault="00A33E01" w:rsidP="00FF00E1">
      <w:pPr>
        <w:keepNext/>
        <w:spacing w:after="120"/>
        <w:ind w:left="1134" w:right="1134"/>
        <w:rPr>
          <w:b/>
          <w:bCs/>
          <w:iCs/>
          <w:color w:val="000000" w:themeColor="text1"/>
        </w:rPr>
      </w:pPr>
      <w:r w:rsidRPr="00C7287D">
        <w:rPr>
          <w:b/>
          <w:bCs/>
          <w:iCs/>
          <w:color w:val="000000" w:themeColor="text1"/>
        </w:rPr>
        <w:t>«</w:t>
      </w:r>
      <w:r w:rsidR="00FF00E1">
        <w:rPr>
          <w:b/>
          <w:bCs/>
          <w:iCs/>
          <w:color w:val="000000" w:themeColor="text1"/>
        </w:rPr>
        <w:t> </w:t>
      </w:r>
      <w:r w:rsidRPr="00C7287D">
        <w:rPr>
          <w:b/>
          <w:bCs/>
          <w:iCs/>
          <w:color w:val="000000" w:themeColor="text1"/>
        </w:rPr>
        <w:t>Figure 8-3</w:t>
      </w:r>
      <w:r w:rsidRPr="00C7287D">
        <w:rPr>
          <w:b/>
          <w:bCs/>
          <w:iCs/>
          <w:color w:val="000000" w:themeColor="text1"/>
        </w:rPr>
        <w:br/>
      </w:r>
      <w:r w:rsidRPr="00C7287D">
        <w:rPr>
          <w:b/>
          <w:snapToGrid w:val="0"/>
          <w:color w:val="000000" w:themeColor="text1"/>
        </w:rPr>
        <w:t>Partie de la discontinuité située à une hauteur supérieure à 540 mm</w:t>
      </w:r>
    </w:p>
    <w:p w14:paraId="1E7A65F3" w14:textId="77777777" w:rsidR="00A33E01" w:rsidRPr="00987619" w:rsidRDefault="00B808E4" w:rsidP="00B808E4">
      <w:pPr>
        <w:ind w:left="1134"/>
        <w:rPr>
          <w:snapToGrid w:val="0"/>
          <w:lang w:val="en-GB"/>
        </w:rPr>
      </w:pPr>
      <w:r w:rsidRPr="00B808E4">
        <w:rPr>
          <w:noProof/>
          <w:snapToGrid w:val="0"/>
          <w:lang w:val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99FFEAE" wp14:editId="49FA215E">
                <wp:simplePos x="0" y="0"/>
                <wp:positionH relativeFrom="column">
                  <wp:posOffset>3688597</wp:posOffset>
                </wp:positionH>
                <wp:positionV relativeFrom="paragraph">
                  <wp:posOffset>2609620</wp:posOffset>
                </wp:positionV>
                <wp:extent cx="534074" cy="1780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74" cy="1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EC656" w14:textId="77777777" w:rsidR="00B808E4" w:rsidRPr="00B808E4" w:rsidRDefault="00B808E4" w:rsidP="00B808E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540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FF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5pt;margin-top:205.5pt;width:42.05pt;height:1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" stroked="f">
                <v:textbox inset="0,0,0,0">
                  <w:txbxContent>
                    <w:p w14:paraId="0A9EC656" w14:textId="77777777" w:rsidR="00B808E4" w:rsidRPr="00B808E4" w:rsidRDefault="00B808E4" w:rsidP="00B808E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540 mm</w:t>
                      </w:r>
                    </w:p>
                  </w:txbxContent>
                </v:textbox>
              </v:shape>
            </w:pict>
          </mc:Fallback>
        </mc:AlternateContent>
      </w:r>
      <w:r w:rsidRPr="00B808E4">
        <w:rPr>
          <w:noProof/>
          <w:snapToGrid w:val="0"/>
          <w:lang w:val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BDEE9EB" wp14:editId="51C09CE2">
                <wp:simplePos x="0" y="0"/>
                <wp:positionH relativeFrom="column">
                  <wp:posOffset>1480882</wp:posOffset>
                </wp:positionH>
                <wp:positionV relativeFrom="paragraph">
                  <wp:posOffset>3233971</wp:posOffset>
                </wp:positionV>
                <wp:extent cx="534074" cy="1780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74" cy="1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26E4D" w14:textId="77777777" w:rsidR="00B808E4" w:rsidRPr="00B808E4" w:rsidRDefault="00B808E4" w:rsidP="00B808E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82B80">
                              <w:rPr>
                                <w:b/>
                                <w:color w:val="000000" w:themeColor="text1"/>
                              </w:rPr>
                              <w:t>Point 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E9EB" id="_x0000_s1027" type="#_x0000_t202" style="position:absolute;left:0;text-align:left;margin-left:116.6pt;margin-top:254.65pt;width:42.05pt;height:1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" stroked="f">
                <v:textbox inset="0,0,0,0">
                  <w:txbxContent>
                    <w:p w14:paraId="09726E4D" w14:textId="77777777" w:rsidR="00B808E4" w:rsidRPr="00B808E4" w:rsidRDefault="00B808E4" w:rsidP="00B808E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82B80">
                        <w:rPr>
                          <w:b/>
                          <w:color w:val="000000" w:themeColor="text1"/>
                        </w:rPr>
                        <w:t>Point H</w:t>
                      </w:r>
                    </w:p>
                  </w:txbxContent>
                </v:textbox>
              </v:shape>
            </w:pict>
          </mc:Fallback>
        </mc:AlternateContent>
      </w:r>
      <w:r w:rsidRPr="00B808E4">
        <w:rPr>
          <w:noProof/>
          <w:snapToGrid w:val="0"/>
          <w:lang w:val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54F7300" wp14:editId="33FBAC3B">
                <wp:simplePos x="0" y="0"/>
                <wp:positionH relativeFrom="column">
                  <wp:posOffset>2322516</wp:posOffset>
                </wp:positionH>
                <wp:positionV relativeFrom="paragraph">
                  <wp:posOffset>2053124</wp:posOffset>
                </wp:positionV>
                <wp:extent cx="817296" cy="315589"/>
                <wp:effectExtent l="0" t="0" r="1905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96" cy="315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B5337" w14:textId="77777777" w:rsidR="00B808E4" w:rsidRPr="00B808E4" w:rsidRDefault="00B808E4" w:rsidP="00B808E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82EF1">
                              <w:rPr>
                                <w:b/>
                                <w:color w:val="000000" w:themeColor="text1"/>
                              </w:rPr>
                              <w:t xml:space="preserve">Discontinuité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totale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7300" id="_x0000_s1028" type="#_x0000_t202" style="position:absolute;left:0;text-align:left;margin-left:182.9pt;margin-top:161.65pt;width:64.35pt;height:24.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" stroked="f">
                <v:textbox inset="0,0,0,0">
                  <w:txbxContent>
                    <w:p w14:paraId="06EB5337" w14:textId="77777777" w:rsidR="00B808E4" w:rsidRPr="00B808E4" w:rsidRDefault="00B808E4" w:rsidP="00B808E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82EF1">
                        <w:rPr>
                          <w:b/>
                          <w:color w:val="000000" w:themeColor="text1"/>
                        </w:rPr>
                        <w:t xml:space="preserve">Discontinuité 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</w:rPr>
                        <w:t>totale</w:t>
                      </w:r>
                    </w:p>
                  </w:txbxContent>
                </v:textbox>
              </v:shape>
            </w:pict>
          </mc:Fallback>
        </mc:AlternateContent>
      </w:r>
      <w:r w:rsidRPr="00B808E4">
        <w:rPr>
          <w:noProof/>
          <w:snapToGrid w:val="0"/>
          <w:lang w:val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90B161E" wp14:editId="195C7011">
                <wp:simplePos x="0" y="0"/>
                <wp:positionH relativeFrom="column">
                  <wp:posOffset>1156549</wp:posOffset>
                </wp:positionH>
                <wp:positionV relativeFrom="paragraph">
                  <wp:posOffset>863274</wp:posOffset>
                </wp:positionV>
                <wp:extent cx="1310910" cy="315589"/>
                <wp:effectExtent l="0" t="0" r="3810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910" cy="315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98F6" w14:textId="77777777" w:rsidR="00B808E4" w:rsidRPr="00B808E4" w:rsidRDefault="00B808E4" w:rsidP="00B808E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82EF1">
                              <w:rPr>
                                <w:b/>
                                <w:color w:val="000000" w:themeColor="text1"/>
                              </w:rPr>
                              <w:t xml:space="preserve">Discontinuité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Pr="00682EF1">
                              <w:rPr>
                                <w:b/>
                                <w:color w:val="000000" w:themeColor="text1"/>
                              </w:rPr>
                              <w:t>au-dessus de 540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161E" id="_x0000_s1029" type="#_x0000_t202" style="position:absolute;left:0;text-align:left;margin-left:91.05pt;margin-top:67.95pt;width:103.2pt;height:24.8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" stroked="f">
                <v:textbox inset="0,0,0,0">
                  <w:txbxContent>
                    <w:p w14:paraId="27BB98F6" w14:textId="77777777" w:rsidR="00B808E4" w:rsidRPr="00B808E4" w:rsidRDefault="00B808E4" w:rsidP="00B808E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82EF1">
                        <w:rPr>
                          <w:b/>
                          <w:color w:val="000000" w:themeColor="text1"/>
                        </w:rPr>
                        <w:t xml:space="preserve">Discontinuité 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</w:r>
                      <w:r w:rsidRPr="00682EF1">
                        <w:rPr>
                          <w:b/>
                          <w:color w:val="000000" w:themeColor="text1"/>
                        </w:rPr>
                        <w:t>au-dessus de 540 mm</w:t>
                      </w:r>
                    </w:p>
                  </w:txbxContent>
                </v:textbox>
              </v:shape>
            </w:pict>
          </mc:Fallback>
        </mc:AlternateContent>
      </w:r>
      <w:r w:rsidRPr="00B808E4">
        <w:rPr>
          <w:noProof/>
          <w:snapToGrid w:val="0"/>
          <w:lang w:val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A43F6A0" wp14:editId="6C58FF4F">
                <wp:simplePos x="0" y="0"/>
                <wp:positionH relativeFrom="column">
                  <wp:posOffset>1796404</wp:posOffset>
                </wp:positionH>
                <wp:positionV relativeFrom="paragraph">
                  <wp:posOffset>289043</wp:posOffset>
                </wp:positionV>
                <wp:extent cx="2438383" cy="17802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383" cy="1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356C" w14:textId="77777777" w:rsidR="00B808E4" w:rsidRPr="00B808E4" w:rsidRDefault="00B808E4" w:rsidP="00B808E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82EF1">
                              <w:rPr>
                                <w:b/>
                                <w:color w:val="000000" w:themeColor="text1"/>
                              </w:rPr>
                              <w:t>Position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’</w:t>
                            </w:r>
                            <w:r w:rsidRPr="00682EF1">
                              <w:rPr>
                                <w:b/>
                                <w:color w:val="000000" w:themeColor="text1"/>
                              </w:rPr>
                              <w:t>utilisation réglable la plus basse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F6A0" id="_x0000_s1030" type="#_x0000_t202" style="position:absolute;left:0;text-align:left;margin-left:141.45pt;margin-top:22.75pt;width:192pt;height:1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" stroked="f">
                <v:textbox inset="0,0,0,0">
                  <w:txbxContent>
                    <w:p w14:paraId="714D356C" w14:textId="77777777" w:rsidR="00B808E4" w:rsidRPr="00B808E4" w:rsidRDefault="00B808E4" w:rsidP="00B808E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82EF1">
                        <w:rPr>
                          <w:b/>
                          <w:color w:val="000000" w:themeColor="text1"/>
                        </w:rPr>
                        <w:t>Position d</w:t>
                      </w:r>
                      <w:r>
                        <w:rPr>
                          <w:b/>
                          <w:color w:val="000000" w:themeColor="text1"/>
                        </w:rPr>
                        <w:t>’</w:t>
                      </w:r>
                      <w:r w:rsidRPr="00682EF1">
                        <w:rPr>
                          <w:b/>
                          <w:color w:val="000000" w:themeColor="text1"/>
                        </w:rPr>
                        <w:t>utilisation réglable la plus basse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 w:val="0"/>
          <w:lang w:val="en-GB"/>
        </w:rPr>
        <w:drawing>
          <wp:inline distT="0" distB="0" distL="0" distR="0" wp14:anchorId="2D4779D4" wp14:editId="2A1984DF">
            <wp:extent cx="4741933" cy="402633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6" r="-18775"/>
                    <a:stretch/>
                  </pic:blipFill>
                  <pic:spPr bwMode="auto">
                    <a:xfrm>
                      <a:off x="0" y="0"/>
                      <a:ext cx="4743405" cy="402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A5DE7D" w14:textId="77777777" w:rsidR="00A33E01" w:rsidRPr="00BC3BAB" w:rsidRDefault="00A33E01" w:rsidP="005B61C6">
      <w:pPr>
        <w:pStyle w:val="SingleTxtG"/>
        <w:spacing w:after="240"/>
        <w:jc w:val="right"/>
        <w:rPr>
          <w:snapToGrid w:val="0"/>
        </w:rPr>
      </w:pPr>
      <w:r w:rsidRPr="00BC3BAB">
        <w:rPr>
          <w:snapToGrid w:val="0"/>
        </w:rPr>
        <w:t>»</w:t>
      </w:r>
      <w:r w:rsidR="00BC3BAB" w:rsidRPr="00BC3BAB">
        <w:rPr>
          <w:snapToGrid w:val="0"/>
        </w:rPr>
        <w:t>.</w:t>
      </w:r>
    </w:p>
    <w:p w14:paraId="6E5538A0" w14:textId="77777777" w:rsidR="00A33E01" w:rsidRPr="00C7287D" w:rsidRDefault="00A33E01" w:rsidP="00C7287D">
      <w:pPr>
        <w:pStyle w:val="SingleTxtG"/>
        <w:ind w:left="567" w:firstLine="567"/>
        <w:rPr>
          <w:bCs/>
          <w:snapToGrid w:val="0"/>
          <w:color w:val="000000" w:themeColor="text1"/>
        </w:rPr>
      </w:pPr>
      <w:r w:rsidRPr="00C7287D">
        <w:rPr>
          <w:i/>
          <w:color w:val="000000" w:themeColor="text1"/>
        </w:rPr>
        <w:t>Annexe 8, paragraphe 3</w:t>
      </w:r>
      <w:r w:rsidR="00BC3BAB">
        <w:rPr>
          <w:i/>
          <w:color w:val="000000" w:themeColor="text1"/>
        </w:rPr>
        <w:t>.</w:t>
      </w:r>
      <w:r w:rsidRPr="00C7287D">
        <w:rPr>
          <w:i/>
          <w:color w:val="000000" w:themeColor="text1"/>
        </w:rPr>
        <w:t>3</w:t>
      </w:r>
      <w:r w:rsidRPr="00FF00E1">
        <w:rPr>
          <w:color w:val="000000" w:themeColor="text1"/>
        </w:rPr>
        <w:t>,</w:t>
      </w:r>
      <w:r w:rsidRPr="00C7287D">
        <w:rPr>
          <w:i/>
          <w:color w:val="000000" w:themeColor="text1"/>
        </w:rPr>
        <w:t xml:space="preserve"> </w:t>
      </w:r>
      <w:r w:rsidRPr="00C7287D">
        <w:rPr>
          <w:iCs/>
          <w:color w:val="000000" w:themeColor="text1"/>
        </w:rPr>
        <w:t>lire</w:t>
      </w:r>
      <w:r w:rsidR="00FF00E1">
        <w:rPr>
          <w:iCs/>
          <w:color w:val="000000" w:themeColor="text1"/>
        </w:rPr>
        <w:t> </w:t>
      </w:r>
      <w:r w:rsidRPr="00C7287D">
        <w:rPr>
          <w:iCs/>
          <w:color w:val="000000" w:themeColor="text1"/>
        </w:rPr>
        <w:t>:</w:t>
      </w:r>
    </w:p>
    <w:p w14:paraId="566A3C72" w14:textId="77777777" w:rsidR="00A33E01" w:rsidRPr="00C7287D" w:rsidRDefault="00A33E01" w:rsidP="00C7287D">
      <w:pPr>
        <w:pStyle w:val="SingleTxtG"/>
        <w:tabs>
          <w:tab w:val="left" w:pos="2268"/>
        </w:tabs>
        <w:ind w:left="2268" w:hanging="1134"/>
      </w:pPr>
      <w:r w:rsidRPr="00C7287D">
        <w:rPr>
          <w:bCs/>
          <w:color w:val="000000" w:themeColor="text1"/>
        </w:rPr>
        <w:t>«</w:t>
      </w:r>
      <w:r w:rsidR="00FF00E1">
        <w:rPr>
          <w:bCs/>
          <w:color w:val="000000" w:themeColor="text1"/>
        </w:rPr>
        <w:t> </w:t>
      </w:r>
      <w:r w:rsidRPr="00C7287D">
        <w:rPr>
          <w:bCs/>
          <w:color w:val="000000" w:themeColor="text1"/>
        </w:rPr>
        <w:t>3</w:t>
      </w:r>
      <w:r w:rsidR="00BC3BAB">
        <w:rPr>
          <w:bCs/>
          <w:color w:val="000000" w:themeColor="text1"/>
        </w:rPr>
        <w:t>.</w:t>
      </w:r>
      <w:r w:rsidRPr="00C7287D">
        <w:rPr>
          <w:bCs/>
          <w:color w:val="000000" w:themeColor="text1"/>
        </w:rPr>
        <w:t>3</w:t>
      </w:r>
      <w:r w:rsidRPr="00C7287D">
        <w:rPr>
          <w:bCs/>
          <w:color w:val="000000" w:themeColor="text1"/>
        </w:rPr>
        <w:tab/>
      </w:r>
      <w:r w:rsidRPr="00C7287D">
        <w:t>La discontinuité entre le bas de l’appuie</w:t>
      </w:r>
      <w:r w:rsidRPr="00C7287D">
        <w:noBreakHyphen/>
        <w:t>tête et le sommet du dossier du siège est mesurée comme étant la distance entre les deux plans parallèles définis ci</w:t>
      </w:r>
      <w:r w:rsidRPr="00C7287D">
        <w:noBreakHyphen/>
        <w:t>après (voir fig</w:t>
      </w:r>
      <w:r w:rsidR="00BC3BAB">
        <w:t>.</w:t>
      </w:r>
      <w:r w:rsidRPr="00C7287D">
        <w:t> 8</w:t>
      </w:r>
      <w:r w:rsidRPr="00C7287D">
        <w:noBreakHyphen/>
      </w:r>
      <w:r w:rsidRPr="00C7287D">
        <w:rPr>
          <w:strike/>
        </w:rPr>
        <w:t>3</w:t>
      </w:r>
      <w:r w:rsidRPr="00C7287D">
        <w:rPr>
          <w:b/>
        </w:rPr>
        <w:t>4</w:t>
      </w:r>
      <w:r w:rsidRPr="00C7287D">
        <w:t>)</w:t>
      </w:r>
      <w:r w:rsidR="00F144A8">
        <w:t> :</w:t>
      </w:r>
    </w:p>
    <w:p w14:paraId="449DD807" w14:textId="77777777" w:rsidR="00A33E01" w:rsidRPr="00C7287D" w:rsidRDefault="00A33E01" w:rsidP="00C7287D">
      <w:pPr>
        <w:pStyle w:val="SingleTxtG"/>
        <w:tabs>
          <w:tab w:val="left" w:pos="2268"/>
        </w:tabs>
        <w:ind w:left="2268"/>
      </w:pPr>
      <w:r w:rsidRPr="00C7287D">
        <w:tab/>
        <w:t>a)</w:t>
      </w:r>
      <w:r w:rsidRPr="00C7287D">
        <w:tab/>
        <w:t>Les deux plans sont perpendiculaires à la ligne de torse prévue ;</w:t>
      </w:r>
    </w:p>
    <w:p w14:paraId="76754C9F" w14:textId="77777777" w:rsidR="00A33E01" w:rsidRPr="00C7287D" w:rsidRDefault="00A33E01" w:rsidP="00C7287D">
      <w:pPr>
        <w:pStyle w:val="SingleTxtG"/>
        <w:tabs>
          <w:tab w:val="left" w:pos="2268"/>
        </w:tabs>
        <w:ind w:left="2268"/>
      </w:pPr>
      <w:r w:rsidRPr="00C7287D">
        <w:tab/>
        <w:t>b)</w:t>
      </w:r>
      <w:r w:rsidRPr="00C7287D">
        <w:tab/>
        <w:t>L’un des plans est tangent au bas de l’appuie</w:t>
      </w:r>
      <w:r w:rsidRPr="00C7287D">
        <w:noBreakHyphen/>
        <w:t>tête ;</w:t>
      </w:r>
    </w:p>
    <w:p w14:paraId="0D0965ED" w14:textId="77777777" w:rsidR="00A33E01" w:rsidRPr="00FF00E1" w:rsidRDefault="00A33E01" w:rsidP="00C7287D">
      <w:pPr>
        <w:pStyle w:val="para"/>
        <w:rPr>
          <w:lang w:val="fr-CH"/>
        </w:rPr>
      </w:pPr>
      <w:r w:rsidRPr="00C7287D">
        <w:tab/>
      </w:r>
      <w:r w:rsidRPr="00C7287D">
        <w:rPr>
          <w:lang w:val="fr-CH"/>
        </w:rPr>
        <w:t>c)</w:t>
      </w:r>
      <w:r w:rsidRPr="00C7287D">
        <w:rPr>
          <w:lang w:val="fr-CH"/>
        </w:rPr>
        <w:tab/>
        <w:t>L’autre plan est tangent au sommet du dossier du siège</w:t>
      </w:r>
      <w:r w:rsidR="00BC3BAB">
        <w:rPr>
          <w:lang w:val="fr-CH"/>
        </w:rPr>
        <w:t>.</w:t>
      </w:r>
      <w:r w:rsidR="00FF00E1">
        <w:rPr>
          <w:lang w:val="fr-CH"/>
        </w:rPr>
        <w:t> </w:t>
      </w:r>
      <w:r w:rsidRPr="00C7287D">
        <w:rPr>
          <w:lang w:val="fr-CH"/>
        </w:rPr>
        <w:t>»</w:t>
      </w:r>
      <w:r w:rsidR="00BC3BAB">
        <w:rPr>
          <w:lang w:val="fr-CH"/>
        </w:rPr>
        <w:t>.</w:t>
      </w:r>
    </w:p>
    <w:p w14:paraId="3C97F9CF" w14:textId="77777777" w:rsidR="00A33E01" w:rsidRPr="00C7287D" w:rsidRDefault="00A33E01" w:rsidP="00C7287D">
      <w:pPr>
        <w:spacing w:after="120"/>
        <w:ind w:left="1134" w:right="1134"/>
        <w:jc w:val="both"/>
        <w:rPr>
          <w:i/>
          <w:color w:val="000000" w:themeColor="text1"/>
        </w:rPr>
      </w:pPr>
      <w:r w:rsidRPr="00C7287D">
        <w:rPr>
          <w:i/>
          <w:color w:val="000000" w:themeColor="text1"/>
        </w:rPr>
        <w:t xml:space="preserve">Annexe 8, figure 8-3 (précédemment), </w:t>
      </w:r>
      <w:r w:rsidRPr="00C7287D">
        <w:rPr>
          <w:iCs/>
          <w:color w:val="000000" w:themeColor="text1"/>
        </w:rPr>
        <w:t>renuméroter comme figure 8-4</w:t>
      </w:r>
      <w:r w:rsidRPr="00C7287D">
        <w:rPr>
          <w:i/>
          <w:color w:val="000000" w:themeColor="text1"/>
        </w:rPr>
        <w:t xml:space="preserve"> </w:t>
      </w:r>
    </w:p>
    <w:p w14:paraId="2D574355" w14:textId="77777777" w:rsidR="00A33E01" w:rsidRPr="00C7287D" w:rsidRDefault="00A33E01" w:rsidP="00C7287D">
      <w:pPr>
        <w:pStyle w:val="SingleTxtG"/>
        <w:rPr>
          <w:bCs/>
          <w:iCs/>
          <w:color w:val="000000" w:themeColor="text1"/>
          <w:lang w:eastAsia="zh-CN"/>
        </w:rPr>
      </w:pPr>
      <w:r w:rsidRPr="00C7287D">
        <w:rPr>
          <w:i/>
          <w:color w:val="000000" w:themeColor="text1"/>
        </w:rPr>
        <w:t>Annexe 10, paragraphe 2</w:t>
      </w:r>
      <w:r w:rsidR="00BC3BAB">
        <w:rPr>
          <w:i/>
          <w:color w:val="000000" w:themeColor="text1"/>
        </w:rPr>
        <w:t>.</w:t>
      </w:r>
      <w:r w:rsidRPr="00C7287D">
        <w:rPr>
          <w:i/>
          <w:color w:val="000000" w:themeColor="text1"/>
        </w:rPr>
        <w:t>3</w:t>
      </w:r>
      <w:r w:rsidRPr="00FF00E1">
        <w:rPr>
          <w:color w:val="000000" w:themeColor="text1"/>
        </w:rPr>
        <w:t>,</w:t>
      </w:r>
      <w:r w:rsidRPr="00C7287D">
        <w:rPr>
          <w:i/>
          <w:color w:val="000000" w:themeColor="text1"/>
        </w:rPr>
        <w:t xml:space="preserve"> </w:t>
      </w:r>
      <w:r w:rsidRPr="00C7287D">
        <w:rPr>
          <w:iCs/>
          <w:color w:val="000000" w:themeColor="text1"/>
        </w:rPr>
        <w:t>lire</w:t>
      </w:r>
      <w:r w:rsidR="00FF00E1">
        <w:rPr>
          <w:iCs/>
          <w:color w:val="000000" w:themeColor="text1"/>
        </w:rPr>
        <w:t> </w:t>
      </w:r>
      <w:r w:rsidRPr="00C7287D">
        <w:rPr>
          <w:iCs/>
          <w:color w:val="000000" w:themeColor="text1"/>
        </w:rPr>
        <w:t>:</w:t>
      </w:r>
    </w:p>
    <w:p w14:paraId="07BED226" w14:textId="77777777" w:rsidR="00A33E01" w:rsidRPr="00C7287D" w:rsidRDefault="00A33E01" w:rsidP="00C7287D">
      <w:pPr>
        <w:pStyle w:val="SingleTxtG"/>
        <w:keepNext/>
        <w:tabs>
          <w:tab w:val="left" w:pos="2268"/>
        </w:tabs>
      </w:pPr>
      <w:r w:rsidRPr="00C7287D">
        <w:rPr>
          <w:bCs/>
          <w:color w:val="000000" w:themeColor="text1"/>
        </w:rPr>
        <w:t>«</w:t>
      </w:r>
      <w:r w:rsidR="00FF00E1">
        <w:rPr>
          <w:bCs/>
          <w:color w:val="000000" w:themeColor="text1"/>
        </w:rPr>
        <w:t> </w:t>
      </w:r>
      <w:r w:rsidRPr="00C7287D">
        <w:rPr>
          <w:bCs/>
          <w:color w:val="000000" w:themeColor="text1"/>
        </w:rPr>
        <w:t>2</w:t>
      </w:r>
      <w:r w:rsidR="00BC3BAB">
        <w:rPr>
          <w:bCs/>
          <w:color w:val="000000" w:themeColor="text1"/>
        </w:rPr>
        <w:t>.</w:t>
      </w:r>
      <w:r w:rsidRPr="00C7287D">
        <w:rPr>
          <w:bCs/>
          <w:color w:val="000000" w:themeColor="text1"/>
        </w:rPr>
        <w:t>3</w:t>
      </w:r>
      <w:r w:rsidRPr="00C7287D">
        <w:rPr>
          <w:bCs/>
          <w:color w:val="000000" w:themeColor="text1"/>
        </w:rPr>
        <w:tab/>
      </w:r>
      <w:r w:rsidRPr="00C7287D">
        <w:tab/>
        <w:t>Mesure de la hauteur</w:t>
      </w:r>
    </w:p>
    <w:p w14:paraId="3E90AD1C" w14:textId="77777777" w:rsidR="00A33E01" w:rsidRPr="00FF00E1" w:rsidRDefault="00A33E01" w:rsidP="00FF00E1">
      <w:pPr>
        <w:pStyle w:val="SingleTxtG"/>
        <w:ind w:left="2268"/>
      </w:pPr>
      <w:r w:rsidRPr="00C7287D">
        <w:t xml:space="preserve">Toutes les mesures doivent être effectuées dans le plan longitudinal médian de la place assise </w:t>
      </w:r>
      <w:r w:rsidRPr="00C7287D">
        <w:rPr>
          <w:strike/>
        </w:rPr>
        <w:t>concernée</w:t>
      </w:r>
      <w:r w:rsidR="00BC3BAB">
        <w:t>.</w:t>
      </w:r>
      <w:r w:rsidR="00FF00E1">
        <w:t> </w:t>
      </w:r>
      <w:r w:rsidRPr="00C7287D">
        <w:t>»</w:t>
      </w:r>
      <w:r w:rsidR="00BC3BAB">
        <w:t>.</w:t>
      </w:r>
    </w:p>
    <w:p w14:paraId="4F4DD294" w14:textId="77777777" w:rsidR="00A33E01" w:rsidRPr="00C7287D" w:rsidRDefault="00A33E01" w:rsidP="00C7287D">
      <w:pPr>
        <w:pStyle w:val="SingleTxtG"/>
        <w:spacing w:before="120"/>
        <w:rPr>
          <w:bCs/>
          <w:color w:val="000000" w:themeColor="text1"/>
        </w:rPr>
      </w:pPr>
      <w:r w:rsidRPr="00C7287D">
        <w:rPr>
          <w:i/>
          <w:color w:val="000000" w:themeColor="text1"/>
        </w:rPr>
        <w:t>Annexe 12, paragraphe 3</w:t>
      </w:r>
      <w:r w:rsidR="00BC3BAB">
        <w:rPr>
          <w:i/>
          <w:color w:val="000000" w:themeColor="text1"/>
        </w:rPr>
        <w:t>.</w:t>
      </w:r>
      <w:r w:rsidRPr="00C7287D">
        <w:rPr>
          <w:i/>
          <w:color w:val="000000" w:themeColor="text1"/>
        </w:rPr>
        <w:t>1</w:t>
      </w:r>
      <w:r w:rsidR="00BC3BAB">
        <w:rPr>
          <w:i/>
          <w:color w:val="000000" w:themeColor="text1"/>
        </w:rPr>
        <w:t>.</w:t>
      </w:r>
      <w:r w:rsidRPr="00C7287D">
        <w:rPr>
          <w:i/>
          <w:color w:val="000000" w:themeColor="text1"/>
        </w:rPr>
        <w:t>1</w:t>
      </w:r>
      <w:r w:rsidRPr="00FF00E1">
        <w:rPr>
          <w:color w:val="000000" w:themeColor="text1"/>
        </w:rPr>
        <w:t>,</w:t>
      </w:r>
      <w:r w:rsidRPr="00C7287D">
        <w:rPr>
          <w:i/>
          <w:color w:val="000000" w:themeColor="text1"/>
        </w:rPr>
        <w:t xml:space="preserve"> </w:t>
      </w:r>
      <w:r w:rsidRPr="00C7287D">
        <w:rPr>
          <w:iCs/>
          <w:color w:val="000000" w:themeColor="text1"/>
        </w:rPr>
        <w:t>lire</w:t>
      </w:r>
      <w:r w:rsidR="00FF00E1">
        <w:rPr>
          <w:iCs/>
          <w:color w:val="000000" w:themeColor="text1"/>
        </w:rPr>
        <w:t> </w:t>
      </w:r>
      <w:r w:rsidRPr="00C7287D">
        <w:rPr>
          <w:iCs/>
          <w:color w:val="000000" w:themeColor="text1"/>
        </w:rPr>
        <w:t>:</w:t>
      </w:r>
    </w:p>
    <w:p w14:paraId="77945593" w14:textId="77777777" w:rsidR="00A33E01" w:rsidRPr="00C7287D" w:rsidRDefault="00A33E01" w:rsidP="00C7287D">
      <w:pPr>
        <w:pStyle w:val="SingleTxtG"/>
        <w:tabs>
          <w:tab w:val="left" w:pos="2268"/>
        </w:tabs>
        <w:ind w:left="2268" w:hanging="1134"/>
        <w:rPr>
          <w:b/>
        </w:rPr>
      </w:pPr>
      <w:r w:rsidRPr="00C7287D">
        <w:rPr>
          <w:rFonts w:eastAsia="MS Mincho"/>
          <w:bCs/>
          <w:color w:val="000000" w:themeColor="text1"/>
          <w:lang w:eastAsia="zh-CN"/>
        </w:rPr>
        <w:t>«</w:t>
      </w:r>
      <w:r w:rsidR="00FF00E1">
        <w:rPr>
          <w:rFonts w:eastAsia="MS Mincho"/>
          <w:bCs/>
          <w:color w:val="000000" w:themeColor="text1"/>
          <w:lang w:eastAsia="zh-CN"/>
        </w:rPr>
        <w:t> </w:t>
      </w:r>
      <w:r w:rsidRPr="00C7287D">
        <w:rPr>
          <w:rFonts w:eastAsia="MS Mincho"/>
          <w:bCs/>
          <w:color w:val="000000" w:themeColor="text1"/>
          <w:lang w:eastAsia="zh-CN"/>
        </w:rPr>
        <w:t>3</w:t>
      </w:r>
      <w:r w:rsidR="00BC3BAB">
        <w:rPr>
          <w:rFonts w:eastAsia="MS Mincho"/>
          <w:bCs/>
          <w:color w:val="000000" w:themeColor="text1"/>
          <w:lang w:eastAsia="zh-CN"/>
        </w:rPr>
        <w:t>.</w:t>
      </w:r>
      <w:r w:rsidRPr="00C7287D">
        <w:rPr>
          <w:rFonts w:eastAsia="MS Mincho"/>
          <w:bCs/>
          <w:color w:val="000000" w:themeColor="text1"/>
          <w:lang w:eastAsia="zh-CN"/>
        </w:rPr>
        <w:t>1</w:t>
      </w:r>
      <w:r w:rsidR="00BC3BAB">
        <w:rPr>
          <w:rFonts w:eastAsia="MS Mincho"/>
          <w:bCs/>
          <w:color w:val="000000" w:themeColor="text1"/>
          <w:lang w:eastAsia="zh-CN"/>
        </w:rPr>
        <w:t>.</w:t>
      </w:r>
      <w:r w:rsidRPr="00C7287D">
        <w:rPr>
          <w:rFonts w:eastAsia="MS Mincho"/>
          <w:bCs/>
          <w:color w:val="000000" w:themeColor="text1"/>
          <w:lang w:eastAsia="zh-CN"/>
        </w:rPr>
        <w:t>1</w:t>
      </w:r>
      <w:r w:rsidRPr="00C7287D">
        <w:rPr>
          <w:rFonts w:eastAsia="MS Mincho"/>
          <w:bCs/>
          <w:color w:val="000000" w:themeColor="text1"/>
          <w:lang w:eastAsia="zh-CN"/>
        </w:rPr>
        <w:tab/>
      </w:r>
      <w:r w:rsidRPr="00C7287D">
        <w:t>On utilise un élément de frappe constitué par une tête d’essai hémisphérique de 165 </w:t>
      </w:r>
      <w:r w:rsidRPr="00C7287D">
        <w:rPr>
          <w:bCs/>
          <w:lang w:val="en-GB" w:eastAsia="zh-CN"/>
        </w:rPr>
        <w:sym w:font="Symbol" w:char="00B1"/>
      </w:r>
      <w:r w:rsidRPr="00C7287D">
        <w:t> 2 mm de diamètre</w:t>
      </w:r>
      <w:r w:rsidR="00BC3BAB">
        <w:t>.</w:t>
      </w:r>
      <w:r w:rsidRPr="00C7287D">
        <w:t xml:space="preserve"> La tête d’essai et son support doivent avoir une masse combinée telle qu’à une vitesse </w:t>
      </w:r>
      <w:r w:rsidRPr="00C7287D">
        <w:rPr>
          <w:strike/>
        </w:rPr>
        <w:t>inférieure ou égale à</w:t>
      </w:r>
      <w:r w:rsidRPr="00C7287D">
        <w:t xml:space="preserve"> </w:t>
      </w:r>
      <w:r w:rsidRPr="00C7287D">
        <w:rPr>
          <w:b/>
        </w:rPr>
        <w:t>de</w:t>
      </w:r>
      <w:r w:rsidRPr="00C7287D">
        <w:t xml:space="preserve"> 24,1 km/h à l’instant de l’impact une énergie de 152 </w:t>
      </w:r>
      <w:r w:rsidRPr="00C7287D">
        <w:rPr>
          <w:bCs/>
          <w:strike/>
          <w:lang w:val="en-GB" w:eastAsia="zh-CN"/>
        </w:rPr>
        <w:sym w:font="Symbol" w:char="00B1"/>
      </w:r>
      <w:r w:rsidRPr="00C7287D">
        <w:rPr>
          <w:bCs/>
          <w:strike/>
          <w:lang w:eastAsia="zh-CN"/>
        </w:rPr>
        <w:t> </w:t>
      </w:r>
      <w:r w:rsidRPr="00C7287D">
        <w:rPr>
          <w:b/>
          <w:strike/>
        </w:rPr>
        <w:t>6</w:t>
      </w:r>
      <w:r w:rsidRPr="00C7287D">
        <w:t> J soit produite</w:t>
      </w:r>
      <w:r w:rsidR="00BC3BAB">
        <w:t>.</w:t>
      </w:r>
      <w:r w:rsidR="00FF00E1">
        <w:t> </w:t>
      </w:r>
      <w:r w:rsidRPr="00C7287D">
        <w:t>»</w:t>
      </w:r>
      <w:r w:rsidR="00BC3BAB">
        <w:t>.</w:t>
      </w:r>
    </w:p>
    <w:p w14:paraId="10A3D221" w14:textId="77777777" w:rsidR="00A33E01" w:rsidRPr="00C7287D" w:rsidRDefault="00A33E01" w:rsidP="00C7287D">
      <w:pPr>
        <w:pStyle w:val="SingleTxtG"/>
        <w:rPr>
          <w:rFonts w:eastAsia="MS Mincho"/>
          <w:bCs/>
          <w:color w:val="000000" w:themeColor="text1"/>
          <w:lang w:eastAsia="zh-CN"/>
        </w:rPr>
      </w:pPr>
      <w:r w:rsidRPr="00C7287D">
        <w:rPr>
          <w:i/>
          <w:color w:val="000000" w:themeColor="text1"/>
        </w:rPr>
        <w:t>Annexe 13, ajouter un nouveau paragraphe 2</w:t>
      </w:r>
      <w:r w:rsidR="00BC3BAB">
        <w:rPr>
          <w:i/>
          <w:color w:val="000000" w:themeColor="text1"/>
        </w:rPr>
        <w:t>.</w:t>
      </w:r>
      <w:r w:rsidRPr="00C7287D">
        <w:rPr>
          <w:i/>
          <w:color w:val="000000" w:themeColor="text1"/>
        </w:rPr>
        <w:t>10</w:t>
      </w:r>
      <w:r w:rsidRPr="00FF00E1">
        <w:rPr>
          <w:color w:val="000000" w:themeColor="text1"/>
        </w:rPr>
        <w:t>,</w:t>
      </w:r>
      <w:r w:rsidRPr="00C7287D">
        <w:rPr>
          <w:i/>
          <w:color w:val="000000" w:themeColor="text1"/>
        </w:rPr>
        <w:t xml:space="preserve"> </w:t>
      </w:r>
      <w:r w:rsidRPr="00C7287D">
        <w:rPr>
          <w:iCs/>
          <w:color w:val="000000" w:themeColor="text1"/>
        </w:rPr>
        <w:t>lire</w:t>
      </w:r>
      <w:r w:rsidR="00FF00E1">
        <w:rPr>
          <w:iCs/>
          <w:color w:val="000000" w:themeColor="text1"/>
        </w:rPr>
        <w:t> </w:t>
      </w:r>
      <w:r w:rsidRPr="00C7287D">
        <w:rPr>
          <w:iCs/>
          <w:color w:val="000000" w:themeColor="text1"/>
        </w:rPr>
        <w:t>:</w:t>
      </w:r>
    </w:p>
    <w:p w14:paraId="77C0FADA" w14:textId="77777777" w:rsidR="00A33E01" w:rsidRPr="00FF00E1" w:rsidRDefault="00A33E01" w:rsidP="00C7287D">
      <w:pPr>
        <w:spacing w:after="120"/>
        <w:ind w:left="2268" w:right="850" w:hanging="1134"/>
        <w:jc w:val="both"/>
        <w:rPr>
          <w:rFonts w:eastAsia="MS Mincho"/>
          <w:b/>
          <w:color w:val="000000" w:themeColor="text1"/>
        </w:rPr>
      </w:pPr>
      <w:r w:rsidRPr="00C7287D">
        <w:rPr>
          <w:rFonts w:eastAsia="MS Mincho"/>
          <w:bCs/>
          <w:color w:val="000000" w:themeColor="text1"/>
        </w:rPr>
        <w:t>«</w:t>
      </w:r>
      <w:r w:rsidR="00FF00E1">
        <w:rPr>
          <w:rFonts w:eastAsia="MS Mincho"/>
          <w:bCs/>
          <w:color w:val="000000" w:themeColor="text1"/>
        </w:rPr>
        <w:t> </w:t>
      </w:r>
      <w:r w:rsidRPr="00C7287D">
        <w:rPr>
          <w:rFonts w:eastAsia="MS Mincho"/>
          <w:b/>
          <w:color w:val="000000" w:themeColor="text1"/>
        </w:rPr>
        <w:t>2</w:t>
      </w:r>
      <w:r w:rsidR="00BC3BAB">
        <w:rPr>
          <w:rFonts w:eastAsia="MS Mincho"/>
          <w:b/>
          <w:color w:val="000000" w:themeColor="text1"/>
        </w:rPr>
        <w:t>.</w:t>
      </w:r>
      <w:r w:rsidRPr="00C7287D">
        <w:rPr>
          <w:rFonts w:eastAsia="MS Mincho"/>
          <w:b/>
          <w:color w:val="000000" w:themeColor="text1"/>
        </w:rPr>
        <w:t>10</w:t>
      </w:r>
      <w:r w:rsidRPr="00C7287D">
        <w:rPr>
          <w:rFonts w:eastAsia="MS Mincho"/>
          <w:b/>
          <w:color w:val="000000" w:themeColor="text1"/>
        </w:rPr>
        <w:tab/>
        <w:t>À défaut</w:t>
      </w:r>
      <w:r w:rsidR="00D92215" w:rsidRPr="00D92215">
        <w:rPr>
          <w:b/>
          <w:shd w:val="clear" w:color="auto" w:fill="FFFFFF"/>
        </w:rPr>
        <w:t>,</w:t>
      </w:r>
      <w:r w:rsidR="00934247">
        <w:rPr>
          <w:b/>
          <w:shd w:val="clear" w:color="auto" w:fill="FFFFFF"/>
        </w:rPr>
        <w:t xml:space="preserve"> </w:t>
      </w:r>
      <w:r w:rsidRPr="00D92215">
        <w:rPr>
          <w:b/>
          <w:shd w:val="clear" w:color="auto" w:fill="FFFFFF"/>
        </w:rPr>
        <w:t>lorsque le constructeur démontre que la différence entre les positions de référence</w:t>
      </w:r>
      <w:r w:rsidR="00934247">
        <w:rPr>
          <w:b/>
          <w:shd w:val="clear" w:color="auto" w:fill="FFFFFF"/>
        </w:rPr>
        <w:t xml:space="preserve"> </w:t>
      </w:r>
      <w:r w:rsidRPr="00D92215">
        <w:rPr>
          <w:b/>
          <w:shd w:val="clear" w:color="auto" w:fill="FFFFFF"/>
        </w:rPr>
        <w:t>du cylindre correspondant aux mesures des paragraphes 2</w:t>
      </w:r>
      <w:r w:rsidR="00BC3BAB">
        <w:rPr>
          <w:b/>
          <w:shd w:val="clear" w:color="auto" w:fill="FFFFFF"/>
        </w:rPr>
        <w:t>.</w:t>
      </w:r>
      <w:r w:rsidRPr="00D92215">
        <w:rPr>
          <w:b/>
          <w:shd w:val="clear" w:color="auto" w:fill="FFFFFF"/>
        </w:rPr>
        <w:t>3 et 2</w:t>
      </w:r>
      <w:r w:rsidR="00BC3BAB">
        <w:rPr>
          <w:b/>
          <w:shd w:val="clear" w:color="auto" w:fill="FFFFFF"/>
        </w:rPr>
        <w:t>.</w:t>
      </w:r>
      <w:r w:rsidRPr="00D92215">
        <w:rPr>
          <w:b/>
          <w:shd w:val="clear" w:color="auto" w:fill="FFFFFF"/>
        </w:rPr>
        <w:t xml:space="preserve">6 de la présente annexe est inférieure à la valeur </w:t>
      </w:r>
      <w:r w:rsidRPr="00D92215">
        <w:rPr>
          <w:b/>
          <w:shd w:val="clear" w:color="auto" w:fill="FFFFFF"/>
        </w:rPr>
        <w:lastRenderedPageBreak/>
        <w:t>prescrite au paragraphe</w:t>
      </w:r>
      <w:r w:rsidR="00D92215" w:rsidRPr="00D92215">
        <w:rPr>
          <w:b/>
          <w:shd w:val="clear" w:color="auto" w:fill="FFFFFF"/>
        </w:rPr>
        <w:t> </w:t>
      </w:r>
      <w:r w:rsidRPr="00D92215">
        <w:rPr>
          <w:b/>
          <w:shd w:val="clear" w:color="auto" w:fill="FFFFFF"/>
        </w:rPr>
        <w:t>5</w:t>
      </w:r>
      <w:r w:rsidR="00BC3BAB">
        <w:rPr>
          <w:b/>
          <w:shd w:val="clear" w:color="auto" w:fill="FFFFFF"/>
        </w:rPr>
        <w:t>.</w:t>
      </w:r>
      <w:r w:rsidRPr="00D92215">
        <w:rPr>
          <w:b/>
          <w:shd w:val="clear" w:color="auto" w:fill="FFFFFF"/>
        </w:rPr>
        <w:t>7</w:t>
      </w:r>
      <w:r w:rsidR="00BC3BAB">
        <w:rPr>
          <w:b/>
          <w:shd w:val="clear" w:color="auto" w:fill="FFFFFF"/>
        </w:rPr>
        <w:t>.</w:t>
      </w:r>
      <w:r w:rsidRPr="00D92215">
        <w:rPr>
          <w:b/>
          <w:shd w:val="clear" w:color="auto" w:fill="FFFFFF"/>
        </w:rPr>
        <w:t>4 du Règlement, le résultat de l’essai est également conforme aux dispositions dudit paragraphe 5</w:t>
      </w:r>
      <w:r w:rsidR="00BC3BAB">
        <w:rPr>
          <w:b/>
          <w:shd w:val="clear" w:color="auto" w:fill="FFFFFF"/>
        </w:rPr>
        <w:t>.</w:t>
      </w:r>
      <w:r w:rsidRPr="00D92215">
        <w:rPr>
          <w:b/>
          <w:shd w:val="clear" w:color="auto" w:fill="FFFFFF"/>
        </w:rPr>
        <w:t>7</w:t>
      </w:r>
      <w:r w:rsidR="00BC3BAB">
        <w:rPr>
          <w:b/>
          <w:shd w:val="clear" w:color="auto" w:fill="FFFFFF"/>
        </w:rPr>
        <w:t>.</w:t>
      </w:r>
      <w:r w:rsidRPr="00D92215">
        <w:rPr>
          <w:b/>
          <w:shd w:val="clear" w:color="auto" w:fill="FFFFFF"/>
        </w:rPr>
        <w:t>4</w:t>
      </w:r>
      <w:r w:rsidR="00BC3BAB">
        <w:rPr>
          <w:b/>
          <w:shd w:val="clear" w:color="auto" w:fill="FFFFFF"/>
        </w:rPr>
        <w:t>.</w:t>
      </w:r>
      <w:r w:rsidRPr="00D92215">
        <w:rPr>
          <w:rFonts w:eastAsia="MS Mincho"/>
          <w:b/>
        </w:rPr>
        <w:t xml:space="preserve"> </w:t>
      </w:r>
      <w:r w:rsidRPr="00D92215">
        <w:rPr>
          <w:b/>
          <w:shd w:val="clear" w:color="auto" w:fill="FFFFFF"/>
        </w:rPr>
        <w:t>Dans ce cas, il n’est pas nécessaire d’enregistrer les mesures des paragraphes 2</w:t>
      </w:r>
      <w:r w:rsidR="00BC3BAB">
        <w:rPr>
          <w:b/>
          <w:shd w:val="clear" w:color="auto" w:fill="FFFFFF"/>
        </w:rPr>
        <w:t>.</w:t>
      </w:r>
      <w:r w:rsidRPr="00D92215">
        <w:rPr>
          <w:b/>
          <w:shd w:val="clear" w:color="auto" w:fill="FFFFFF"/>
        </w:rPr>
        <w:t>4 et 2</w:t>
      </w:r>
      <w:r w:rsidR="00BC3BAB">
        <w:rPr>
          <w:b/>
          <w:shd w:val="clear" w:color="auto" w:fill="FFFFFF"/>
        </w:rPr>
        <w:t>.</w:t>
      </w:r>
      <w:r w:rsidRPr="00D92215">
        <w:rPr>
          <w:b/>
          <w:shd w:val="clear" w:color="auto" w:fill="FFFFFF"/>
        </w:rPr>
        <w:t>7</w:t>
      </w:r>
      <w:r w:rsidR="00BC3BAB">
        <w:rPr>
          <w:b/>
          <w:shd w:val="clear" w:color="auto" w:fill="FFFFFF"/>
        </w:rPr>
        <w:t>.</w:t>
      </w:r>
      <w:r w:rsidR="00FF00E1" w:rsidRPr="00D92215">
        <w:rPr>
          <w:b/>
          <w:shd w:val="clear" w:color="auto" w:fill="FFFFFF"/>
        </w:rPr>
        <w:t> </w:t>
      </w:r>
      <w:r w:rsidRPr="00D92215">
        <w:rPr>
          <w:b/>
          <w:shd w:val="clear" w:color="auto" w:fill="FFFFFF"/>
        </w:rPr>
        <w:t>»</w:t>
      </w:r>
      <w:r w:rsidR="00BC3BAB">
        <w:rPr>
          <w:b/>
          <w:shd w:val="clear" w:color="auto" w:fill="FFFFFF"/>
        </w:rPr>
        <w:t>.</w:t>
      </w:r>
    </w:p>
    <w:p w14:paraId="4164663F" w14:textId="77777777" w:rsidR="00A33E01" w:rsidRPr="00C7287D" w:rsidRDefault="00A33E01" w:rsidP="00C7287D">
      <w:pPr>
        <w:pStyle w:val="SingleTxtG"/>
        <w:rPr>
          <w:iCs/>
          <w:color w:val="000000" w:themeColor="text1"/>
        </w:rPr>
      </w:pPr>
      <w:r w:rsidRPr="00C7287D">
        <w:rPr>
          <w:i/>
          <w:color w:val="000000" w:themeColor="text1"/>
        </w:rPr>
        <w:t>Annexe 15, figure 15-1</w:t>
      </w:r>
      <w:r w:rsidRPr="00FF00E1">
        <w:rPr>
          <w:color w:val="000000" w:themeColor="text1"/>
        </w:rPr>
        <w:t>,</w:t>
      </w:r>
      <w:r w:rsidRPr="00C7287D">
        <w:rPr>
          <w:i/>
          <w:color w:val="000000" w:themeColor="text1"/>
        </w:rPr>
        <w:t xml:space="preserve"> </w:t>
      </w:r>
      <w:r w:rsidRPr="00C7287D">
        <w:rPr>
          <w:iCs/>
          <w:color w:val="000000" w:themeColor="text1"/>
        </w:rPr>
        <w:t>modifier comme suit</w:t>
      </w:r>
      <w:r w:rsidR="00FF00E1">
        <w:rPr>
          <w:iCs/>
          <w:color w:val="000000" w:themeColor="text1"/>
        </w:rPr>
        <w:t> </w:t>
      </w:r>
      <w:r w:rsidRPr="00C7287D">
        <w:rPr>
          <w:iCs/>
          <w:color w:val="000000" w:themeColor="text1"/>
        </w:rPr>
        <w:t>:</w:t>
      </w:r>
    </w:p>
    <w:p w14:paraId="43B34BD7" w14:textId="77777777" w:rsidR="00A33E01" w:rsidRPr="00C7287D" w:rsidRDefault="00A33E01" w:rsidP="00C7287D">
      <w:pPr>
        <w:pStyle w:val="para"/>
        <w:rPr>
          <w:bCs/>
          <w:lang w:val="en-GB"/>
        </w:rPr>
      </w:pPr>
      <w:r w:rsidRPr="00C7287D">
        <w:rPr>
          <w:bCs/>
          <w:lang w:val="en-GB"/>
        </w:rPr>
        <w:t>«</w:t>
      </w:r>
      <w:r w:rsidR="00FF00E1">
        <w:rPr>
          <w:bCs/>
          <w:lang w:val="en-GB"/>
        </w:rPr>
        <w:t> </w:t>
      </w:r>
      <w:r w:rsidRPr="00C7287D">
        <w:rPr>
          <w:bCs/>
          <w:lang w:val="en-GB"/>
        </w:rPr>
        <w:t>Figure 1</w:t>
      </w:r>
      <w:r w:rsidR="00FF00E1">
        <w:rPr>
          <w:bCs/>
          <w:lang w:val="en-GB"/>
        </w:rPr>
        <w:t>5-</w:t>
      </w:r>
      <w:r w:rsidRPr="00C7287D">
        <w:rPr>
          <w:bCs/>
          <w:lang w:val="en-GB"/>
        </w:rPr>
        <w:t>1</w:t>
      </w:r>
    </w:p>
    <w:p w14:paraId="50713F7C" w14:textId="77777777" w:rsidR="00A33E01" w:rsidRPr="00987619" w:rsidRDefault="00EC0782" w:rsidP="00A33E01">
      <w:pPr>
        <w:pStyle w:val="SingleTxtG"/>
        <w:spacing w:line="276" w:lineRule="auto"/>
        <w:rPr>
          <w:color w:val="000000" w:themeColor="text1"/>
          <w:lang w:val="en-GB"/>
        </w:rPr>
      </w:pPr>
      <w:r w:rsidRPr="004D42B2">
        <w:rPr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00B2419" wp14:editId="367498B1">
                <wp:simplePos x="0" y="0"/>
                <wp:positionH relativeFrom="column">
                  <wp:posOffset>2937221</wp:posOffset>
                </wp:positionH>
                <wp:positionV relativeFrom="paragraph">
                  <wp:posOffset>65376</wp:posOffset>
                </wp:positionV>
                <wp:extent cx="315522" cy="143380"/>
                <wp:effectExtent l="19050" t="57150" r="27940" b="666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4227">
                          <a:off x="0" y="0"/>
                          <a:ext cx="315522" cy="1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77C3A" w14:textId="77777777" w:rsidR="004D42B2" w:rsidRPr="004D42B2" w:rsidRDefault="004D42B2" w:rsidP="004D42B2">
                            <w:pPr>
                              <w:spacing w:line="240" w:lineRule="auto"/>
                            </w:pP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2419" id="_x0000_s1031" type="#_x0000_t202" style="position:absolute;left:0;text-align:left;margin-left:231.3pt;margin-top:5.15pt;width:24.85pt;height:11.3pt;rotation:-1415330fd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" stroked="f">
                <v:textbox inset="0,0,0,0">
                  <w:txbxContent>
                    <w:p w14:paraId="48E77C3A" w14:textId="77777777" w:rsidR="004D42B2" w:rsidRPr="004D42B2" w:rsidRDefault="004D42B2" w:rsidP="004D42B2">
                      <w:pPr>
                        <w:spacing w:line="240" w:lineRule="auto"/>
                      </w:pP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4D42B2">
        <w:rPr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2128E53" wp14:editId="0CEADFB2">
                <wp:simplePos x="0" y="0"/>
                <wp:positionH relativeFrom="column">
                  <wp:posOffset>2223832</wp:posOffset>
                </wp:positionH>
                <wp:positionV relativeFrom="paragraph">
                  <wp:posOffset>2410258</wp:posOffset>
                </wp:positionV>
                <wp:extent cx="466090" cy="193287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93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5CA" w14:textId="77777777" w:rsidR="004D42B2" w:rsidRPr="004D42B2" w:rsidRDefault="004D42B2" w:rsidP="004D42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Point</w:t>
                            </w:r>
                            <w:r w:rsidRPr="004D42B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8E53" id="_x0000_s1032" type="#_x0000_t202" style="position:absolute;left:0;text-align:left;margin-left:175.1pt;margin-top:189.8pt;width:36.7pt;height:15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" stroked="f">
                <v:textbox inset="0,0,0,0">
                  <w:txbxContent>
                    <w:p w14:paraId="4D2FD5CA" w14:textId="77777777" w:rsidR="004D42B2" w:rsidRPr="004D42B2" w:rsidRDefault="004D42B2" w:rsidP="004D42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Point</w:t>
                      </w:r>
                      <w:r w:rsidRPr="004D42B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="004D42B2" w:rsidRPr="004D42B2">
        <w:rPr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11136" behindDoc="0" locked="0" layoutInCell="1" allowOverlap="1" wp14:anchorId="29946577" wp14:editId="3D0549BE">
                <wp:simplePos x="0" y="0"/>
                <wp:positionH relativeFrom="column">
                  <wp:posOffset>2386833</wp:posOffset>
                </wp:positionH>
                <wp:positionV relativeFrom="paragraph">
                  <wp:posOffset>820738</wp:posOffset>
                </wp:positionV>
                <wp:extent cx="1514475" cy="1404620"/>
                <wp:effectExtent l="219393" t="0" r="247967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46836"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0D1F" w14:textId="77777777" w:rsidR="004D42B2" w:rsidRPr="004D42B2" w:rsidRDefault="004D42B2" w:rsidP="004D42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Ligne de torse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6577" id="_x0000_s1033" type="#_x0000_t202" style="position:absolute;left:0;text-align:left;margin-left:187.95pt;margin-top:64.65pt;width:119.25pt;height:110.6pt;rotation:4529451fd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" stroked="f">
                <v:textbox style="mso-fit-shape-to-text:t" inset="0,0,0,0">
                  <w:txbxContent>
                    <w:p w14:paraId="377C0D1F" w14:textId="77777777" w:rsidR="004D42B2" w:rsidRPr="004D42B2" w:rsidRDefault="004D42B2" w:rsidP="004D42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Ligne de torse</w:t>
                      </w:r>
                    </w:p>
                  </w:txbxContent>
                </v:textbox>
              </v:shape>
            </w:pict>
          </mc:Fallback>
        </mc:AlternateContent>
      </w:r>
      <w:r w:rsidR="004D42B2" w:rsidRPr="00987619">
        <w:rPr>
          <w:noProof/>
          <w:color w:val="000000" w:themeColor="text1"/>
          <w:lang w:eastAsia="ru-RU"/>
        </w:rPr>
        <w:drawing>
          <wp:inline distT="0" distB="0" distL="0" distR="0" wp14:anchorId="0EEACAC1" wp14:editId="60710196">
            <wp:extent cx="3667125" cy="319087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D63B9" w14:textId="77777777" w:rsidR="00A33E01" w:rsidRDefault="00A33E01" w:rsidP="00FF00E1">
      <w:pPr>
        <w:pStyle w:val="SingleTxtG"/>
        <w:jc w:val="right"/>
      </w:pPr>
      <w:r w:rsidRPr="00B83654">
        <w:t>»</w:t>
      </w:r>
      <w:r w:rsidR="00BC3BAB">
        <w:t>.</w:t>
      </w:r>
    </w:p>
    <w:p w14:paraId="6807645B" w14:textId="77777777" w:rsidR="00A33E01" w:rsidRPr="00D844C0" w:rsidRDefault="00A33E01" w:rsidP="00FF00E1">
      <w:pPr>
        <w:pStyle w:val="HChG"/>
      </w:pPr>
      <w:r w:rsidRPr="00B83654">
        <w:tab/>
      </w:r>
      <w:r w:rsidRPr="00D844C0">
        <w:t>II</w:t>
      </w:r>
      <w:r w:rsidR="00BC3BAB">
        <w:t>.</w:t>
      </w:r>
      <w:r w:rsidRPr="00D844C0">
        <w:tab/>
        <w:t>Justification</w:t>
      </w:r>
    </w:p>
    <w:p w14:paraId="7EA1E114" w14:textId="77777777" w:rsidR="00A33E01" w:rsidRPr="00D844C0" w:rsidRDefault="00A33E01" w:rsidP="00C7287D">
      <w:pPr>
        <w:pStyle w:val="SingleTxtG"/>
        <w:rPr>
          <w:rFonts w:eastAsia="MS Mincho"/>
          <w:color w:val="000000" w:themeColor="text1"/>
        </w:rPr>
      </w:pPr>
      <w:r w:rsidRPr="00D844C0">
        <w:t>1</w:t>
      </w:r>
      <w:r w:rsidR="00BC3BAB">
        <w:t>.</w:t>
      </w:r>
      <w:r w:rsidRPr="00D844C0">
        <w:tab/>
      </w:r>
      <w:r w:rsidRPr="00D844C0">
        <w:rPr>
          <w:shd w:val="clear" w:color="auto" w:fill="FFFFFF"/>
        </w:rPr>
        <w:t>Lorsque les experts de la CLEPA ont commencé à appliquer le projet de série</w:t>
      </w:r>
      <w:r w:rsidR="00BB120F">
        <w:rPr>
          <w:shd w:val="clear" w:color="auto" w:fill="FFFFFF"/>
        </w:rPr>
        <w:t> </w:t>
      </w:r>
      <w:r w:rsidRPr="00D844C0">
        <w:rPr>
          <w:shd w:val="clear" w:color="auto" w:fill="FFFFFF"/>
        </w:rPr>
        <w:t>10 d</w:t>
      </w:r>
      <w:r>
        <w:rPr>
          <w:shd w:val="clear" w:color="auto" w:fill="FFFFFF"/>
        </w:rPr>
        <w:t>’</w:t>
      </w:r>
      <w:r w:rsidRPr="00D844C0">
        <w:rPr>
          <w:shd w:val="clear" w:color="auto" w:fill="FFFFFF"/>
        </w:rPr>
        <w:t xml:space="preserve">amendements au Règlement </w:t>
      </w:r>
      <w:r>
        <w:rPr>
          <w:shd w:val="clear" w:color="auto" w:fill="FFFFFF"/>
        </w:rPr>
        <w:t xml:space="preserve">ONU </w:t>
      </w:r>
      <w:r w:rsidRPr="00D844C0">
        <w:rPr>
          <w:shd w:val="clear" w:color="auto" w:fill="FFFFFF"/>
        </w:rPr>
        <w:t>n</w:t>
      </w:r>
      <w:r w:rsidRPr="00EC175C">
        <w:rPr>
          <w:shd w:val="clear" w:color="auto" w:fill="FFFFFF"/>
          <w:vertAlign w:val="superscript"/>
        </w:rPr>
        <w:t>o</w:t>
      </w:r>
      <w:r w:rsidR="00BB120F">
        <w:rPr>
          <w:shd w:val="clear" w:color="auto" w:fill="FFFFFF"/>
        </w:rPr>
        <w:t> </w:t>
      </w:r>
      <w:r w:rsidRPr="00D844C0">
        <w:rPr>
          <w:shd w:val="clear" w:color="auto" w:fill="FFFFFF"/>
        </w:rPr>
        <w:t>17, ils ont constaté qu</w:t>
      </w:r>
      <w:r>
        <w:rPr>
          <w:shd w:val="clear" w:color="auto" w:fill="FFFFFF"/>
        </w:rPr>
        <w:t>’</w:t>
      </w:r>
      <w:r w:rsidRPr="00D844C0">
        <w:rPr>
          <w:shd w:val="clear" w:color="auto" w:fill="FFFFFF"/>
        </w:rPr>
        <w:t>il existait différentes façons d</w:t>
      </w:r>
      <w:r>
        <w:rPr>
          <w:shd w:val="clear" w:color="auto" w:fill="FFFFFF"/>
        </w:rPr>
        <w:t>’</w:t>
      </w:r>
      <w:r w:rsidRPr="00D844C0">
        <w:rPr>
          <w:shd w:val="clear" w:color="auto" w:fill="FFFFFF"/>
        </w:rPr>
        <w:t xml:space="preserve">appliquer les </w:t>
      </w:r>
      <w:r>
        <w:rPr>
          <w:shd w:val="clear" w:color="auto" w:fill="FFFFFF"/>
        </w:rPr>
        <w:t>modifications</w:t>
      </w:r>
      <w:r w:rsidRPr="00D844C0">
        <w:rPr>
          <w:shd w:val="clear" w:color="auto" w:fill="FFFFFF"/>
        </w:rPr>
        <w:t xml:space="preserve"> proposé</w:t>
      </w:r>
      <w:r>
        <w:rPr>
          <w:shd w:val="clear" w:color="auto" w:fill="FFFFFF"/>
        </w:rPr>
        <w:t>e</w:t>
      </w:r>
      <w:r w:rsidRPr="00D844C0">
        <w:rPr>
          <w:shd w:val="clear" w:color="auto" w:fill="FFFFFF"/>
        </w:rPr>
        <w:t>s, ce qui a rendu nécessaire certaines précisions</w:t>
      </w:r>
      <w:r w:rsidR="00BC3BAB">
        <w:rPr>
          <w:shd w:val="clear" w:color="auto" w:fill="FFFFFF"/>
        </w:rPr>
        <w:t>.</w:t>
      </w:r>
    </w:p>
    <w:p w14:paraId="2344BD4B" w14:textId="77777777" w:rsidR="00A33E01" w:rsidRPr="00D844C0" w:rsidRDefault="00A33E01" w:rsidP="00C7287D">
      <w:pPr>
        <w:pStyle w:val="SingleTxtG"/>
        <w:rPr>
          <w:rFonts w:eastAsia="MS Mincho"/>
          <w:color w:val="000000" w:themeColor="text1"/>
        </w:rPr>
      </w:pPr>
      <w:r w:rsidRPr="00D844C0">
        <w:t>2</w:t>
      </w:r>
      <w:r w:rsidR="00BC3BAB">
        <w:t>.</w:t>
      </w:r>
      <w:r w:rsidRPr="00D844C0">
        <w:tab/>
      </w:r>
      <w:r w:rsidRPr="00D844C0">
        <w:rPr>
          <w:shd w:val="clear" w:color="auto" w:fill="FFFFFF"/>
        </w:rPr>
        <w:t>La série 10 d</w:t>
      </w:r>
      <w:r>
        <w:rPr>
          <w:shd w:val="clear" w:color="auto" w:fill="FFFFFF"/>
        </w:rPr>
        <w:t>’</w:t>
      </w:r>
      <w:r w:rsidRPr="00D844C0">
        <w:rPr>
          <w:shd w:val="clear" w:color="auto" w:fill="FFFFFF"/>
        </w:rPr>
        <w:t xml:space="preserve">amendements proposée a supprimé ou modifié </w:t>
      </w:r>
      <w:r>
        <w:rPr>
          <w:shd w:val="clear" w:color="auto" w:fill="FFFFFF"/>
        </w:rPr>
        <w:t>certain</w:t>
      </w:r>
      <w:r w:rsidRPr="00D844C0">
        <w:rPr>
          <w:shd w:val="clear" w:color="auto" w:fill="FFFFFF"/>
        </w:rPr>
        <w:t>s paragraphes de la série 09 d</w:t>
      </w:r>
      <w:r>
        <w:rPr>
          <w:shd w:val="clear" w:color="auto" w:fill="FFFFFF"/>
        </w:rPr>
        <w:t>’</w:t>
      </w:r>
      <w:r w:rsidRPr="00D844C0">
        <w:rPr>
          <w:shd w:val="clear" w:color="auto" w:fill="FFFFFF"/>
        </w:rPr>
        <w:t>amendements au Règlement</w:t>
      </w:r>
      <w:r>
        <w:rPr>
          <w:shd w:val="clear" w:color="auto" w:fill="FFFFFF"/>
        </w:rPr>
        <w:t xml:space="preserve"> ONU</w:t>
      </w:r>
      <w:r w:rsidRPr="00D844C0">
        <w:rPr>
          <w:shd w:val="clear" w:color="auto" w:fill="FFFFFF"/>
        </w:rPr>
        <w:t xml:space="preserve"> n</w:t>
      </w:r>
      <w:r w:rsidRPr="00EC175C">
        <w:rPr>
          <w:shd w:val="clear" w:color="auto" w:fill="FFFFFF"/>
          <w:vertAlign w:val="superscript"/>
        </w:rPr>
        <w:t>o</w:t>
      </w:r>
      <w:r>
        <w:rPr>
          <w:shd w:val="clear" w:color="auto" w:fill="FFFFFF"/>
        </w:rPr>
        <w:t> </w:t>
      </w:r>
      <w:r w:rsidRPr="00D844C0">
        <w:rPr>
          <w:shd w:val="clear" w:color="auto" w:fill="FFFFFF"/>
        </w:rPr>
        <w:t>17, ce qui a modifié la signification de paragraphes utiles existants</w:t>
      </w:r>
      <w:r w:rsidR="00BC3BAB">
        <w:rPr>
          <w:shd w:val="clear" w:color="auto" w:fill="FFFFFF"/>
        </w:rPr>
        <w:t>.</w:t>
      </w:r>
      <w:r w:rsidRPr="00D844C0">
        <w:rPr>
          <w:shd w:val="clear" w:color="auto" w:fill="FFFFFF"/>
        </w:rPr>
        <w:t xml:space="preserve"> C</w:t>
      </w:r>
      <w:r>
        <w:rPr>
          <w:shd w:val="clear" w:color="auto" w:fill="FFFFFF"/>
        </w:rPr>
        <w:t>’</w:t>
      </w:r>
      <w:r w:rsidRPr="00D844C0">
        <w:rPr>
          <w:shd w:val="clear" w:color="auto" w:fill="FFFFFF"/>
        </w:rPr>
        <w:t>est pourquoi l</w:t>
      </w:r>
      <w:r>
        <w:rPr>
          <w:shd w:val="clear" w:color="auto" w:fill="FFFFFF"/>
        </w:rPr>
        <w:t>a</w:t>
      </w:r>
      <w:r w:rsidRPr="00D844C0">
        <w:rPr>
          <w:shd w:val="clear" w:color="auto" w:fill="FFFFFF"/>
        </w:rPr>
        <w:t xml:space="preserve"> CELPA propose de réinsérer certains paragraphes de la série</w:t>
      </w:r>
      <w:r w:rsidR="00BB120F">
        <w:rPr>
          <w:shd w:val="clear" w:color="auto" w:fill="FFFFFF"/>
        </w:rPr>
        <w:t> </w:t>
      </w:r>
      <w:r w:rsidRPr="00D844C0">
        <w:rPr>
          <w:shd w:val="clear" w:color="auto" w:fill="FFFFFF"/>
        </w:rPr>
        <w:t>09 d</w:t>
      </w:r>
      <w:r>
        <w:rPr>
          <w:shd w:val="clear" w:color="auto" w:fill="FFFFFF"/>
        </w:rPr>
        <w:t>’</w:t>
      </w:r>
      <w:r w:rsidRPr="00D844C0">
        <w:rPr>
          <w:shd w:val="clear" w:color="auto" w:fill="FFFFFF"/>
        </w:rPr>
        <w:t xml:space="preserve">amendements qui ont été supprimés par le document ECE/TRANS/GRSP/2018/34, soit en </w:t>
      </w:r>
      <w:r>
        <w:rPr>
          <w:shd w:val="clear" w:color="auto" w:fill="FFFFFF"/>
        </w:rPr>
        <w:t xml:space="preserve">les </w:t>
      </w:r>
      <w:r w:rsidRPr="00D844C0">
        <w:rPr>
          <w:shd w:val="clear" w:color="auto" w:fill="FFFFFF"/>
        </w:rPr>
        <w:t>conservant tels quels, soit en copiant leur contenu de manière à ce qu</w:t>
      </w:r>
      <w:r>
        <w:rPr>
          <w:shd w:val="clear" w:color="auto" w:fill="FFFFFF"/>
        </w:rPr>
        <w:t>’</w:t>
      </w:r>
      <w:r w:rsidRPr="00D844C0">
        <w:rPr>
          <w:shd w:val="clear" w:color="auto" w:fill="FFFFFF"/>
        </w:rPr>
        <w:t xml:space="preserve">il </w:t>
      </w:r>
      <w:r>
        <w:rPr>
          <w:shd w:val="clear" w:color="auto" w:fill="FFFFFF"/>
        </w:rPr>
        <w:t>s’adapte</w:t>
      </w:r>
      <w:r w:rsidRPr="00D844C0">
        <w:rPr>
          <w:shd w:val="clear" w:color="auto" w:fill="FFFFFF"/>
        </w:rPr>
        <w:t xml:space="preserve"> à la nouvelle structure proposée </w:t>
      </w:r>
      <w:r>
        <w:rPr>
          <w:shd w:val="clear" w:color="auto" w:fill="FFFFFF"/>
        </w:rPr>
        <w:t>pour le</w:t>
      </w:r>
      <w:r w:rsidRPr="00D844C0">
        <w:rPr>
          <w:shd w:val="clear" w:color="auto" w:fill="FFFFFF"/>
        </w:rPr>
        <w:t xml:space="preserve"> Règlement </w:t>
      </w:r>
      <w:r>
        <w:rPr>
          <w:shd w:val="clear" w:color="auto" w:fill="FFFFFF"/>
        </w:rPr>
        <w:t xml:space="preserve">ONU </w:t>
      </w:r>
      <w:r w:rsidRPr="00D844C0">
        <w:rPr>
          <w:shd w:val="clear" w:color="auto" w:fill="FFFFFF"/>
        </w:rPr>
        <w:t>n</w:t>
      </w:r>
      <w:r w:rsidRPr="00E64F47">
        <w:rPr>
          <w:shd w:val="clear" w:color="auto" w:fill="FFFFFF"/>
          <w:vertAlign w:val="superscript"/>
        </w:rPr>
        <w:t>o</w:t>
      </w:r>
      <w:r>
        <w:rPr>
          <w:shd w:val="clear" w:color="auto" w:fill="FFFFFF"/>
        </w:rPr>
        <w:t> </w:t>
      </w:r>
      <w:r w:rsidRPr="00D844C0">
        <w:rPr>
          <w:shd w:val="clear" w:color="auto" w:fill="FFFFFF"/>
        </w:rPr>
        <w:t>17</w:t>
      </w:r>
      <w:r w:rsidR="00BC3BAB">
        <w:rPr>
          <w:shd w:val="clear" w:color="auto" w:fill="FFFFFF"/>
        </w:rPr>
        <w:t>.</w:t>
      </w:r>
    </w:p>
    <w:p w14:paraId="1F1EB7FF" w14:textId="77777777" w:rsidR="00A33E01" w:rsidRDefault="00A33E01" w:rsidP="00C7287D">
      <w:pPr>
        <w:pStyle w:val="SingleTxtG"/>
        <w:rPr>
          <w:shd w:val="clear" w:color="auto" w:fill="FFFFFF"/>
        </w:rPr>
      </w:pPr>
      <w:r w:rsidRPr="00D844C0">
        <w:t>3</w:t>
      </w:r>
      <w:r w:rsidR="00BC3BAB">
        <w:t>.</w:t>
      </w:r>
      <w:r w:rsidRPr="00D844C0">
        <w:tab/>
      </w:r>
      <w:r w:rsidRPr="00D844C0">
        <w:rPr>
          <w:shd w:val="clear" w:color="auto" w:fill="FFFFFF"/>
        </w:rPr>
        <w:t>En outre, la procédure de mesure de</w:t>
      </w:r>
      <w:r>
        <w:rPr>
          <w:shd w:val="clear" w:color="auto" w:fill="FFFFFF"/>
        </w:rPr>
        <w:t>s discontinuités</w:t>
      </w:r>
      <w:r w:rsidRPr="00D844C0">
        <w:rPr>
          <w:shd w:val="clear" w:color="auto" w:fill="FFFFFF"/>
        </w:rPr>
        <w:t xml:space="preserve"> </w:t>
      </w:r>
      <w:r w:rsidRPr="006A283A">
        <w:rPr>
          <w:shd w:val="clear" w:color="auto" w:fill="FFFFFF"/>
        </w:rPr>
        <w:t>au moyen d</w:t>
      </w:r>
      <w:r>
        <w:rPr>
          <w:shd w:val="clear" w:color="auto" w:fill="FFFFFF"/>
        </w:rPr>
        <w:t>’</w:t>
      </w:r>
      <w:r w:rsidRPr="006A283A">
        <w:rPr>
          <w:shd w:val="clear" w:color="auto" w:fill="FFFFFF"/>
        </w:rPr>
        <w:t>une</w:t>
      </w:r>
      <w:r w:rsidRPr="006A283A" w:rsidDel="006A283A">
        <w:rPr>
          <w:shd w:val="clear" w:color="auto" w:fill="FFFFFF"/>
        </w:rPr>
        <w:t xml:space="preserve"> </w:t>
      </w:r>
      <w:r w:rsidRPr="00D844C0">
        <w:rPr>
          <w:shd w:val="clear" w:color="auto" w:fill="FFFFFF"/>
        </w:rPr>
        <w:t xml:space="preserve">sphère a été modifiée dans la </w:t>
      </w:r>
      <w:r w:rsidRPr="003137B0">
        <w:rPr>
          <w:shd w:val="clear" w:color="auto" w:fill="FFFFFF"/>
        </w:rPr>
        <w:t>Norme fédérale de sécurité des véhicules automobiles</w:t>
      </w:r>
      <w:r>
        <w:rPr>
          <w:shd w:val="clear" w:color="auto" w:fill="FFFFFF"/>
        </w:rPr>
        <w:t xml:space="preserve"> (</w:t>
      </w:r>
      <w:r w:rsidRPr="003137B0">
        <w:rPr>
          <w:shd w:val="clear" w:color="auto" w:fill="FFFFFF"/>
          <w:lang w:val="fr-FR"/>
        </w:rPr>
        <w:t>Federal Motor Vehicle Safety Standard)</w:t>
      </w:r>
      <w:r w:rsidRPr="00D844C0">
        <w:rPr>
          <w:shd w:val="clear" w:color="auto" w:fill="FFFFFF"/>
        </w:rPr>
        <w:t xml:space="preserve"> </w:t>
      </w:r>
      <w:r w:rsidR="00BB120F" w:rsidRPr="00BB120F">
        <w:rPr>
          <w:rFonts w:eastAsia="MS Mincho"/>
          <w:shd w:val="clear" w:color="auto" w:fill="FFFFFF"/>
        </w:rPr>
        <w:t>n</w:t>
      </w:r>
      <w:r w:rsidR="00BB120F" w:rsidRPr="00BB120F">
        <w:rPr>
          <w:rFonts w:eastAsia="MS Mincho"/>
          <w:shd w:val="clear" w:color="auto" w:fill="FFFFFF"/>
          <w:vertAlign w:val="superscript"/>
        </w:rPr>
        <w:t>o</w:t>
      </w:r>
      <w:r w:rsidR="00BB120F">
        <w:rPr>
          <w:shd w:val="clear" w:color="auto" w:fill="FFFFFF"/>
        </w:rPr>
        <w:t> </w:t>
      </w:r>
      <w:r w:rsidRPr="00D844C0">
        <w:rPr>
          <w:shd w:val="clear" w:color="auto" w:fill="FFFFFF"/>
        </w:rPr>
        <w:t xml:space="preserve">202a </w:t>
      </w:r>
      <w:r>
        <w:rPr>
          <w:shd w:val="clear" w:color="auto" w:fill="FFFFFF"/>
        </w:rPr>
        <w:t>(</w:t>
      </w:r>
      <w:r w:rsidR="00934247">
        <w:rPr>
          <w:shd w:val="clear" w:color="auto" w:fill="FFFFFF"/>
        </w:rPr>
        <w:t>É</w:t>
      </w:r>
      <w:r>
        <w:rPr>
          <w:shd w:val="clear" w:color="auto" w:fill="FFFFFF"/>
        </w:rPr>
        <w:t>tats-Unis d’Amérique) pour que ne soient prises</w:t>
      </w:r>
      <w:r w:rsidRPr="00D844C0">
        <w:rPr>
          <w:shd w:val="clear" w:color="auto" w:fill="FFFFFF"/>
        </w:rPr>
        <w:t xml:space="preserve"> en compte q</w:t>
      </w:r>
      <w:r>
        <w:rPr>
          <w:shd w:val="clear" w:color="auto" w:fill="FFFFFF"/>
        </w:rPr>
        <w:t xml:space="preserve">ue les discontinuités dans la zone située au-dessus de </w:t>
      </w:r>
      <w:r w:rsidRPr="00D844C0">
        <w:rPr>
          <w:shd w:val="clear" w:color="auto" w:fill="FFFFFF"/>
        </w:rPr>
        <w:t>540</w:t>
      </w:r>
      <w:r w:rsidR="00BB120F">
        <w:rPr>
          <w:shd w:val="clear" w:color="auto" w:fill="FFFFFF"/>
        </w:rPr>
        <w:t> </w:t>
      </w:r>
      <w:r w:rsidRPr="00D844C0">
        <w:rPr>
          <w:shd w:val="clear" w:color="auto" w:fill="FFFFFF"/>
        </w:rPr>
        <w:t>mm</w:t>
      </w:r>
      <w:r w:rsidR="00BC3BAB">
        <w:rPr>
          <w:shd w:val="clear" w:color="auto" w:fill="FFFFFF"/>
        </w:rPr>
        <w:t>.</w:t>
      </w:r>
      <w:r w:rsidRPr="00D844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La présente </w:t>
      </w:r>
      <w:r w:rsidRPr="00D844C0">
        <w:rPr>
          <w:shd w:val="clear" w:color="auto" w:fill="FFFFFF"/>
        </w:rPr>
        <w:t xml:space="preserve">proposition ajoute </w:t>
      </w:r>
      <w:r>
        <w:rPr>
          <w:shd w:val="clear" w:color="auto" w:fill="FFFFFF"/>
        </w:rPr>
        <w:t xml:space="preserve">la zone où </w:t>
      </w:r>
      <w:r w:rsidRPr="00D844C0">
        <w:rPr>
          <w:shd w:val="clear" w:color="auto" w:fill="FFFFFF"/>
        </w:rPr>
        <w:t>l</w:t>
      </w:r>
      <w:r>
        <w:rPr>
          <w:shd w:val="clear" w:color="auto" w:fill="FFFFFF"/>
        </w:rPr>
        <w:t>a discontinuité est prise en compte pour la</w:t>
      </w:r>
      <w:r w:rsidRPr="00D844C0">
        <w:rPr>
          <w:shd w:val="clear" w:color="auto" w:fill="FFFFFF"/>
        </w:rPr>
        <w:t xml:space="preserve"> </w:t>
      </w:r>
      <w:r w:rsidRPr="005B61C6">
        <w:rPr>
          <w:shd w:val="clear" w:color="auto" w:fill="FFFFFF"/>
        </w:rPr>
        <w:t>méthode de mesure au moyen d’une sphère</w:t>
      </w:r>
      <w:r w:rsidR="00BC3BAB">
        <w:rPr>
          <w:shd w:val="clear" w:color="auto" w:fill="FFFFFF"/>
        </w:rPr>
        <w:t>.</w:t>
      </w:r>
    </w:p>
    <w:p w14:paraId="78856BA1" w14:textId="77777777" w:rsidR="00A33E01" w:rsidRPr="00A33E01" w:rsidRDefault="00A33E01" w:rsidP="00A33E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3E01" w:rsidRPr="00A33E01" w:rsidSect="001D392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2380" w14:textId="77777777" w:rsidR="003414D9" w:rsidRDefault="003414D9" w:rsidP="00F95C08">
      <w:pPr>
        <w:spacing w:line="240" w:lineRule="auto"/>
      </w:pPr>
    </w:p>
  </w:endnote>
  <w:endnote w:type="continuationSeparator" w:id="0">
    <w:p w14:paraId="1C91E40B" w14:textId="77777777" w:rsidR="003414D9" w:rsidRPr="00AC3823" w:rsidRDefault="003414D9" w:rsidP="00AC3823">
      <w:pPr>
        <w:pStyle w:val="Footer"/>
      </w:pPr>
    </w:p>
  </w:endnote>
  <w:endnote w:type="continuationNotice" w:id="1">
    <w:p w14:paraId="52767517" w14:textId="77777777" w:rsidR="003414D9" w:rsidRDefault="003414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2F56" w14:textId="77777777" w:rsidR="001D3926" w:rsidRPr="001D3926" w:rsidRDefault="001D3926" w:rsidP="001D3926">
    <w:pPr>
      <w:pStyle w:val="Footer"/>
      <w:tabs>
        <w:tab w:val="right" w:pos="9638"/>
      </w:tabs>
    </w:pPr>
    <w:r w:rsidRPr="001D3926">
      <w:rPr>
        <w:b/>
        <w:sz w:val="18"/>
      </w:rPr>
      <w:fldChar w:fldCharType="begin"/>
    </w:r>
    <w:r w:rsidRPr="001D3926">
      <w:rPr>
        <w:b/>
        <w:sz w:val="18"/>
      </w:rPr>
      <w:instrText xml:space="preserve"> PAGE  \* MERGEFORMAT </w:instrText>
    </w:r>
    <w:r w:rsidRPr="001D3926">
      <w:rPr>
        <w:b/>
        <w:sz w:val="18"/>
      </w:rPr>
      <w:fldChar w:fldCharType="separate"/>
    </w:r>
    <w:r w:rsidRPr="001D3926">
      <w:rPr>
        <w:b/>
        <w:noProof/>
        <w:sz w:val="18"/>
      </w:rPr>
      <w:t>2</w:t>
    </w:r>
    <w:r w:rsidRPr="001D3926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BC3BAB">
      <w:t>.</w:t>
    </w:r>
    <w:r>
      <w:t>19-03062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BF48" w14:textId="77777777" w:rsidR="001D3926" w:rsidRPr="001D3926" w:rsidRDefault="001D3926" w:rsidP="001D3926">
    <w:pPr>
      <w:pStyle w:val="Footer"/>
      <w:tabs>
        <w:tab w:val="right" w:pos="9638"/>
      </w:tabs>
      <w:rPr>
        <w:b/>
        <w:sz w:val="18"/>
      </w:rPr>
    </w:pPr>
    <w:r>
      <w:t>GE</w:t>
    </w:r>
    <w:r w:rsidR="00BC3BAB">
      <w:t>.</w:t>
    </w:r>
    <w:r>
      <w:t>19-03062</w:t>
    </w:r>
    <w:r>
      <w:tab/>
    </w:r>
    <w:r w:rsidRPr="001D3926">
      <w:rPr>
        <w:b/>
        <w:sz w:val="18"/>
      </w:rPr>
      <w:fldChar w:fldCharType="begin"/>
    </w:r>
    <w:r w:rsidRPr="001D3926">
      <w:rPr>
        <w:b/>
        <w:sz w:val="18"/>
      </w:rPr>
      <w:instrText xml:space="preserve"> PAGE  \* MERGEFORMAT </w:instrText>
    </w:r>
    <w:r w:rsidRPr="001D3926">
      <w:rPr>
        <w:b/>
        <w:sz w:val="18"/>
      </w:rPr>
      <w:fldChar w:fldCharType="separate"/>
    </w:r>
    <w:r w:rsidRPr="001D3926">
      <w:rPr>
        <w:b/>
        <w:noProof/>
        <w:sz w:val="18"/>
      </w:rPr>
      <w:t>3</w:t>
    </w:r>
    <w:r w:rsidRPr="001D39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2EF8" w14:textId="77777777" w:rsidR="003414D9" w:rsidRPr="001D3926" w:rsidRDefault="003414D9" w:rsidP="001D3926">
    <w:pPr>
      <w:pStyle w:val="Footer"/>
      <w:spacing w:before="120"/>
      <w:rPr>
        <w:sz w:val="20"/>
      </w:rPr>
    </w:pPr>
    <w:r>
      <w:rPr>
        <w:sz w:val="20"/>
      </w:rPr>
      <w:t>GE</w:t>
    </w:r>
    <w:r w:rsidR="00BC3BAB">
      <w:rPr>
        <w:sz w:val="20"/>
      </w:rPr>
      <w:t>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79FEE97" wp14:editId="1D90C29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19-03062  (F)    060319    190319</w:t>
    </w:r>
    <w:r>
      <w:rPr>
        <w:sz w:val="20"/>
      </w:rPr>
      <w:br/>
    </w:r>
    <w:r w:rsidRPr="001D3926">
      <w:rPr>
        <w:rFonts w:ascii="C39T30Lfz" w:hAnsi="C39T30Lfz"/>
        <w:sz w:val="56"/>
      </w:rPr>
      <w:t></w:t>
    </w:r>
    <w:r w:rsidRPr="001D3926">
      <w:rPr>
        <w:rFonts w:ascii="C39T30Lfz" w:hAnsi="C39T30Lfz"/>
        <w:sz w:val="56"/>
      </w:rPr>
      <w:t></w:t>
    </w:r>
    <w:r w:rsidRPr="001D3926">
      <w:rPr>
        <w:rFonts w:ascii="C39T30Lfz" w:hAnsi="C39T30Lfz"/>
        <w:sz w:val="56"/>
      </w:rPr>
      <w:t></w:t>
    </w:r>
    <w:r w:rsidRPr="001D3926">
      <w:rPr>
        <w:rFonts w:ascii="C39T30Lfz" w:hAnsi="C39T30Lfz"/>
        <w:sz w:val="56"/>
      </w:rPr>
      <w:t></w:t>
    </w:r>
    <w:r w:rsidRPr="001D3926">
      <w:rPr>
        <w:rFonts w:ascii="C39T30Lfz" w:hAnsi="C39T30Lfz"/>
        <w:sz w:val="56"/>
      </w:rPr>
      <w:t></w:t>
    </w:r>
    <w:r w:rsidRPr="001D3926">
      <w:rPr>
        <w:rFonts w:ascii="C39T30Lfz" w:hAnsi="C39T30Lfz"/>
        <w:sz w:val="56"/>
      </w:rPr>
      <w:t></w:t>
    </w:r>
    <w:r w:rsidRPr="001D3926">
      <w:rPr>
        <w:rFonts w:ascii="C39T30Lfz" w:hAnsi="C39T30Lfz"/>
        <w:sz w:val="56"/>
      </w:rPr>
      <w:t></w:t>
    </w:r>
    <w:r w:rsidRPr="001D3926">
      <w:rPr>
        <w:rFonts w:ascii="C39T30Lfz" w:hAnsi="C39T30Lfz"/>
        <w:sz w:val="56"/>
      </w:rPr>
      <w:t></w:t>
    </w:r>
    <w:r w:rsidRPr="001D392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586DDDF" wp14:editId="31FA8FE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7574" w14:textId="77777777" w:rsidR="003414D9" w:rsidRPr="00AC3823" w:rsidRDefault="003414D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F366C5" w14:textId="77777777" w:rsidR="003414D9" w:rsidRPr="00AC3823" w:rsidRDefault="003414D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48FD59" w14:textId="77777777" w:rsidR="003414D9" w:rsidRPr="00AC3823" w:rsidRDefault="003414D9">
      <w:pPr>
        <w:spacing w:line="240" w:lineRule="auto"/>
        <w:rPr>
          <w:sz w:val="2"/>
          <w:szCs w:val="2"/>
        </w:rPr>
      </w:pPr>
    </w:p>
  </w:footnote>
  <w:footnote w:id="2">
    <w:p w14:paraId="746E525F" w14:textId="77777777" w:rsidR="00A33E01" w:rsidRPr="00A33E01" w:rsidRDefault="00A33E01">
      <w:pPr>
        <w:pStyle w:val="FootnoteText"/>
      </w:pPr>
      <w:r>
        <w:rPr>
          <w:rStyle w:val="FootnoteReference"/>
        </w:rPr>
        <w:tab/>
      </w:r>
      <w:r w:rsidRPr="00A33E0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2018-2019 (ECE/TRANS/274, par</w:t>
      </w:r>
      <w:r w:rsidR="00BC3BAB">
        <w:rPr>
          <w:lang w:val="fr-FR"/>
        </w:rPr>
        <w:t>.</w:t>
      </w:r>
      <w:r>
        <w:rPr>
          <w:lang w:val="fr-FR"/>
        </w:rPr>
        <w:t xml:space="preserve"> 123, et ECE/TRANS/2018/21/Add</w:t>
      </w:r>
      <w:r w:rsidR="00BC3BAB">
        <w:rPr>
          <w:lang w:val="fr-FR"/>
        </w:rPr>
        <w:t>.</w:t>
      </w:r>
      <w:r>
        <w:rPr>
          <w:lang w:val="fr-FR"/>
        </w:rPr>
        <w:t>1, module 3</w:t>
      </w:r>
      <w:r w:rsidR="00BC3BAB">
        <w:rPr>
          <w:lang w:val="fr-FR"/>
        </w:rPr>
        <w:t>.</w:t>
      </w:r>
      <w:r>
        <w:rPr>
          <w:lang w:val="fr-FR"/>
        </w:rPr>
        <w:t>1), le Forum mondial a pour mission d’élaborer, d’harmoniser et de mettre à jour les Règlements ONU en vue d’améliorer les caractéristiques fonctionnelles des véhicules</w:t>
      </w:r>
      <w:r w:rsidR="00BC3BAB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BC3BAB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ABDE" w14:textId="25D249B6" w:rsidR="003414D9" w:rsidRPr="001D3926" w:rsidRDefault="00831F97">
    <w:pPr>
      <w:pStyle w:val="Header"/>
    </w:pPr>
    <w:fldSimple w:instr=" TITLE  \* MERGEFORMAT ">
      <w:r w:rsidR="000A3F94">
        <w:t>ECE/TRANS/WP.29/GRSP/2019/9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7AFF" w14:textId="52FB03BB" w:rsidR="001D3926" w:rsidRPr="001D3926" w:rsidRDefault="00831F97" w:rsidP="001D3926">
    <w:pPr>
      <w:pStyle w:val="Header"/>
      <w:jc w:val="right"/>
    </w:pPr>
    <w:fldSimple w:instr=" TITLE  \* MERGEFORMAT ">
      <w:r w:rsidR="000A3F94">
        <w:t>ECE/TRANS/WP.29/GRSP/2019/9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73"/>
    <w:rsid w:val="00017F94"/>
    <w:rsid w:val="00023842"/>
    <w:rsid w:val="000334F9"/>
    <w:rsid w:val="00041F15"/>
    <w:rsid w:val="00045FEB"/>
    <w:rsid w:val="0007796D"/>
    <w:rsid w:val="000A3F94"/>
    <w:rsid w:val="000B7790"/>
    <w:rsid w:val="000E46D6"/>
    <w:rsid w:val="00111F2F"/>
    <w:rsid w:val="0014365E"/>
    <w:rsid w:val="00143C66"/>
    <w:rsid w:val="00176178"/>
    <w:rsid w:val="001C457F"/>
    <w:rsid w:val="001D3926"/>
    <w:rsid w:val="001E122C"/>
    <w:rsid w:val="001E1E73"/>
    <w:rsid w:val="001F525A"/>
    <w:rsid w:val="00223272"/>
    <w:rsid w:val="00241DE5"/>
    <w:rsid w:val="0024779E"/>
    <w:rsid w:val="00257168"/>
    <w:rsid w:val="002744B8"/>
    <w:rsid w:val="002832AC"/>
    <w:rsid w:val="002D7C93"/>
    <w:rsid w:val="00305801"/>
    <w:rsid w:val="00337147"/>
    <w:rsid w:val="003414D9"/>
    <w:rsid w:val="003916DE"/>
    <w:rsid w:val="00421996"/>
    <w:rsid w:val="00441C3B"/>
    <w:rsid w:val="00446FE5"/>
    <w:rsid w:val="00452396"/>
    <w:rsid w:val="004837D8"/>
    <w:rsid w:val="004D42B2"/>
    <w:rsid w:val="004E2EED"/>
    <w:rsid w:val="004E468C"/>
    <w:rsid w:val="005505B7"/>
    <w:rsid w:val="00573BE5"/>
    <w:rsid w:val="00586ED3"/>
    <w:rsid w:val="00596AA9"/>
    <w:rsid w:val="005A18B3"/>
    <w:rsid w:val="005B61C6"/>
    <w:rsid w:val="0071601D"/>
    <w:rsid w:val="007A62E6"/>
    <w:rsid w:val="007D5036"/>
    <w:rsid w:val="007F20FA"/>
    <w:rsid w:val="0080684C"/>
    <w:rsid w:val="00831F97"/>
    <w:rsid w:val="00842174"/>
    <w:rsid w:val="00871C75"/>
    <w:rsid w:val="008776DC"/>
    <w:rsid w:val="00934247"/>
    <w:rsid w:val="009446C0"/>
    <w:rsid w:val="009705C8"/>
    <w:rsid w:val="009807E0"/>
    <w:rsid w:val="009A36CC"/>
    <w:rsid w:val="009C1CF4"/>
    <w:rsid w:val="009F6B74"/>
    <w:rsid w:val="00A3029F"/>
    <w:rsid w:val="00A30353"/>
    <w:rsid w:val="00A33E01"/>
    <w:rsid w:val="00A74CDD"/>
    <w:rsid w:val="00AC3823"/>
    <w:rsid w:val="00AD485B"/>
    <w:rsid w:val="00AE323C"/>
    <w:rsid w:val="00AF0CB5"/>
    <w:rsid w:val="00AF2322"/>
    <w:rsid w:val="00B00181"/>
    <w:rsid w:val="00B00B0D"/>
    <w:rsid w:val="00B45F2E"/>
    <w:rsid w:val="00B765F7"/>
    <w:rsid w:val="00B77283"/>
    <w:rsid w:val="00B808E4"/>
    <w:rsid w:val="00B90870"/>
    <w:rsid w:val="00B94E17"/>
    <w:rsid w:val="00BA0CA9"/>
    <w:rsid w:val="00BB120F"/>
    <w:rsid w:val="00BC3BAB"/>
    <w:rsid w:val="00C02897"/>
    <w:rsid w:val="00C7287D"/>
    <w:rsid w:val="00C83FAF"/>
    <w:rsid w:val="00C97039"/>
    <w:rsid w:val="00CE67F5"/>
    <w:rsid w:val="00D3439C"/>
    <w:rsid w:val="00D71CB4"/>
    <w:rsid w:val="00D92215"/>
    <w:rsid w:val="00DB1831"/>
    <w:rsid w:val="00DD3BFD"/>
    <w:rsid w:val="00DF6678"/>
    <w:rsid w:val="00E0299A"/>
    <w:rsid w:val="00E85C74"/>
    <w:rsid w:val="00EA6547"/>
    <w:rsid w:val="00EA7E19"/>
    <w:rsid w:val="00EC0782"/>
    <w:rsid w:val="00EF2E22"/>
    <w:rsid w:val="00F01A6F"/>
    <w:rsid w:val="00F144A8"/>
    <w:rsid w:val="00F35BAF"/>
    <w:rsid w:val="00F660DF"/>
    <w:rsid w:val="00F94664"/>
    <w:rsid w:val="00F9573C"/>
    <w:rsid w:val="00F95C08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EF9805"/>
  <w15:docId w15:val="{F956CAAE-C896-4649-81AD-A340F761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33E0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33E0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A33E01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Yu Mincho"/>
      <w:snapToGrid w:val="0"/>
      <w:lang w:val="fr-FR"/>
    </w:rPr>
  </w:style>
  <w:style w:type="character" w:customStyle="1" w:styleId="paraChar">
    <w:name w:val="para Char"/>
    <w:link w:val="para"/>
    <w:rsid w:val="00A33E01"/>
    <w:rPr>
      <w:rFonts w:ascii="Times New Roman" w:eastAsia="Yu Mincho" w:hAnsi="Times New Roman" w:cs="Times New Roman"/>
      <w:snapToGrid w:val="0"/>
      <w:sz w:val="20"/>
      <w:szCs w:val="20"/>
      <w:lang w:val="fr-FR" w:eastAsia="en-US"/>
    </w:rPr>
  </w:style>
  <w:style w:type="character" w:customStyle="1" w:styleId="H1GChar">
    <w:name w:val="_ H_1_G Char"/>
    <w:link w:val="H1G"/>
    <w:rsid w:val="00A33E0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2449</Words>
  <Characters>13960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ECE/TRANS/WP.29/GRSP/2019/9</vt:lpstr>
      <vt:lpstr>ECE/TRANS/WP.29/GRSP/2019/9</vt:lpstr>
    </vt:vector>
  </TitlesOfParts>
  <Company>DCM</Company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ECE/TRANS/WP.29/GRSP/2019/9</dc:title>
  <dc:subject/>
  <dc:creator>Maud DARICHE</dc:creator>
  <cp:keywords/>
  <cp:lastModifiedBy>Benedicte Boudol</cp:lastModifiedBy>
  <cp:revision>2</cp:revision>
  <cp:lastPrinted>2019-03-19T09:02:00Z</cp:lastPrinted>
  <dcterms:created xsi:type="dcterms:W3CDTF">2019-03-19T09:22:00Z</dcterms:created>
  <dcterms:modified xsi:type="dcterms:W3CDTF">2019-03-19T09:22:00Z</dcterms:modified>
</cp:coreProperties>
</file>