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9680"/>
        <w:gridCol w:w="242"/>
      </w:tblGrid>
      <w:tr w:rsidR="00190B30" w:rsidRPr="00A56C94" w:rsidTr="00190B30">
        <w:tc>
          <w:tcPr>
            <w:tcW w:w="4962" w:type="dxa"/>
            <w:shd w:val="clear" w:color="auto" w:fill="auto"/>
          </w:tcPr>
          <w:tbl>
            <w:tblPr>
              <w:tblW w:w="9356" w:type="dxa"/>
              <w:tblInd w:w="108" w:type="dxa"/>
              <w:tblLook w:val="0000" w:firstRow="0" w:lastRow="0" w:firstColumn="0" w:lastColumn="0" w:noHBand="0" w:noVBand="0"/>
            </w:tblPr>
            <w:tblGrid>
              <w:gridCol w:w="4395"/>
              <w:gridCol w:w="4961"/>
            </w:tblGrid>
            <w:tr w:rsidR="00190B30" w:rsidRPr="00241050" w:rsidTr="009F2F31">
              <w:tc>
                <w:tcPr>
                  <w:tcW w:w="4395" w:type="dxa"/>
                </w:tcPr>
                <w:p w:rsidR="00190B30" w:rsidRPr="00241050" w:rsidRDefault="00190B30" w:rsidP="00190B30">
                  <w:pPr>
                    <w:tabs>
                      <w:tab w:val="center" w:pos="4513"/>
                      <w:tab w:val="right" w:pos="9026"/>
                    </w:tabs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>Submitted by the expert from</w:t>
                  </w:r>
                </w:p>
                <w:p w:rsidR="00190B30" w:rsidRPr="00241050" w:rsidRDefault="00190B30" w:rsidP="00190B30">
                  <w:pPr>
                    <w:tabs>
                      <w:tab w:val="center" w:pos="4513"/>
                      <w:tab w:val="right" w:pos="9026"/>
                    </w:tabs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 xml:space="preserve">Germany </w:t>
                  </w:r>
                </w:p>
              </w:tc>
              <w:tc>
                <w:tcPr>
                  <w:tcW w:w="4961" w:type="dxa"/>
                </w:tcPr>
                <w:p w:rsidR="00190B30" w:rsidRPr="00241050" w:rsidRDefault="00190B30" w:rsidP="00190B30">
                  <w:pPr>
                    <w:ind w:left="743"/>
                    <w:rPr>
                      <w:rFonts w:eastAsia="SimSu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41050">
                    <w:rPr>
                      <w:rFonts w:eastAsia="SimSun"/>
                      <w:sz w:val="20"/>
                      <w:szCs w:val="20"/>
                      <w:u w:val="single"/>
                      <w:lang w:val="en-GB"/>
                    </w:rPr>
                    <w:t>Informal document</w:t>
                  </w: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 xml:space="preserve"> </w:t>
                  </w:r>
                  <w:r w:rsidRPr="00241050">
                    <w:rPr>
                      <w:rFonts w:eastAsia="SimSun"/>
                      <w:b/>
                      <w:bCs/>
                      <w:sz w:val="20"/>
                      <w:szCs w:val="20"/>
                      <w:lang w:val="en-GB"/>
                    </w:rPr>
                    <w:t>GRSG-116-0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GB"/>
                    </w:rPr>
                    <w:t>5</w:t>
                  </w:r>
                  <w:r w:rsidR="0075227D" w:rsidRPr="0075227D">
                    <w:rPr>
                      <w:rFonts w:eastAsia="SimSun"/>
                      <w:b/>
                      <w:bCs/>
                      <w:color w:val="FF0000"/>
                      <w:sz w:val="20"/>
                      <w:szCs w:val="20"/>
                      <w:lang w:val="en-GB"/>
                    </w:rPr>
                    <w:t>-Rev.1</w:t>
                  </w:r>
                </w:p>
                <w:p w:rsidR="00190B30" w:rsidRPr="00241050" w:rsidRDefault="00190B30" w:rsidP="00190B30">
                  <w:pPr>
                    <w:tabs>
                      <w:tab w:val="center" w:pos="4513"/>
                      <w:tab w:val="right" w:pos="9026"/>
                    </w:tabs>
                    <w:ind w:left="743"/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>(116th GRSG, 1-5 April 2019</w:t>
                  </w:r>
                </w:p>
                <w:p w:rsidR="00190B30" w:rsidRPr="00241050" w:rsidRDefault="00190B30" w:rsidP="00190B30">
                  <w:pPr>
                    <w:tabs>
                      <w:tab w:val="center" w:pos="4513"/>
                      <w:tab w:val="right" w:pos="9026"/>
                    </w:tabs>
                    <w:ind w:left="743"/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 xml:space="preserve">Agenda item </w:t>
                  </w:r>
                  <w:r w:rsidR="001B7FC5">
                    <w:rPr>
                      <w:rFonts w:eastAsia="SimSun"/>
                      <w:sz w:val="20"/>
                      <w:szCs w:val="20"/>
                      <w:lang w:val="en-GB"/>
                    </w:rPr>
                    <w:t>9</w:t>
                  </w: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>(a))</w:t>
                  </w:r>
                </w:p>
              </w:tc>
            </w:tr>
          </w:tbl>
          <w:p w:rsidR="00190B30" w:rsidRDefault="00190B30" w:rsidP="00190B30"/>
        </w:tc>
        <w:tc>
          <w:tcPr>
            <w:tcW w:w="4960" w:type="dxa"/>
            <w:shd w:val="clear" w:color="auto" w:fill="auto"/>
          </w:tcPr>
          <w:p w:rsidR="00190B30" w:rsidRDefault="00190B30" w:rsidP="00190B30"/>
        </w:tc>
      </w:tr>
    </w:tbl>
    <w:p w:rsidR="00CA1DD3" w:rsidRPr="00C25E7B" w:rsidRDefault="00CA1DD3" w:rsidP="00C870EB">
      <w:pPr>
        <w:pStyle w:val="HChG"/>
        <w:tabs>
          <w:tab w:val="left" w:pos="708"/>
        </w:tabs>
        <w:spacing w:before="0" w:after="0" w:line="240" w:lineRule="auto"/>
        <w:ind w:left="0" w:firstLine="0"/>
        <w:jc w:val="center"/>
        <w:rPr>
          <w:sz w:val="26"/>
          <w:szCs w:val="26"/>
          <w:lang w:val="de-DE"/>
        </w:rPr>
      </w:pPr>
    </w:p>
    <w:p w:rsidR="00902C94" w:rsidRDefault="00987B1B" w:rsidP="00C870EB">
      <w:pPr>
        <w:pStyle w:val="HChG"/>
        <w:tabs>
          <w:tab w:val="left" w:pos="708"/>
        </w:tabs>
        <w:spacing w:before="0" w:after="0"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Proposal for </w:t>
      </w:r>
      <w:r w:rsidR="000E5D01">
        <w:rPr>
          <w:sz w:val="26"/>
          <w:szCs w:val="26"/>
        </w:rPr>
        <w:t xml:space="preserve">Supplement </w:t>
      </w:r>
      <w:r w:rsidR="009B1CEF" w:rsidRPr="009B1CEF">
        <w:rPr>
          <w:color w:val="FF0000"/>
          <w:sz w:val="26"/>
          <w:szCs w:val="26"/>
        </w:rPr>
        <w:t>2</w:t>
      </w:r>
      <w:r w:rsidR="000E5D01">
        <w:rPr>
          <w:sz w:val="26"/>
          <w:szCs w:val="26"/>
        </w:rPr>
        <w:t xml:space="preserve"> to the 02 series of amendments </w:t>
      </w:r>
      <w:r w:rsidR="00822245">
        <w:rPr>
          <w:sz w:val="26"/>
          <w:szCs w:val="26"/>
        </w:rPr>
        <w:t xml:space="preserve">of                                   </w:t>
      </w:r>
      <w:r w:rsidR="000E5D01">
        <w:rPr>
          <w:sz w:val="26"/>
          <w:szCs w:val="26"/>
        </w:rPr>
        <w:t xml:space="preserve"> </w:t>
      </w:r>
      <w:r w:rsidR="00C870EB">
        <w:rPr>
          <w:sz w:val="26"/>
          <w:szCs w:val="26"/>
        </w:rPr>
        <w:t xml:space="preserve">UN </w:t>
      </w:r>
      <w:r w:rsidR="000E5D01">
        <w:rPr>
          <w:sz w:val="26"/>
          <w:szCs w:val="26"/>
        </w:rPr>
        <w:t>R</w:t>
      </w:r>
      <w:r w:rsidR="00C870EB">
        <w:rPr>
          <w:sz w:val="26"/>
          <w:szCs w:val="26"/>
        </w:rPr>
        <w:t xml:space="preserve">egulation No. </w:t>
      </w:r>
      <w:r w:rsidR="00FB34EF">
        <w:rPr>
          <w:sz w:val="26"/>
          <w:szCs w:val="26"/>
        </w:rPr>
        <w:t>67</w:t>
      </w:r>
    </w:p>
    <w:p w:rsidR="00987B1B" w:rsidRDefault="00987B1B" w:rsidP="00C870EB">
      <w:pPr>
        <w:pStyle w:val="HChG"/>
        <w:tabs>
          <w:tab w:val="left" w:pos="708"/>
        </w:tabs>
        <w:spacing w:before="0" w:after="0" w:line="240" w:lineRule="auto"/>
        <w:ind w:left="0" w:firstLine="0"/>
        <w:jc w:val="center"/>
        <w:rPr>
          <w:sz w:val="26"/>
          <w:szCs w:val="26"/>
        </w:rPr>
      </w:pPr>
      <w:r>
        <w:rPr>
          <w:rFonts w:ascii="TimesNewRoman" w:hAnsi="TimesNewRoman" w:cs="TimesNewRoman"/>
          <w:sz w:val="23"/>
          <w:szCs w:val="23"/>
          <w:lang w:val="en-US" w:eastAsia="fr-FR"/>
        </w:rPr>
        <w:t>(</w:t>
      </w:r>
      <w:r w:rsidR="00CA1DD3" w:rsidRPr="00CA1DD3">
        <w:rPr>
          <w:rFonts w:ascii="Calibri" w:eastAsia="Calibri" w:hAnsi="Calibri"/>
          <w:bCs/>
          <w:color w:val="auto"/>
          <w:sz w:val="22"/>
          <w:szCs w:val="22"/>
          <w:lang w:val="en-US"/>
        </w:rPr>
        <w:t>Part I Approval of specific equipment</w:t>
      </w:r>
      <w:r w:rsidR="00CA1DD3">
        <w:rPr>
          <w:rFonts w:ascii="Calibri" w:eastAsia="Calibri" w:hAnsi="Calibri"/>
          <w:bCs/>
          <w:color w:val="auto"/>
          <w:sz w:val="22"/>
          <w:szCs w:val="22"/>
          <w:lang w:val="en-US"/>
        </w:rPr>
        <w:t xml:space="preserve"> /</w:t>
      </w:r>
      <w:r w:rsidR="00CA1DD3" w:rsidRPr="00CA1DD3">
        <w:rPr>
          <w:rFonts w:ascii="Calibri" w:eastAsia="Calibri" w:hAnsi="Calibri"/>
          <w:bCs/>
          <w:color w:val="auto"/>
          <w:sz w:val="22"/>
          <w:szCs w:val="22"/>
          <w:lang w:val="en-US"/>
        </w:rPr>
        <w:t xml:space="preserve"> Part II Approval of vehicles</w:t>
      </w:r>
      <w:r>
        <w:rPr>
          <w:rFonts w:ascii="TimesNewRoman" w:hAnsi="TimesNewRoman" w:cs="TimesNewRoman"/>
          <w:sz w:val="23"/>
          <w:szCs w:val="23"/>
          <w:lang w:val="en-US" w:eastAsia="fr-FR"/>
        </w:rPr>
        <w:t>)</w:t>
      </w:r>
    </w:p>
    <w:p w:rsidR="00902C94" w:rsidRPr="00A56C94" w:rsidRDefault="00902C94" w:rsidP="00987B1B">
      <w:pPr>
        <w:ind w:right="1134"/>
        <w:jc w:val="both"/>
        <w:rPr>
          <w:sz w:val="20"/>
          <w:szCs w:val="20"/>
          <w:lang w:val="en-US"/>
        </w:rPr>
      </w:pPr>
    </w:p>
    <w:p w:rsidR="00CA1DD3" w:rsidRPr="00C25E7B" w:rsidRDefault="00F736B7" w:rsidP="00822245">
      <w:pPr>
        <w:pStyle w:val="BodyText"/>
        <w:spacing w:line="235" w:lineRule="auto"/>
        <w:ind w:right="1"/>
        <w:rPr>
          <w:rFonts w:ascii="Arial" w:hAnsi="Arial" w:cs="Arial"/>
          <w:sz w:val="22"/>
          <w:szCs w:val="22"/>
          <w:lang w:val="en-US"/>
        </w:rPr>
      </w:pPr>
      <w:r w:rsidRPr="00190B30">
        <w:rPr>
          <w:rFonts w:ascii="Arial" w:hAnsi="Arial" w:cs="Arial"/>
          <w:sz w:val="22"/>
          <w:szCs w:val="22"/>
          <w:lang w:val="en-GB"/>
        </w:rPr>
        <w:t xml:space="preserve">The text reproduced below was prepared by the expert from </w:t>
      </w:r>
      <w:r w:rsidRPr="00822245">
        <w:rPr>
          <w:rFonts w:ascii="Arial" w:hAnsi="Arial" w:cs="Arial"/>
          <w:sz w:val="22"/>
          <w:szCs w:val="22"/>
          <w:lang w:val="en-US"/>
        </w:rPr>
        <w:t>Germany</w:t>
      </w:r>
      <w:r w:rsidRPr="00190B30">
        <w:rPr>
          <w:rFonts w:ascii="Arial" w:hAnsi="Arial" w:cs="Arial"/>
          <w:sz w:val="22"/>
          <w:szCs w:val="22"/>
          <w:lang w:val="en-GB"/>
        </w:rPr>
        <w:t>. It is based on informal document GRSG-112-</w:t>
      </w:r>
      <w:r w:rsidRPr="00822245">
        <w:rPr>
          <w:rFonts w:ascii="Arial" w:hAnsi="Arial" w:cs="Arial"/>
          <w:sz w:val="22"/>
          <w:szCs w:val="22"/>
          <w:lang w:val="en-US"/>
        </w:rPr>
        <w:t xml:space="preserve">31, working document </w:t>
      </w:r>
      <w:r w:rsidR="00822245" w:rsidRPr="00190B30">
        <w:rPr>
          <w:rFonts w:ascii="Arial" w:hAnsi="Arial" w:cs="Arial"/>
          <w:sz w:val="22"/>
          <w:szCs w:val="22"/>
          <w:lang w:val="en-GB"/>
        </w:rPr>
        <w:t>GRSG/2017/16</w:t>
      </w:r>
      <w:r w:rsidRPr="00822245">
        <w:rPr>
          <w:rFonts w:ascii="Arial" w:hAnsi="Arial" w:cs="Arial"/>
          <w:sz w:val="22"/>
          <w:szCs w:val="22"/>
          <w:lang w:val="en-US"/>
        </w:rPr>
        <w:t xml:space="preserve"> and the discussions </w:t>
      </w:r>
      <w:r w:rsidR="00491C5D">
        <w:rPr>
          <w:rFonts w:ascii="Arial" w:hAnsi="Arial" w:cs="Arial"/>
          <w:sz w:val="22"/>
          <w:szCs w:val="22"/>
          <w:lang w:val="en-US"/>
        </w:rPr>
        <w:t>during two meetings of a T</w:t>
      </w:r>
      <w:r w:rsidRPr="00822245">
        <w:rPr>
          <w:rFonts w:ascii="Arial" w:hAnsi="Arial" w:cs="Arial"/>
          <w:sz w:val="22"/>
          <w:szCs w:val="22"/>
          <w:lang w:val="en-US"/>
        </w:rPr>
        <w:t xml:space="preserve">ask Force </w:t>
      </w:r>
      <w:r w:rsidR="00822245">
        <w:rPr>
          <w:rFonts w:ascii="Arial" w:hAnsi="Arial" w:cs="Arial"/>
          <w:sz w:val="22"/>
          <w:szCs w:val="22"/>
          <w:lang w:val="en-US"/>
        </w:rPr>
        <w:t xml:space="preserve">as </w:t>
      </w:r>
      <w:r w:rsidRPr="00822245">
        <w:rPr>
          <w:rFonts w:ascii="Arial" w:hAnsi="Arial" w:cs="Arial"/>
          <w:sz w:val="22"/>
          <w:szCs w:val="22"/>
          <w:lang w:val="en-US"/>
        </w:rPr>
        <w:t>described in informal document</w:t>
      </w:r>
      <w:r w:rsidR="00491C5D">
        <w:rPr>
          <w:rFonts w:ascii="Arial" w:hAnsi="Arial" w:cs="Arial"/>
          <w:sz w:val="22"/>
          <w:szCs w:val="22"/>
          <w:lang w:val="en-US"/>
        </w:rPr>
        <w:t>s</w:t>
      </w:r>
      <w:r w:rsidRPr="00822245">
        <w:rPr>
          <w:rFonts w:ascii="Arial" w:hAnsi="Arial" w:cs="Arial"/>
          <w:sz w:val="22"/>
          <w:szCs w:val="22"/>
          <w:lang w:val="en-US"/>
        </w:rPr>
        <w:t xml:space="preserve"> GRSG</w:t>
      </w:r>
      <w:r w:rsidRPr="00190B30">
        <w:rPr>
          <w:rFonts w:ascii="Arial" w:hAnsi="Arial" w:cs="Arial"/>
          <w:sz w:val="22"/>
          <w:szCs w:val="22"/>
          <w:lang w:val="en-GB"/>
        </w:rPr>
        <w:t>-11</w:t>
      </w:r>
      <w:r w:rsidRPr="00822245">
        <w:rPr>
          <w:rFonts w:ascii="Arial" w:hAnsi="Arial" w:cs="Arial"/>
          <w:sz w:val="22"/>
          <w:szCs w:val="22"/>
          <w:lang w:val="en-US"/>
        </w:rPr>
        <w:t>4</w:t>
      </w:r>
      <w:r w:rsidRPr="00190B30">
        <w:rPr>
          <w:rFonts w:ascii="Arial" w:hAnsi="Arial" w:cs="Arial"/>
          <w:sz w:val="22"/>
          <w:szCs w:val="22"/>
          <w:lang w:val="en-GB"/>
        </w:rPr>
        <w:t>-</w:t>
      </w:r>
      <w:r w:rsidRPr="00822245">
        <w:rPr>
          <w:rFonts w:ascii="Arial" w:hAnsi="Arial" w:cs="Arial"/>
          <w:sz w:val="22"/>
          <w:szCs w:val="22"/>
          <w:lang w:val="en-US"/>
        </w:rPr>
        <w:t>08</w:t>
      </w:r>
      <w:r w:rsidR="003A1008">
        <w:rPr>
          <w:rFonts w:ascii="Arial" w:hAnsi="Arial" w:cs="Arial"/>
          <w:sz w:val="22"/>
          <w:szCs w:val="22"/>
          <w:lang w:val="en-US"/>
        </w:rPr>
        <w:t xml:space="preserve"> and GRSG-115-05</w:t>
      </w:r>
      <w:r w:rsidRPr="00822245">
        <w:rPr>
          <w:rFonts w:ascii="Arial" w:hAnsi="Arial" w:cs="Arial"/>
          <w:sz w:val="22"/>
          <w:szCs w:val="22"/>
          <w:lang w:val="en-US"/>
        </w:rPr>
        <w:t>.</w:t>
      </w:r>
      <w:r w:rsidRPr="00190B3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F3C86" w:rsidRPr="00822245" w:rsidRDefault="007F3C86" w:rsidP="00822245">
      <w:pPr>
        <w:pStyle w:val="BodyText"/>
        <w:spacing w:line="235" w:lineRule="auto"/>
        <w:ind w:right="1"/>
        <w:rPr>
          <w:rFonts w:ascii="Arial" w:hAnsi="Arial" w:cs="Arial"/>
          <w:color w:val="auto"/>
          <w:sz w:val="22"/>
          <w:szCs w:val="22"/>
          <w:lang w:val="en-GB"/>
        </w:rPr>
      </w:pPr>
      <w:r w:rsidRPr="00822245">
        <w:rPr>
          <w:rFonts w:ascii="Arial" w:hAnsi="Arial" w:cs="Arial"/>
          <w:color w:val="auto"/>
          <w:sz w:val="22"/>
          <w:szCs w:val="22"/>
          <w:lang w:val="en-GB"/>
        </w:rPr>
        <w:t xml:space="preserve">The modifications to the current text of UN Regulation No. </w:t>
      </w:r>
      <w:r w:rsidR="00AC5277" w:rsidRPr="00822245">
        <w:rPr>
          <w:rFonts w:ascii="Arial" w:hAnsi="Arial" w:cs="Arial"/>
          <w:color w:val="auto"/>
          <w:sz w:val="22"/>
          <w:szCs w:val="22"/>
          <w:lang w:val="en-GB"/>
        </w:rPr>
        <w:t>67</w:t>
      </w:r>
      <w:r w:rsidRPr="00822245">
        <w:rPr>
          <w:rFonts w:ascii="Arial" w:hAnsi="Arial" w:cs="Arial"/>
          <w:color w:val="auto"/>
          <w:sz w:val="22"/>
          <w:szCs w:val="22"/>
          <w:lang w:val="en-GB"/>
        </w:rPr>
        <w:t xml:space="preserve"> are marked in </w:t>
      </w:r>
      <w:r w:rsidR="00383DAD" w:rsidRPr="00822245">
        <w:rPr>
          <w:rFonts w:ascii="Arial" w:hAnsi="Arial" w:cs="Arial"/>
          <w:color w:val="auto"/>
          <w:sz w:val="22"/>
          <w:szCs w:val="22"/>
          <w:lang w:val="en-GB" w:eastAsia="en-US"/>
        </w:rPr>
        <w:t>bold for new characters.</w:t>
      </w:r>
      <w:bookmarkStart w:id="0" w:name="_GoBack"/>
      <w:bookmarkEnd w:id="0"/>
    </w:p>
    <w:p w:rsidR="0066141B" w:rsidRPr="00A56C94" w:rsidRDefault="0066141B" w:rsidP="00987B1B">
      <w:pPr>
        <w:ind w:right="1134"/>
        <w:jc w:val="both"/>
        <w:rPr>
          <w:sz w:val="20"/>
          <w:szCs w:val="20"/>
          <w:lang w:val="en-GB"/>
        </w:rPr>
      </w:pPr>
    </w:p>
    <w:p w:rsidR="00D11958" w:rsidRPr="001B7FC5" w:rsidRDefault="00A00013" w:rsidP="00A56C94">
      <w:pPr>
        <w:tabs>
          <w:tab w:val="left" w:pos="1134"/>
        </w:tabs>
        <w:spacing w:before="24"/>
        <w:ind w:right="6840"/>
        <w:rPr>
          <w:rFonts w:ascii="Arial" w:hAnsi="Arial" w:cs="Arial"/>
          <w:lang w:val="en-GB"/>
        </w:rPr>
      </w:pPr>
      <w:r w:rsidRPr="001B7FC5">
        <w:rPr>
          <w:b/>
          <w:bCs/>
          <w:spacing w:val="1"/>
          <w:lang w:val="en-GB"/>
        </w:rPr>
        <w:t>I</w:t>
      </w:r>
      <w:r w:rsidRPr="001B7FC5">
        <w:rPr>
          <w:b/>
          <w:bCs/>
          <w:lang w:val="en-GB"/>
        </w:rPr>
        <w:t>.</w:t>
      </w:r>
      <w:r w:rsidRPr="001B7FC5">
        <w:rPr>
          <w:b/>
          <w:bCs/>
          <w:lang w:val="en-GB"/>
        </w:rPr>
        <w:tab/>
        <w:t>Pr</w:t>
      </w:r>
      <w:r w:rsidRPr="001B7FC5">
        <w:rPr>
          <w:b/>
          <w:bCs/>
          <w:spacing w:val="1"/>
          <w:lang w:val="en-GB"/>
        </w:rPr>
        <w:t>o</w:t>
      </w:r>
      <w:r w:rsidRPr="001B7FC5">
        <w:rPr>
          <w:b/>
          <w:bCs/>
          <w:lang w:val="en-GB"/>
        </w:rPr>
        <w:t>pos</w:t>
      </w:r>
      <w:r w:rsidRPr="001B7FC5">
        <w:rPr>
          <w:b/>
          <w:bCs/>
          <w:spacing w:val="1"/>
          <w:lang w:val="en-GB"/>
        </w:rPr>
        <w:t>a</w:t>
      </w:r>
      <w:r w:rsidRPr="001B7FC5">
        <w:rPr>
          <w:b/>
          <w:bCs/>
          <w:lang w:val="en-GB"/>
        </w:rPr>
        <w:t>l</w:t>
      </w:r>
    </w:p>
    <w:p w:rsidR="00816DEA" w:rsidRPr="00A56C94" w:rsidRDefault="00816DEA" w:rsidP="00C870EB">
      <w:pPr>
        <w:tabs>
          <w:tab w:val="left" w:pos="851"/>
        </w:tabs>
        <w:ind w:right="1134"/>
        <w:jc w:val="both"/>
        <w:rPr>
          <w:i/>
          <w:color w:val="000000" w:themeColor="text1"/>
          <w:sz w:val="20"/>
          <w:szCs w:val="20"/>
          <w:lang w:val="en-GB"/>
        </w:rPr>
      </w:pPr>
    </w:p>
    <w:p w:rsidR="00E05A69" w:rsidRPr="00CC69CC" w:rsidRDefault="00E05A69" w:rsidP="00E05A69">
      <w:pPr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</w:pPr>
      <w:r w:rsidRPr="00CC69CC"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  <w:t xml:space="preserve">Add a new paragraph </w:t>
      </w:r>
      <w:r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  <w:t>11.6. to the transitional Provisions regarding components</w:t>
      </w:r>
      <w:r w:rsidRPr="00CC69CC"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  <w:t xml:space="preserve"> to read:</w:t>
      </w:r>
    </w:p>
    <w:p w:rsidR="00E05A69" w:rsidRDefault="00E05A69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AD27F4" w:rsidRPr="00AD27F4" w:rsidRDefault="00E05A69" w:rsidP="00AD27F4">
      <w:pPr>
        <w:ind w:left="709" w:hanging="709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190B30">
        <w:rPr>
          <w:rFonts w:ascii="Arial" w:hAnsi="Arial" w:cs="Arial"/>
          <w:b/>
          <w:sz w:val="22"/>
          <w:szCs w:val="22"/>
          <w:lang w:val="en-GB"/>
        </w:rPr>
        <w:t>11.</w:t>
      </w:r>
      <w:r w:rsidRPr="00E05A69">
        <w:rPr>
          <w:rFonts w:ascii="Arial" w:hAnsi="Arial" w:cs="Arial"/>
          <w:b/>
          <w:sz w:val="22"/>
          <w:szCs w:val="22"/>
          <w:lang w:val="en-US"/>
        </w:rPr>
        <w:t>6</w:t>
      </w:r>
      <w:r w:rsidRPr="00190B30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Pr="00E05A69">
        <w:rPr>
          <w:rFonts w:ascii="Arial" w:hAnsi="Arial" w:cs="Arial"/>
          <w:b/>
          <w:sz w:val="22"/>
          <w:szCs w:val="22"/>
          <w:lang w:val="en-US"/>
        </w:rPr>
        <w:tab/>
      </w:r>
      <w:r w:rsidRPr="00BA6419">
        <w:rPr>
          <w:rFonts w:ascii="Arial" w:hAnsi="Arial" w:cs="Arial"/>
          <w:b/>
          <w:strike/>
          <w:sz w:val="22"/>
          <w:szCs w:val="22"/>
          <w:lang w:val="en-GB"/>
        </w:rPr>
        <w:t>Upon the expiration of a period of 12 months after the date of entry into force of the 0</w:t>
      </w:r>
      <w:r w:rsidRPr="00BA6419">
        <w:rPr>
          <w:rFonts w:ascii="Arial" w:hAnsi="Arial" w:cs="Arial"/>
          <w:b/>
          <w:strike/>
          <w:sz w:val="22"/>
          <w:szCs w:val="22"/>
          <w:lang w:val="en-US"/>
        </w:rPr>
        <w:t>2</w:t>
      </w:r>
      <w:r w:rsidRPr="00BA6419">
        <w:rPr>
          <w:rFonts w:ascii="Arial" w:hAnsi="Arial" w:cs="Arial"/>
          <w:b/>
          <w:strike/>
          <w:sz w:val="22"/>
          <w:szCs w:val="22"/>
          <w:lang w:val="en-GB"/>
        </w:rPr>
        <w:t xml:space="preserve"> series of amendments,</w:t>
      </w:r>
      <w:r w:rsidRPr="00190B3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A6419" w:rsidRPr="00BA6419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As from 1 September 2022, </w:t>
      </w:r>
      <w:r w:rsidRPr="00190B30">
        <w:rPr>
          <w:rFonts w:ascii="Arial" w:hAnsi="Arial" w:cs="Arial"/>
          <w:b/>
          <w:sz w:val="22"/>
          <w:szCs w:val="22"/>
          <w:lang w:val="en-GB"/>
        </w:rPr>
        <w:t>Contracting Parties applying this Regulation may refuse the sale of a type of component which does not meet the requirements of the 0</w:t>
      </w:r>
      <w:r w:rsidRPr="00E05A69">
        <w:rPr>
          <w:rFonts w:ascii="Arial" w:hAnsi="Arial" w:cs="Arial"/>
          <w:b/>
          <w:sz w:val="22"/>
          <w:szCs w:val="22"/>
          <w:lang w:val="en-US"/>
        </w:rPr>
        <w:t>2</w:t>
      </w:r>
      <w:r w:rsidRPr="00190B30">
        <w:rPr>
          <w:rFonts w:ascii="Arial" w:hAnsi="Arial" w:cs="Arial"/>
          <w:b/>
          <w:sz w:val="22"/>
          <w:szCs w:val="22"/>
          <w:lang w:val="en-GB"/>
        </w:rPr>
        <w:t xml:space="preserve"> series of amendments to this Regulation, </w:t>
      </w:r>
      <w:r w:rsidR="00AD27F4" w:rsidRPr="00190B30">
        <w:rPr>
          <w:rFonts w:ascii="Arial" w:hAnsi="Arial" w:cs="Arial"/>
          <w:b/>
          <w:sz w:val="22"/>
          <w:szCs w:val="22"/>
          <w:lang w:val="en-GB"/>
        </w:rPr>
        <w:t>unless the component is intended as a replacement for fitting on vehicles in use.</w:t>
      </w:r>
    </w:p>
    <w:p w:rsidR="00E05A69" w:rsidRDefault="00E05A69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435371" w:rsidRDefault="00435371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0E5D01" w:rsidRPr="009151DF" w:rsidRDefault="000E5D01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9151D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Amend section 3 </w:t>
      </w:r>
      <w:r w:rsidR="002D045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of Annex 3 “Provisions regarding the approval of LPG container accessories” </w:t>
      </w:r>
      <w:r w:rsidRPr="009151DF">
        <w:rPr>
          <w:rFonts w:ascii="Arial" w:hAnsi="Arial" w:cs="Arial"/>
          <w:i/>
          <w:sz w:val="20"/>
          <w:szCs w:val="20"/>
          <w:u w:val="single"/>
          <w:lang w:val="en-US"/>
        </w:rPr>
        <w:t>to read:</w:t>
      </w:r>
    </w:p>
    <w:p w:rsidR="000E5D01" w:rsidRDefault="000E5D01" w:rsidP="000E5D01">
      <w:pPr>
        <w:rPr>
          <w:rFonts w:ascii="Arial" w:hAnsi="Arial" w:cs="Arial"/>
          <w:lang w:val="en-US"/>
        </w:rPr>
      </w:pPr>
    </w:p>
    <w:p w:rsidR="000E5D01" w:rsidRPr="006A098C" w:rsidRDefault="000E5D01" w:rsidP="007E13D3">
      <w:pPr>
        <w:ind w:left="705" w:hanging="705"/>
        <w:rPr>
          <w:rFonts w:ascii="Arial" w:hAnsi="Arial" w:cs="Arial"/>
          <w:b/>
          <w:lang w:val="en-US"/>
        </w:rPr>
      </w:pPr>
      <w:r w:rsidRPr="006A098C">
        <w:rPr>
          <w:rFonts w:ascii="Arial" w:hAnsi="Arial" w:cs="Arial"/>
          <w:lang w:val="en-US"/>
        </w:rPr>
        <w:t xml:space="preserve">3. </w:t>
      </w:r>
      <w:r w:rsidR="007E13D3">
        <w:rPr>
          <w:rFonts w:ascii="Arial" w:hAnsi="Arial" w:cs="Arial"/>
          <w:lang w:val="en-US"/>
        </w:rPr>
        <w:tab/>
      </w:r>
      <w:r w:rsidRPr="006A098C">
        <w:rPr>
          <w:rFonts w:ascii="Arial" w:hAnsi="Arial" w:cs="Arial"/>
          <w:lang w:val="en-US"/>
        </w:rPr>
        <w:t xml:space="preserve">Pressure relief valve (discharge valve) </w:t>
      </w:r>
      <w:r w:rsidRPr="006A098C">
        <w:rPr>
          <w:rFonts w:ascii="Arial" w:hAnsi="Arial" w:cs="Arial"/>
          <w:b/>
          <w:lang w:val="en-US"/>
        </w:rPr>
        <w:t>and components connecting the pressure relief valve with the gaseous phase</w:t>
      </w:r>
      <w:r>
        <w:rPr>
          <w:rFonts w:ascii="Arial" w:hAnsi="Arial" w:cs="Arial"/>
          <w:b/>
          <w:lang w:val="en-US"/>
        </w:rPr>
        <w:t xml:space="preserve"> inside the LPG container </w:t>
      </w:r>
    </w:p>
    <w:p w:rsidR="000E5D01" w:rsidRPr="006A098C" w:rsidRDefault="000E5D01" w:rsidP="000E5D01">
      <w:pPr>
        <w:rPr>
          <w:rFonts w:ascii="Arial" w:hAnsi="Arial" w:cs="Arial"/>
          <w:lang w:val="en-US"/>
        </w:rPr>
      </w:pPr>
    </w:p>
    <w:p w:rsidR="000E5D01" w:rsidRPr="006A098C" w:rsidRDefault="000E5D01" w:rsidP="000E5D01">
      <w:pPr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 xml:space="preserve">3.6. </w:t>
      </w:r>
      <w:r w:rsidR="007E13D3">
        <w:rPr>
          <w:rFonts w:ascii="Arial" w:hAnsi="Arial" w:cs="Arial"/>
          <w:lang w:val="en-US"/>
        </w:rPr>
        <w:tab/>
      </w:r>
      <w:r w:rsidRPr="006A098C">
        <w:rPr>
          <w:rFonts w:ascii="Arial" w:hAnsi="Arial" w:cs="Arial"/>
          <w:lang w:val="en-US"/>
        </w:rPr>
        <w:t xml:space="preserve">Applicable test procedures: </w:t>
      </w:r>
    </w:p>
    <w:p w:rsidR="000E5D01" w:rsidRPr="006A098C" w:rsidRDefault="000E5D01" w:rsidP="007E13D3">
      <w:pPr>
        <w:ind w:firstLine="709"/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>Overpressure test Annex 15, para. 4</w:t>
      </w:r>
    </w:p>
    <w:p w:rsidR="000E5D01" w:rsidRPr="00BE3085" w:rsidRDefault="000E5D01" w:rsidP="007E13D3">
      <w:pPr>
        <w:ind w:firstLine="709"/>
        <w:rPr>
          <w:rFonts w:ascii="Arial" w:hAnsi="Arial" w:cs="Arial"/>
          <w:lang w:val="en-US"/>
        </w:rPr>
      </w:pPr>
      <w:r w:rsidRPr="00BE3085">
        <w:rPr>
          <w:rFonts w:ascii="Arial" w:hAnsi="Arial" w:cs="Arial"/>
          <w:lang w:val="en-US"/>
        </w:rPr>
        <w:t>[...]</w:t>
      </w:r>
    </w:p>
    <w:p w:rsidR="000E5D01" w:rsidRPr="00BE3085" w:rsidRDefault="000E5D01" w:rsidP="007E13D3">
      <w:pPr>
        <w:ind w:firstLine="709"/>
        <w:rPr>
          <w:rFonts w:ascii="Arial" w:hAnsi="Arial" w:cs="Arial"/>
          <w:lang w:val="en-US"/>
        </w:rPr>
      </w:pPr>
      <w:r w:rsidRPr="00BE3085">
        <w:rPr>
          <w:rFonts w:ascii="Arial" w:hAnsi="Arial" w:cs="Arial"/>
          <w:lang w:val="en-US"/>
        </w:rPr>
        <w:t>Temperature cycle Annex 15, para. 16 (**)</w:t>
      </w:r>
    </w:p>
    <w:p w:rsidR="000E5D01" w:rsidRPr="006A098C" w:rsidRDefault="000E5D01" w:rsidP="007E13D3">
      <w:pPr>
        <w:ind w:firstLine="709"/>
        <w:rPr>
          <w:rFonts w:ascii="Arial" w:hAnsi="Arial" w:cs="Arial"/>
          <w:b/>
          <w:lang w:val="en-US"/>
        </w:rPr>
      </w:pPr>
      <w:r w:rsidRPr="006A098C">
        <w:rPr>
          <w:rFonts w:ascii="Arial" w:hAnsi="Arial" w:cs="Arial"/>
          <w:b/>
          <w:lang w:val="en-US"/>
        </w:rPr>
        <w:t>Test on non-metallic material inside a container Annex 15, para. 18 (**)</w:t>
      </w:r>
    </w:p>
    <w:p w:rsidR="000E5D01" w:rsidRPr="006A098C" w:rsidRDefault="000E5D01" w:rsidP="000E5D01">
      <w:pPr>
        <w:rPr>
          <w:rFonts w:ascii="Arial" w:hAnsi="Arial" w:cs="Arial"/>
          <w:b/>
          <w:lang w:val="en-US"/>
        </w:rPr>
      </w:pP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>_______________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[...] 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(**) Only for non-metallic parts. 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[...] </w:t>
      </w:r>
    </w:p>
    <w:p w:rsidR="000E5D01" w:rsidRDefault="000E5D01" w:rsidP="000E5D01">
      <w:pPr>
        <w:rPr>
          <w:rFonts w:ascii="Arial" w:hAnsi="Arial" w:cs="Arial"/>
          <w:lang w:val="en-US"/>
        </w:rPr>
      </w:pPr>
    </w:p>
    <w:p w:rsidR="007E13D3" w:rsidRDefault="007E13D3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AD27F4" w:rsidRDefault="00AD27F4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0E5D01" w:rsidRDefault="000E5D01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9151D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Amend section 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>7</w:t>
      </w:r>
      <w:r w:rsidR="002D0457" w:rsidRPr="002D045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</w:t>
      </w:r>
      <w:r w:rsidR="002D0457">
        <w:rPr>
          <w:rFonts w:ascii="Arial" w:hAnsi="Arial" w:cs="Arial"/>
          <w:i/>
          <w:sz w:val="20"/>
          <w:szCs w:val="20"/>
          <w:u w:val="single"/>
          <w:lang w:val="en-US"/>
        </w:rPr>
        <w:t>of Annex 3 “Provisions regarding the approval of LPG container accessories</w:t>
      </w:r>
      <w:r w:rsidR="00CF0DD1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” </w:t>
      </w:r>
      <w:r w:rsidR="00CF0DD1" w:rsidRPr="009151DF">
        <w:rPr>
          <w:rFonts w:ascii="Arial" w:hAnsi="Arial" w:cs="Arial"/>
          <w:i/>
          <w:sz w:val="20"/>
          <w:szCs w:val="20"/>
          <w:u w:val="single"/>
          <w:lang w:val="en-US"/>
        </w:rPr>
        <w:t>to</w:t>
      </w:r>
      <w:r w:rsidRPr="009151D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read:</w:t>
      </w:r>
    </w:p>
    <w:p w:rsidR="000E5D01" w:rsidRPr="009151DF" w:rsidRDefault="000E5D01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0E5D01" w:rsidRPr="006A098C" w:rsidRDefault="000E5D01" w:rsidP="007E13D3">
      <w:pPr>
        <w:ind w:left="709" w:hanging="705"/>
        <w:rPr>
          <w:rFonts w:ascii="Arial" w:hAnsi="Arial" w:cs="Arial"/>
          <w:b/>
          <w:lang w:val="en-US"/>
        </w:rPr>
      </w:pPr>
      <w:r w:rsidRPr="006A098C">
        <w:rPr>
          <w:rFonts w:ascii="Arial" w:hAnsi="Arial" w:cs="Arial"/>
          <w:lang w:val="en-US"/>
        </w:rPr>
        <w:t xml:space="preserve">7. </w:t>
      </w:r>
      <w:r w:rsidR="007E13D3">
        <w:rPr>
          <w:rFonts w:ascii="Arial" w:hAnsi="Arial" w:cs="Arial"/>
          <w:lang w:val="en-US"/>
        </w:rPr>
        <w:tab/>
      </w:r>
      <w:r w:rsidRPr="006A098C">
        <w:rPr>
          <w:rFonts w:ascii="Arial" w:hAnsi="Arial" w:cs="Arial"/>
          <w:lang w:val="en-US"/>
        </w:rPr>
        <w:t>Provisions regarding the approval of the pressure relief device (fuse)</w:t>
      </w:r>
      <w:r w:rsidRPr="006A098C">
        <w:rPr>
          <w:rFonts w:ascii="Arial" w:hAnsi="Arial" w:cs="Arial"/>
          <w:b/>
          <w:lang w:val="en-US"/>
        </w:rPr>
        <w:t xml:space="preserve"> and components connecting the pressure relief device with the gaseous phase</w:t>
      </w:r>
      <w:r w:rsidRPr="009151D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inside the LPG container</w:t>
      </w:r>
    </w:p>
    <w:p w:rsidR="000E5D01" w:rsidRDefault="000E5D01" w:rsidP="000E5D01">
      <w:pPr>
        <w:rPr>
          <w:rFonts w:ascii="Arial" w:hAnsi="Arial" w:cs="Arial"/>
          <w:b/>
          <w:lang w:val="en-US"/>
        </w:rPr>
      </w:pPr>
    </w:p>
    <w:p w:rsidR="000E5D01" w:rsidRPr="006A098C" w:rsidRDefault="000E5D01" w:rsidP="000E5D01">
      <w:pPr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 xml:space="preserve">7.6. </w:t>
      </w:r>
      <w:r w:rsidR="007E13D3">
        <w:rPr>
          <w:rFonts w:ascii="Arial" w:hAnsi="Arial" w:cs="Arial"/>
          <w:lang w:val="en-US"/>
        </w:rPr>
        <w:tab/>
      </w:r>
      <w:r w:rsidRPr="006A098C">
        <w:rPr>
          <w:rFonts w:ascii="Arial" w:hAnsi="Arial" w:cs="Arial"/>
          <w:lang w:val="en-US"/>
        </w:rPr>
        <w:t xml:space="preserve">Test procedures to be applied: </w:t>
      </w:r>
    </w:p>
    <w:p w:rsidR="000E5D01" w:rsidRPr="006A098C" w:rsidRDefault="000E5D01" w:rsidP="007E13D3">
      <w:pPr>
        <w:ind w:firstLine="709"/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>Overpressure test Annex 15, para. 4</w:t>
      </w:r>
    </w:p>
    <w:p w:rsidR="000E5D01" w:rsidRPr="006A098C" w:rsidRDefault="000E5D01" w:rsidP="00210645">
      <w:pPr>
        <w:ind w:firstLine="709"/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>[...]</w:t>
      </w:r>
    </w:p>
    <w:p w:rsidR="000E5D01" w:rsidRPr="00BE3085" w:rsidRDefault="000E5D01" w:rsidP="007E13D3">
      <w:pPr>
        <w:ind w:firstLine="709"/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 xml:space="preserve">Temperature cycles Annex 15, para. </w:t>
      </w:r>
      <w:r w:rsidRPr="00BE3085">
        <w:rPr>
          <w:rFonts w:ascii="Arial" w:hAnsi="Arial" w:cs="Arial"/>
          <w:lang w:val="en-US"/>
        </w:rPr>
        <w:t>16 (**)</w:t>
      </w:r>
    </w:p>
    <w:p w:rsidR="000E5D01" w:rsidRPr="006A098C" w:rsidRDefault="000E5D01" w:rsidP="007E13D3">
      <w:pPr>
        <w:ind w:firstLine="709"/>
        <w:rPr>
          <w:rFonts w:ascii="Arial" w:hAnsi="Arial" w:cs="Arial"/>
          <w:b/>
          <w:lang w:val="en-US"/>
        </w:rPr>
      </w:pPr>
      <w:r w:rsidRPr="006A098C">
        <w:rPr>
          <w:rFonts w:ascii="Arial" w:hAnsi="Arial" w:cs="Arial"/>
          <w:b/>
          <w:lang w:val="en-US"/>
        </w:rPr>
        <w:t>Test on non-metallic material inside a container Annex 15, para. 18 (**)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>_______________</w:t>
      </w:r>
    </w:p>
    <w:p w:rsidR="000E5D01" w:rsidRPr="009151DF" w:rsidRDefault="000E5D01" w:rsidP="0066141B">
      <w:pPr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[...] 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(**) Only for non-metallic parts. 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[...] </w:t>
      </w:r>
    </w:p>
    <w:p w:rsidR="000E5D01" w:rsidRDefault="000E5D01" w:rsidP="000E5D01">
      <w:pPr>
        <w:rPr>
          <w:rFonts w:ascii="Arial" w:hAnsi="Arial" w:cs="Arial"/>
          <w:i/>
          <w:iCs/>
          <w:lang w:val="en-US"/>
        </w:rPr>
      </w:pPr>
    </w:p>
    <w:p w:rsidR="007E13D3" w:rsidRDefault="007E13D3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3A1008" w:rsidRPr="00CC69CC" w:rsidRDefault="003A1008" w:rsidP="003A1008">
      <w:pPr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</w:pPr>
      <w:r w:rsidRPr="00CC69CC"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  <w:t>Add a new paragraph 18. to Annex 15 “Test Procedures” to read:</w:t>
      </w:r>
    </w:p>
    <w:p w:rsidR="003A1008" w:rsidRPr="00CC69CC" w:rsidRDefault="003A1008" w:rsidP="003A1008">
      <w:pPr>
        <w:rPr>
          <w:rFonts w:ascii="Arial" w:hAnsi="Arial" w:cs="Arial"/>
          <w:i/>
          <w:iCs/>
          <w:color w:val="auto"/>
          <w:sz w:val="22"/>
          <w:szCs w:val="22"/>
          <w:lang w:val="en-US"/>
        </w:rPr>
      </w:pPr>
    </w:p>
    <w:p w:rsidR="003A1008" w:rsidRPr="00F01C01" w:rsidRDefault="003A1008" w:rsidP="003A1008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18. </w:t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ab/>
        <w:t xml:space="preserve">Test on non-metallic material inside a container </w:t>
      </w:r>
    </w:p>
    <w:p w:rsidR="003A1008" w:rsidRPr="00F01C01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F01C01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>All components connecting the pressure relief valve and/or the pressure relief device with the gaseous phase in the LPG container shall be tested using the following procedure.</w:t>
      </w:r>
    </w:p>
    <w:p w:rsidR="003A1008" w:rsidRPr="00F01C01" w:rsidRDefault="003A1008" w:rsidP="003A1008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E15CE4" w:rsidRPr="00AD27F4" w:rsidRDefault="003A1008" w:rsidP="003A1008">
      <w:pPr>
        <w:ind w:left="1416" w:firstLine="2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>The tests shall be carried out on two samples</w:t>
      </w:r>
      <w:r w:rsidR="00B734F9"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>, “a” and “b”</w:t>
      </w:r>
      <w:r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: </w:t>
      </w:r>
    </w:p>
    <w:p w:rsidR="00233906" w:rsidRDefault="003A1008" w:rsidP="003A1008">
      <w:pPr>
        <w:ind w:left="1416" w:firstLine="2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Sample </w:t>
      </w:r>
      <w:r w:rsidR="008E13AE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“a” </w:t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>shall be aged according 18.1</w:t>
      </w:r>
      <w:r w:rsidR="00233906">
        <w:rPr>
          <w:rFonts w:ascii="Arial" w:hAnsi="Arial" w:cs="Arial"/>
          <w:b/>
          <w:color w:val="auto"/>
          <w:sz w:val="22"/>
          <w:szCs w:val="22"/>
          <w:lang w:val="en-US"/>
        </w:rPr>
        <w:t>.1. or according 18.1.2.</w:t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</w:p>
    <w:p w:rsidR="00E15CE4" w:rsidRDefault="00C25E7B" w:rsidP="003A1008">
      <w:pPr>
        <w:ind w:left="1416" w:firstLine="2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The aged sample </w:t>
      </w:r>
      <w:r w:rsidR="00B734F9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“a” </w:t>
      </w:r>
      <w:r w:rsidR="003A1008"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>shall undergo the vibration test according 18.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>2</w:t>
      </w:r>
      <w:r w:rsidR="003A1008"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</w:p>
    <w:p w:rsidR="003A1008" w:rsidRPr="00F01C01" w:rsidRDefault="00B734F9" w:rsidP="003A1008">
      <w:pPr>
        <w:ind w:left="1416" w:firstLine="2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>The virgin s</w:t>
      </w:r>
      <w:r w:rsidR="003A1008"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ample </w:t>
      </w:r>
      <w:r w:rsidR="008E13AE">
        <w:rPr>
          <w:rFonts w:ascii="Arial" w:hAnsi="Arial" w:cs="Arial"/>
          <w:b/>
          <w:color w:val="auto"/>
          <w:sz w:val="22"/>
          <w:szCs w:val="22"/>
          <w:lang w:val="en-US"/>
        </w:rPr>
        <w:t>“b”</w:t>
      </w:r>
      <w:r w:rsidR="003A1008"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shall be used as a refer</w:t>
      </w:r>
      <w:r w:rsidR="0023390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ence for the </w:t>
      </w:r>
      <w:r w:rsidR="00CA1DD3"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flow test </w:t>
      </w:r>
      <w:r w:rsidR="00C25E7B">
        <w:rPr>
          <w:rFonts w:ascii="Arial" w:hAnsi="Arial" w:cs="Arial"/>
          <w:b/>
          <w:color w:val="auto"/>
          <w:sz w:val="22"/>
          <w:szCs w:val="22"/>
          <w:lang w:val="en-US"/>
        </w:rPr>
        <w:t>according 18.3</w:t>
      </w:r>
      <w:r w:rsidR="003A1008"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>.</w:t>
      </w:r>
    </w:p>
    <w:p w:rsidR="003A1008" w:rsidRPr="00F01C01" w:rsidRDefault="003A1008" w:rsidP="003A1008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18.1. </w:t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="00D5681D">
        <w:rPr>
          <w:rFonts w:ascii="Arial" w:hAnsi="Arial" w:cs="Arial"/>
          <w:b/>
          <w:color w:val="auto"/>
          <w:sz w:val="22"/>
          <w:szCs w:val="22"/>
          <w:lang w:val="en-US"/>
        </w:rPr>
        <w:t>Ag</w:t>
      </w:r>
      <w:r w:rsidR="00B734F9">
        <w:rPr>
          <w:rFonts w:ascii="Arial" w:hAnsi="Arial" w:cs="Arial"/>
          <w:b/>
          <w:color w:val="auto"/>
          <w:sz w:val="22"/>
          <w:szCs w:val="22"/>
          <w:lang w:val="en-US"/>
        </w:rPr>
        <w:t>e</w:t>
      </w:r>
      <w:r w:rsidR="00D5681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ing </w:t>
      </w:r>
      <w:r w:rsidR="001B2EA5">
        <w:rPr>
          <w:rFonts w:ascii="Arial" w:hAnsi="Arial" w:cs="Arial"/>
          <w:b/>
          <w:color w:val="auto"/>
          <w:sz w:val="22"/>
          <w:szCs w:val="22"/>
          <w:lang w:val="en-US"/>
        </w:rPr>
        <w:t>t</w:t>
      </w:r>
      <w:r w:rsidR="00550449">
        <w:rPr>
          <w:rFonts w:ascii="Arial" w:hAnsi="Arial" w:cs="Arial"/>
          <w:b/>
          <w:color w:val="auto"/>
          <w:sz w:val="22"/>
          <w:szCs w:val="22"/>
          <w:lang w:val="en-US"/>
        </w:rPr>
        <w:t>ests on s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ample </w:t>
      </w:r>
      <w:r w:rsidR="008E13AE">
        <w:rPr>
          <w:rFonts w:ascii="Arial" w:hAnsi="Arial" w:cs="Arial"/>
          <w:b/>
          <w:color w:val="auto"/>
          <w:sz w:val="22"/>
          <w:szCs w:val="22"/>
          <w:lang w:val="en-US"/>
        </w:rPr>
        <w:t>“a”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</w:p>
    <w:p w:rsidR="003A1008" w:rsidRPr="00491C5D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pStyle w:val="ListParagraph"/>
        <w:numPr>
          <w:ilvl w:val="2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Ag</w:t>
      </w:r>
      <w:r w:rsidR="00B734F9">
        <w:rPr>
          <w:rFonts w:ascii="Arial" w:hAnsi="Arial" w:cs="Arial"/>
          <w:b/>
          <w:color w:val="auto"/>
          <w:sz w:val="22"/>
          <w:szCs w:val="22"/>
          <w:lang w:val="en-US"/>
        </w:rPr>
        <w:t>e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ing procedure 1 </w:t>
      </w:r>
      <w:r w:rsidR="00FD5028">
        <w:rPr>
          <w:rFonts w:ascii="Arial" w:hAnsi="Arial" w:cs="Arial"/>
          <w:b/>
          <w:color w:val="auto"/>
          <w:sz w:val="22"/>
          <w:szCs w:val="22"/>
          <w:lang w:val="en-US"/>
        </w:rPr>
        <w:t>(</w:t>
      </w:r>
      <w:r w:rsidR="00137C39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component </w:t>
      </w:r>
      <w:r w:rsidR="00FD5028">
        <w:rPr>
          <w:rFonts w:ascii="Arial" w:hAnsi="Arial" w:cs="Arial"/>
          <w:b/>
          <w:color w:val="auto"/>
          <w:sz w:val="22"/>
          <w:szCs w:val="22"/>
          <w:lang w:val="en-US"/>
        </w:rPr>
        <w:t>disassembled)</w:t>
      </w:r>
    </w:p>
    <w:p w:rsidR="003A1008" w:rsidRPr="00491C5D" w:rsidRDefault="003A1008" w:rsidP="003A1008">
      <w:pPr>
        <w:pStyle w:val="ListParagraph"/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Disassemble, using instructions from the manufacturer</w:t>
      </w:r>
      <w:r w:rsidRPr="00491C5D">
        <w:rPr>
          <w:rFonts w:ascii="Arial" w:hAnsi="Arial" w:cs="Arial"/>
          <w:b/>
          <w:strike/>
          <w:color w:val="auto"/>
          <w:sz w:val="22"/>
          <w:szCs w:val="22"/>
          <w:lang w:val="en-US"/>
        </w:rPr>
        <w:t>,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all non-metallic materials from the component in contact with the liquid LPG</w:t>
      </w:r>
      <w:r w:rsidR="00AD27F4">
        <w:rPr>
          <w:rFonts w:ascii="Arial" w:hAnsi="Arial" w:cs="Arial"/>
          <w:b/>
          <w:color w:val="auto"/>
          <w:sz w:val="22"/>
          <w:szCs w:val="22"/>
          <w:lang w:val="en-US"/>
        </w:rPr>
        <w:t>.</w:t>
      </w:r>
    </w:p>
    <w:p w:rsidR="003A1008" w:rsidRPr="00491C5D" w:rsidRDefault="003A1008" w:rsidP="003A1008">
      <w:pPr>
        <w:pStyle w:val="ListParagraph"/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Age the non-metallic materials using the test description of annex 15 paragraph </w:t>
      </w:r>
      <w:proofErr w:type="gramStart"/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11.</w:t>
      </w:r>
      <w:r w:rsidR="001B2EA5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1 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Pr="003D2B9D">
        <w:rPr>
          <w:rFonts w:ascii="Arial" w:hAnsi="Arial" w:cs="Arial"/>
          <w:b/>
          <w:strike/>
          <w:color w:val="auto"/>
          <w:sz w:val="22"/>
          <w:szCs w:val="22"/>
          <w:lang w:val="en-US"/>
        </w:rPr>
        <w:t>[</w:t>
      </w:r>
      <w:proofErr w:type="gramEnd"/>
      <w:r w:rsidRPr="003D2B9D">
        <w:rPr>
          <w:rFonts w:ascii="Arial" w:hAnsi="Arial" w:cs="Arial"/>
          <w:b/>
          <w:strike/>
          <w:color w:val="auto"/>
          <w:sz w:val="22"/>
          <w:szCs w:val="22"/>
          <w:lang w:val="en-US"/>
        </w:rPr>
        <w:t>The n-Pentane used shall have an odorant concentration of 50 ppm</w:t>
      </w:r>
      <w:r w:rsidR="00AD27F4" w:rsidRPr="003D2B9D">
        <w:rPr>
          <w:rFonts w:ascii="Arial" w:hAnsi="Arial" w:cs="Arial"/>
          <w:b/>
          <w:strike/>
          <w:color w:val="auto"/>
          <w:sz w:val="22"/>
          <w:szCs w:val="22"/>
          <w:lang w:val="en-US"/>
        </w:rPr>
        <w:t xml:space="preserve"> </w:t>
      </w:r>
      <w:r w:rsidR="00AD27F4" w:rsidRPr="003D2B9D">
        <w:rPr>
          <w:rFonts w:ascii="Arial" w:hAnsi="Arial" w:cs="Arial"/>
          <w:b/>
          <w:strike/>
          <w:sz w:val="22"/>
          <w:szCs w:val="22"/>
          <w:lang w:val="en-GB"/>
        </w:rPr>
        <w:t xml:space="preserve">(± </w:t>
      </w:r>
      <w:r w:rsidR="00AD27F4" w:rsidRPr="003D2B9D">
        <w:rPr>
          <w:rFonts w:ascii="Arial" w:hAnsi="Arial" w:cs="Arial"/>
          <w:b/>
          <w:strike/>
          <w:sz w:val="22"/>
          <w:szCs w:val="22"/>
          <w:lang w:val="en-US"/>
        </w:rPr>
        <w:t>10%)</w:t>
      </w:r>
      <w:r w:rsidRPr="003D2B9D">
        <w:rPr>
          <w:rFonts w:ascii="Arial" w:hAnsi="Arial" w:cs="Arial"/>
          <w:b/>
          <w:strike/>
          <w:color w:val="auto"/>
          <w:sz w:val="22"/>
          <w:szCs w:val="22"/>
          <w:lang w:val="en-US"/>
        </w:rPr>
        <w:t>.]</w:t>
      </w:r>
    </w:p>
    <w:p w:rsidR="003A1008" w:rsidRPr="00491C5D" w:rsidRDefault="003A1008" w:rsidP="003A1008">
      <w:pPr>
        <w:pStyle w:val="ListParagraph"/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Check c</w:t>
      </w:r>
      <w:r w:rsidR="009758B7">
        <w:rPr>
          <w:rFonts w:ascii="Arial" w:hAnsi="Arial" w:cs="Arial"/>
          <w:b/>
          <w:color w:val="auto"/>
          <w:sz w:val="22"/>
          <w:szCs w:val="22"/>
          <w:lang w:val="en-US"/>
        </w:rPr>
        <w:t>ompliance to annex 15 paragraph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11.2</w:t>
      </w:r>
    </w:p>
    <w:p w:rsidR="003A1008" w:rsidRPr="00491C5D" w:rsidRDefault="003A1008" w:rsidP="003A1008">
      <w:pPr>
        <w:pStyle w:val="ListParagraph"/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501936" w:rsidP="003A100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>Rea</w:t>
      </w:r>
      <w:r w:rsidR="003A1008"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ssemble the aged </w:t>
      </w:r>
      <w:r w:rsidR="003A1008"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non-metallic materials to the component using the instructions from the manufacturer.</w:t>
      </w:r>
    </w:p>
    <w:p w:rsidR="003A1008" w:rsidRPr="00F01C01" w:rsidRDefault="003A1008" w:rsidP="003A1008">
      <w:pPr>
        <w:ind w:left="1418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</w:p>
    <w:p w:rsidR="00E15CE4" w:rsidRPr="00137C39" w:rsidRDefault="00033768" w:rsidP="00033768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550449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      </w:t>
      </w:r>
      <w:r w:rsidR="001B2EA5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3A1008" w:rsidRPr="00491C5D">
        <w:rPr>
          <w:rFonts w:ascii="Arial" w:hAnsi="Arial" w:cs="Arial"/>
          <w:b/>
          <w:color w:val="auto"/>
          <w:sz w:val="22"/>
          <w:szCs w:val="22"/>
          <w:lang w:val="de-DE"/>
        </w:rPr>
        <w:t>Ag</w:t>
      </w:r>
      <w:r w:rsidR="00501936">
        <w:rPr>
          <w:rFonts w:ascii="Arial" w:hAnsi="Arial" w:cs="Arial"/>
          <w:b/>
          <w:color w:val="auto"/>
          <w:sz w:val="22"/>
          <w:szCs w:val="22"/>
          <w:lang w:val="de-DE"/>
        </w:rPr>
        <w:t>e</w:t>
      </w:r>
      <w:r w:rsidR="003A1008" w:rsidRPr="00491C5D">
        <w:rPr>
          <w:rFonts w:ascii="Arial" w:hAnsi="Arial" w:cs="Arial"/>
          <w:b/>
          <w:color w:val="auto"/>
          <w:sz w:val="22"/>
          <w:szCs w:val="22"/>
          <w:lang w:val="de-DE"/>
        </w:rPr>
        <w:t>ing</w:t>
      </w:r>
      <w:proofErr w:type="spellEnd"/>
      <w:r w:rsidR="003A1008" w:rsidRPr="00491C5D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</w:t>
      </w:r>
      <w:proofErr w:type="spellStart"/>
      <w:r w:rsidR="003A1008" w:rsidRPr="00491C5D">
        <w:rPr>
          <w:rFonts w:ascii="Arial" w:hAnsi="Arial" w:cs="Arial"/>
          <w:b/>
          <w:color w:val="auto"/>
          <w:sz w:val="22"/>
          <w:szCs w:val="22"/>
          <w:lang w:val="de-DE"/>
        </w:rPr>
        <w:t>procedure</w:t>
      </w:r>
      <w:proofErr w:type="spellEnd"/>
      <w:r w:rsidR="003A1008" w:rsidRPr="00491C5D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2</w:t>
      </w:r>
      <w:r w:rsidR="003A1008" w:rsidRPr="00F01C01">
        <w:rPr>
          <w:rFonts w:ascii="Arial" w:hAnsi="Arial" w:cs="Arial"/>
          <w:b/>
          <w:i/>
          <w:color w:val="auto"/>
          <w:sz w:val="22"/>
          <w:szCs w:val="22"/>
          <w:lang w:val="de-DE"/>
        </w:rPr>
        <w:t xml:space="preserve"> </w:t>
      </w:r>
      <w:r w:rsidR="00FD5028" w:rsidRPr="00137C39">
        <w:rPr>
          <w:rFonts w:ascii="Arial" w:hAnsi="Arial" w:cs="Arial"/>
          <w:b/>
          <w:color w:val="auto"/>
          <w:sz w:val="22"/>
          <w:szCs w:val="22"/>
          <w:lang w:val="de-DE"/>
        </w:rPr>
        <w:t>(</w:t>
      </w:r>
      <w:r w:rsidR="00FD5028" w:rsidRPr="00137C39">
        <w:rPr>
          <w:rFonts w:ascii="Arial" w:hAnsi="Arial" w:cs="Arial"/>
          <w:b/>
          <w:color w:val="auto"/>
          <w:sz w:val="22"/>
          <w:szCs w:val="22"/>
          <w:lang w:val="en-US"/>
        </w:rPr>
        <w:t>entire component</w:t>
      </w:r>
      <w:r w:rsidR="00FD5028" w:rsidRPr="00137C39">
        <w:rPr>
          <w:rFonts w:ascii="Arial" w:hAnsi="Arial" w:cs="Arial"/>
          <w:b/>
          <w:color w:val="auto"/>
          <w:sz w:val="22"/>
          <w:szCs w:val="22"/>
          <w:lang w:val="de-DE"/>
        </w:rPr>
        <w:t>)</w:t>
      </w:r>
    </w:p>
    <w:p w:rsidR="003A1008" w:rsidRPr="00F01C01" w:rsidRDefault="003A1008" w:rsidP="003A1008">
      <w:pPr>
        <w:pStyle w:val="ListParagraph"/>
        <w:ind w:left="1418"/>
        <w:rPr>
          <w:rFonts w:ascii="Arial" w:hAnsi="Arial" w:cs="Arial"/>
          <w:b/>
          <w:i/>
          <w:color w:val="auto"/>
          <w:sz w:val="22"/>
          <w:szCs w:val="22"/>
          <w:lang w:val="de-DE"/>
        </w:rPr>
      </w:pPr>
    </w:p>
    <w:p w:rsidR="003A1008" w:rsidRDefault="003A1008" w:rsidP="00FD502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5028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Expose the entire component to n-Pentane according to annex 15 paragraph 11.1 </w:t>
      </w:r>
      <w:r w:rsidRPr="003D2B9D">
        <w:rPr>
          <w:rFonts w:ascii="Arial" w:hAnsi="Arial" w:cs="Arial"/>
          <w:b/>
          <w:strike/>
          <w:color w:val="auto"/>
          <w:sz w:val="22"/>
          <w:szCs w:val="22"/>
          <w:lang w:val="en-US"/>
        </w:rPr>
        <w:t>[The n-Pentane used shall have an odorant concentration of 50 ppm</w:t>
      </w:r>
      <w:r w:rsidR="00AD27F4" w:rsidRPr="003D2B9D">
        <w:rPr>
          <w:rFonts w:ascii="Arial" w:hAnsi="Arial" w:cs="Arial"/>
          <w:b/>
          <w:strike/>
          <w:color w:val="auto"/>
          <w:sz w:val="22"/>
          <w:szCs w:val="22"/>
          <w:lang w:val="en-US"/>
        </w:rPr>
        <w:t xml:space="preserve"> </w:t>
      </w:r>
      <w:r w:rsidR="00AD27F4" w:rsidRPr="003D2B9D">
        <w:rPr>
          <w:rFonts w:ascii="Arial" w:hAnsi="Arial" w:cs="Arial"/>
          <w:b/>
          <w:strike/>
          <w:sz w:val="22"/>
          <w:szCs w:val="22"/>
          <w:lang w:val="en-GB"/>
        </w:rPr>
        <w:t xml:space="preserve">(± </w:t>
      </w:r>
      <w:r w:rsidR="00AD27F4" w:rsidRPr="003D2B9D">
        <w:rPr>
          <w:rFonts w:ascii="Arial" w:hAnsi="Arial" w:cs="Arial"/>
          <w:b/>
          <w:strike/>
          <w:sz w:val="22"/>
          <w:szCs w:val="22"/>
          <w:lang w:val="en-US"/>
        </w:rPr>
        <w:t>10%)</w:t>
      </w:r>
      <w:r w:rsidRPr="003D2B9D">
        <w:rPr>
          <w:rFonts w:ascii="Arial" w:hAnsi="Arial" w:cs="Arial"/>
          <w:b/>
          <w:strike/>
          <w:color w:val="auto"/>
          <w:sz w:val="22"/>
          <w:szCs w:val="22"/>
          <w:lang w:val="en-US"/>
        </w:rPr>
        <w:t>.]</w:t>
      </w:r>
      <w:r w:rsidRPr="00FD5028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</w:p>
    <w:p w:rsidR="00FD5028" w:rsidRPr="00FD5028" w:rsidRDefault="00FD5028" w:rsidP="00FD5028">
      <w:pPr>
        <w:pStyle w:val="ListParagraph"/>
        <w:ind w:left="1080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FD5028" w:rsidRPr="00FD5028" w:rsidRDefault="00FD5028" w:rsidP="00FD502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Check compliance to </w:t>
      </w:r>
      <w:r w:rsidR="003A1008" w:rsidRPr="00FD5028">
        <w:rPr>
          <w:rFonts w:ascii="Arial" w:hAnsi="Arial" w:cs="Arial"/>
          <w:b/>
          <w:color w:val="auto"/>
          <w:sz w:val="22"/>
          <w:szCs w:val="22"/>
          <w:lang w:val="en-US"/>
        </w:rPr>
        <w:t>annex 15 Paragraph 11.2</w:t>
      </w:r>
    </w:p>
    <w:p w:rsidR="003A1008" w:rsidRPr="00491C5D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C25E7B">
      <w:pPr>
        <w:pStyle w:val="ListParagraph"/>
        <w:numPr>
          <w:ilvl w:val="1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Vibration test on aged sample</w:t>
      </w:r>
      <w:r w:rsidR="00D5681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8E13AE">
        <w:rPr>
          <w:rFonts w:ascii="Arial" w:hAnsi="Arial" w:cs="Arial"/>
          <w:b/>
          <w:color w:val="auto"/>
          <w:sz w:val="22"/>
          <w:szCs w:val="22"/>
          <w:lang w:val="en-US"/>
        </w:rPr>
        <w:t>“a”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:</w:t>
      </w:r>
    </w:p>
    <w:p w:rsidR="003A1008" w:rsidRPr="00491C5D" w:rsidRDefault="003A1008" w:rsidP="003A1008">
      <w:pPr>
        <w:pStyle w:val="ListParagraph"/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Perform on the aged sample the vibration test annex 15 paragraph 10.5 procedures A or B. The sample has to comply with the test requirements in annex 15 paragraph 10.5 procedure A or B.</w:t>
      </w:r>
    </w:p>
    <w:p w:rsidR="003A1008" w:rsidRPr="00491C5D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D5681D" w:rsidP="003A1008">
      <w:pPr>
        <w:pStyle w:val="ListParagraph"/>
        <w:numPr>
          <w:ilvl w:val="1"/>
          <w:numId w:val="6"/>
        </w:numPr>
        <w:suppressAutoHyphens w:val="0"/>
        <w:ind w:left="1418" w:hanging="1418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Flow test with </w:t>
      </w:r>
      <w:r w:rsidR="003A1008"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dummy tank </w:t>
      </w:r>
      <w:r w:rsidR="00CA1DD3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to compare sample </w:t>
      </w:r>
      <w:r w:rsidR="008E13AE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“a”</w:t>
      </w:r>
      <w:r w:rsidR="00CA1DD3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 </w:t>
      </w:r>
      <w:r w:rsidR="003A1008" w:rsidRPr="00AD27F4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and </w:t>
      </w:r>
      <w:r w:rsidR="00CB615D" w:rsidRPr="00AD27F4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reference </w:t>
      </w:r>
      <w:r w:rsidR="00CA1DD3" w:rsidRPr="00AD27F4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sample </w:t>
      </w:r>
      <w:r w:rsidR="008E13AE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“b”</w:t>
      </w:r>
      <w:r w:rsidR="003A1008"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.</w:t>
      </w:r>
    </w:p>
    <w:p w:rsidR="00CA1DD3" w:rsidRDefault="00CA1DD3" w:rsidP="003A1008">
      <w:pPr>
        <w:suppressAutoHyphens w:val="0"/>
        <w:ind w:left="1418" w:hanging="2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</w:p>
    <w:p w:rsidR="00233906" w:rsidRDefault="003A1008" w:rsidP="003A1008">
      <w:pPr>
        <w:suppressAutoHyphens w:val="0"/>
        <w:ind w:left="1418" w:hanging="2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Perform for both </w:t>
      </w:r>
      <w:r w:rsidR="00233906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samples </w:t>
      </w: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the flow test according </w:t>
      </w:r>
      <w:r w:rsidR="00BA6419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to </w:t>
      </w: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paragraph 6.15.8.3.  </w:t>
      </w:r>
    </w:p>
    <w:p w:rsidR="003A1008" w:rsidRPr="00491C5D" w:rsidRDefault="003A1008" w:rsidP="003A1008">
      <w:pPr>
        <w:suppressAutoHyphens w:val="0"/>
        <w:ind w:left="1418" w:hanging="2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  <w:r w:rsidRPr="003D2B9D">
        <w:rPr>
          <w:rFonts w:ascii="Arial" w:eastAsiaTheme="minorHAnsi" w:hAnsi="Arial" w:cs="Arial"/>
          <w:b/>
          <w:strike/>
          <w:color w:val="auto"/>
          <w:sz w:val="22"/>
          <w:szCs w:val="22"/>
          <w:lang w:val="en-US" w:eastAsia="en-US"/>
        </w:rPr>
        <w:t>Make sure the required pressure inside the dummy tank for both tests is maintained for at least 90 seconds</w:t>
      </w: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.</w:t>
      </w:r>
    </w:p>
    <w:p w:rsidR="00CA1DD3" w:rsidRDefault="00CA1DD3" w:rsidP="003A1008">
      <w:pPr>
        <w:suppressAutoHyphens w:val="0"/>
        <w:ind w:left="1418" w:hanging="2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</w:p>
    <w:p w:rsidR="003A1008" w:rsidRPr="00491C5D" w:rsidRDefault="003A1008" w:rsidP="003A1008">
      <w:pPr>
        <w:suppressAutoHyphens w:val="0"/>
        <w:ind w:left="1418" w:hanging="2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Requirements:</w:t>
      </w:r>
    </w:p>
    <w:p w:rsidR="003A1008" w:rsidRPr="00CC69CC" w:rsidRDefault="003A1008" w:rsidP="003A1008">
      <w:pPr>
        <w:suppressAutoHyphens w:val="0"/>
        <w:ind w:left="1418" w:hanging="2"/>
        <w:rPr>
          <w:rFonts w:ascii="Arial" w:eastAsiaTheme="minorHAnsi" w:hAnsi="Arial" w:cs="Arial"/>
          <w:b/>
          <w:i/>
          <w:color w:val="auto"/>
          <w:sz w:val="22"/>
          <w:szCs w:val="22"/>
          <w:lang w:val="en-US" w:eastAsia="en-US"/>
        </w:rPr>
      </w:pPr>
    </w:p>
    <w:p w:rsidR="003A1008" w:rsidRPr="00491C5D" w:rsidRDefault="003A1008" w:rsidP="003D2B9D">
      <w:pPr>
        <w:suppressAutoHyphens w:val="0"/>
        <w:spacing w:line="276" w:lineRule="auto"/>
        <w:ind w:left="2124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Both aged and non-aged samples </w:t>
      </w:r>
      <w:r w:rsidR="003D2B9D" w:rsidRPr="003D2B9D">
        <w:rPr>
          <w:rFonts w:ascii="Arial" w:eastAsiaTheme="minorHAnsi" w:hAnsi="Arial" w:cs="Arial"/>
          <w:b/>
          <w:color w:val="FF0000"/>
          <w:sz w:val="22"/>
          <w:szCs w:val="22"/>
          <w:lang w:val="en-US" w:eastAsia="en-US"/>
        </w:rPr>
        <w:t xml:space="preserve">“a” and “b” </w:t>
      </w: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shall comply with the flow requirements </w:t>
      </w:r>
      <w:r w:rsidRPr="003D2B9D">
        <w:rPr>
          <w:rFonts w:ascii="Arial" w:eastAsiaTheme="minorHAnsi" w:hAnsi="Arial" w:cs="Arial"/>
          <w:b/>
          <w:strike/>
          <w:color w:val="auto"/>
          <w:sz w:val="22"/>
          <w:szCs w:val="22"/>
          <w:lang w:val="en-US" w:eastAsia="en-US"/>
        </w:rPr>
        <w:t>[</w:t>
      </w: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as per paragraph 6.15.8.3.</w:t>
      </w:r>
      <w:r w:rsidRPr="003D2B9D">
        <w:rPr>
          <w:rFonts w:ascii="Arial" w:eastAsiaTheme="minorHAnsi" w:hAnsi="Arial" w:cs="Arial"/>
          <w:b/>
          <w:strike/>
          <w:color w:val="auto"/>
          <w:sz w:val="22"/>
          <w:szCs w:val="22"/>
          <w:lang w:val="en-US" w:eastAsia="en-US"/>
        </w:rPr>
        <w:t>]</w:t>
      </w: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 </w:t>
      </w:r>
    </w:p>
    <w:p w:rsidR="003A1008" w:rsidRPr="00491C5D" w:rsidRDefault="003A1008" w:rsidP="003A1008">
      <w:pPr>
        <w:suppressAutoHyphens w:val="0"/>
        <w:spacing w:line="276" w:lineRule="auto"/>
        <w:ind w:left="2124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</w:p>
    <w:p w:rsidR="003A1008" w:rsidRPr="00491C5D" w:rsidRDefault="003A1008" w:rsidP="003D2B9D">
      <w:pPr>
        <w:suppressAutoHyphens w:val="0"/>
        <w:spacing w:line="276" w:lineRule="auto"/>
        <w:ind w:left="2124"/>
        <w:rPr>
          <w:b/>
          <w:color w:val="auto"/>
          <w:sz w:val="22"/>
          <w:szCs w:val="22"/>
          <w:lang w:val="en-US"/>
        </w:rPr>
      </w:pP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The non-metallic material of the sample</w:t>
      </w:r>
      <w:r w:rsidR="003D2B9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s </w:t>
      </w:r>
      <w:r w:rsidR="003D2B9D" w:rsidRPr="003D2B9D">
        <w:rPr>
          <w:rFonts w:ascii="Arial" w:eastAsiaTheme="minorHAnsi" w:hAnsi="Arial" w:cs="Arial"/>
          <w:b/>
          <w:color w:val="FF0000"/>
          <w:sz w:val="22"/>
          <w:szCs w:val="22"/>
          <w:lang w:val="en-US" w:eastAsia="en-US"/>
        </w:rPr>
        <w:t>“a” and “b”</w:t>
      </w:r>
      <w:r w:rsidR="003D2B9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 </w:t>
      </w: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shall show no cracks, deformation or any visual damage.</w:t>
      </w:r>
    </w:p>
    <w:p w:rsidR="000E5D01" w:rsidRDefault="000E5D01" w:rsidP="000E5D01">
      <w:pPr>
        <w:rPr>
          <w:rFonts w:ascii="Arial" w:hAnsi="Arial" w:cs="Arial"/>
          <w:b/>
          <w:lang w:val="en-US"/>
        </w:rPr>
      </w:pPr>
    </w:p>
    <w:p w:rsidR="0066141B" w:rsidRPr="00344B15" w:rsidRDefault="0066141B" w:rsidP="007E13D3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2D0457" w:rsidRPr="001B7FC5" w:rsidRDefault="002D0457" w:rsidP="007E13D3">
      <w:pPr>
        <w:rPr>
          <w:rFonts w:ascii="Arial" w:hAnsi="Arial" w:cs="Arial"/>
          <w:b/>
          <w:bCs/>
          <w:lang w:val="de-DE"/>
        </w:rPr>
      </w:pPr>
      <w:r w:rsidRPr="001B7FC5">
        <w:rPr>
          <w:rFonts w:ascii="Arial" w:hAnsi="Arial" w:cs="Arial"/>
          <w:b/>
          <w:bCs/>
          <w:lang w:val="de-DE"/>
        </w:rPr>
        <w:t>II.</w:t>
      </w:r>
      <w:r w:rsidRPr="001B7FC5">
        <w:rPr>
          <w:rFonts w:ascii="Arial" w:hAnsi="Arial" w:cs="Arial"/>
          <w:b/>
          <w:bCs/>
          <w:lang w:val="de-DE"/>
        </w:rPr>
        <w:tab/>
      </w:r>
      <w:r w:rsidR="00210645" w:rsidRPr="001B7FC5">
        <w:rPr>
          <w:rFonts w:ascii="Arial" w:hAnsi="Arial" w:cs="Arial"/>
          <w:b/>
          <w:bCs/>
          <w:lang w:val="en-GB"/>
        </w:rPr>
        <w:tab/>
      </w:r>
      <w:r w:rsidRPr="001B7FC5">
        <w:rPr>
          <w:rFonts w:ascii="Arial" w:hAnsi="Arial" w:cs="Arial"/>
          <w:b/>
          <w:bCs/>
          <w:lang w:val="en-GB"/>
        </w:rPr>
        <w:t>Justification</w:t>
      </w:r>
    </w:p>
    <w:p w:rsidR="000E5D01" w:rsidRPr="000E5D01" w:rsidRDefault="000E5D01" w:rsidP="000E5D01">
      <w:pPr>
        <w:rPr>
          <w:rFonts w:ascii="Arial" w:hAnsi="Arial" w:cs="Arial"/>
          <w:b/>
          <w:lang w:val="de-DE"/>
        </w:rPr>
      </w:pPr>
    </w:p>
    <w:p w:rsidR="0066141B" w:rsidRPr="00AD27F4" w:rsidRDefault="0066141B" w:rsidP="0066141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66141B">
        <w:rPr>
          <w:rFonts w:ascii="Arial" w:hAnsi="Arial" w:cs="Arial"/>
          <w:sz w:val="22"/>
          <w:szCs w:val="22"/>
          <w:lang w:val="en-US"/>
        </w:rPr>
        <w:t>At the 112th GRSG Germany introduced informal document GRSG-112-31</w:t>
      </w:r>
      <w:r w:rsidR="00550449">
        <w:rPr>
          <w:rFonts w:ascii="Arial" w:hAnsi="Arial" w:cs="Arial"/>
          <w:sz w:val="22"/>
          <w:szCs w:val="22"/>
          <w:lang w:val="en-US"/>
        </w:rPr>
        <w:t xml:space="preserve"> </w:t>
      </w:r>
      <w:r w:rsidRPr="0066141B">
        <w:rPr>
          <w:rFonts w:ascii="Arial" w:hAnsi="Arial" w:cs="Arial"/>
          <w:sz w:val="22"/>
          <w:szCs w:val="22"/>
          <w:lang w:val="en-US"/>
        </w:rPr>
        <w:t>suggesting that all c</w:t>
      </w:r>
      <w:r w:rsidRPr="0066141B">
        <w:rPr>
          <w:rFonts w:ascii="Arial" w:hAnsi="Arial" w:cs="Arial"/>
          <w:bCs/>
          <w:sz w:val="22"/>
          <w:szCs w:val="22"/>
          <w:lang w:val="en-US"/>
        </w:rPr>
        <w:t>omponents connecting the pressure relief valve (PRV) or device (PRD) with the gaseous phase inside the container shall be made of metallic material.</w:t>
      </w:r>
      <w:r w:rsidRPr="0066141B">
        <w:rPr>
          <w:rFonts w:ascii="Arial" w:hAnsi="Arial" w:cs="Arial"/>
          <w:sz w:val="22"/>
          <w:szCs w:val="22"/>
          <w:lang w:val="en-US"/>
        </w:rPr>
        <w:t xml:space="preserve"> Reason for this </w:t>
      </w:r>
      <w:r w:rsidR="00BA01A1">
        <w:rPr>
          <w:rFonts w:ascii="Arial" w:hAnsi="Arial" w:cs="Arial"/>
          <w:sz w:val="22"/>
          <w:szCs w:val="22"/>
          <w:lang w:val="en-US"/>
        </w:rPr>
        <w:t xml:space="preserve">informal document </w:t>
      </w:r>
      <w:r w:rsidRPr="0066141B">
        <w:rPr>
          <w:rFonts w:ascii="Arial" w:hAnsi="Arial" w:cs="Arial"/>
          <w:sz w:val="22"/>
          <w:szCs w:val="22"/>
          <w:lang w:val="en-US"/>
        </w:rPr>
        <w:t xml:space="preserve">was an accident in Germany. The vehicle involved caught fire and </w:t>
      </w:r>
      <w:r>
        <w:rPr>
          <w:rFonts w:ascii="Arial" w:hAnsi="Arial" w:cs="Arial"/>
          <w:sz w:val="22"/>
          <w:szCs w:val="22"/>
          <w:lang w:val="en-US"/>
        </w:rPr>
        <w:t xml:space="preserve">even so </w:t>
      </w:r>
      <w:r w:rsidRPr="0066141B">
        <w:rPr>
          <w:rFonts w:ascii="Arial" w:hAnsi="Arial" w:cs="Arial"/>
          <w:sz w:val="22"/>
          <w:szCs w:val="22"/>
          <w:lang w:val="en-US"/>
        </w:rPr>
        <w:t xml:space="preserve">PRV and PRD were activated </w:t>
      </w:r>
      <w:r>
        <w:rPr>
          <w:rFonts w:ascii="Arial" w:hAnsi="Arial" w:cs="Arial"/>
          <w:sz w:val="22"/>
          <w:szCs w:val="22"/>
          <w:lang w:val="en-US"/>
        </w:rPr>
        <w:t xml:space="preserve">they </w:t>
      </w:r>
      <w:r w:rsidRPr="0066141B">
        <w:rPr>
          <w:rFonts w:ascii="Arial" w:hAnsi="Arial" w:cs="Arial"/>
          <w:sz w:val="22"/>
          <w:szCs w:val="22"/>
          <w:lang w:val="en-US"/>
        </w:rPr>
        <w:t>could not release the pressure properly</w:t>
      </w:r>
      <w:r>
        <w:rPr>
          <w:rFonts w:ascii="Arial" w:hAnsi="Arial" w:cs="Arial"/>
          <w:sz w:val="22"/>
          <w:szCs w:val="22"/>
          <w:lang w:val="en-US"/>
        </w:rPr>
        <w:t xml:space="preserve">. It was found that this was due to </w:t>
      </w:r>
      <w:r w:rsidRPr="0066141B">
        <w:rPr>
          <w:rFonts w:ascii="Arial" w:hAnsi="Arial" w:cs="Arial"/>
          <w:sz w:val="22"/>
          <w:szCs w:val="22"/>
          <w:lang w:val="en-US"/>
        </w:rPr>
        <w:t xml:space="preserve">parts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>of the</w:t>
      </w:r>
      <w:r w:rsidR="00385FD3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destroyed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hose </w:t>
      </w:r>
      <w:r w:rsidR="00CB615D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inside the tank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blocking the connection </w:t>
      </w:r>
      <w:r w:rsidR="00BA01A1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between the tank and the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PRV- and PRD-port. </w:t>
      </w:r>
    </w:p>
    <w:p w:rsidR="0066141B" w:rsidRPr="00AD27F4" w:rsidRDefault="0066141B" w:rsidP="0066141B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66141B" w:rsidRPr="00137C39" w:rsidRDefault="0066141B" w:rsidP="0066141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The reasons leading to that </w:t>
      </w:r>
      <w:r w:rsidR="00385FD3" w:rsidRPr="00AD27F4">
        <w:rPr>
          <w:rFonts w:ascii="Arial" w:hAnsi="Arial" w:cs="Arial"/>
          <w:color w:val="auto"/>
          <w:sz w:val="22"/>
          <w:szCs w:val="22"/>
          <w:lang w:val="en-US"/>
        </w:rPr>
        <w:t>blocking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were discussed </w:t>
      </w:r>
      <w:r w:rsidR="00385FD3" w:rsidRPr="00AD27F4">
        <w:rPr>
          <w:rFonts w:ascii="Arial" w:hAnsi="Arial" w:cs="Arial"/>
          <w:color w:val="auto"/>
          <w:sz w:val="22"/>
          <w:szCs w:val="22"/>
          <w:lang w:val="en-US"/>
        </w:rPr>
        <w:t>during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a Task Force meeting in February 2018. They are described in informal document </w:t>
      </w:r>
      <w:r w:rsidRPr="00AC72B5">
        <w:rPr>
          <w:rFonts w:ascii="Arial" w:hAnsi="Arial" w:cs="Arial"/>
          <w:sz w:val="22"/>
          <w:szCs w:val="22"/>
          <w:lang w:val="en-US"/>
        </w:rPr>
        <w:t>GRSG-1</w:t>
      </w:r>
      <w:r w:rsidR="007525C9" w:rsidRPr="00AC72B5">
        <w:rPr>
          <w:rFonts w:ascii="Arial" w:hAnsi="Arial" w:cs="Arial"/>
          <w:sz w:val="22"/>
          <w:szCs w:val="22"/>
          <w:lang w:val="en-US"/>
        </w:rPr>
        <w:t>1</w:t>
      </w:r>
      <w:r w:rsidRPr="00AC72B5">
        <w:rPr>
          <w:rFonts w:ascii="Arial" w:hAnsi="Arial" w:cs="Arial"/>
          <w:sz w:val="22"/>
          <w:szCs w:val="22"/>
          <w:lang w:val="en-US"/>
        </w:rPr>
        <w:t xml:space="preserve">4-08. The modifications to the Regulation are suggested on foundation of </w:t>
      </w:r>
      <w:r w:rsidR="00AC72B5" w:rsidRPr="00AC72B5">
        <w:rPr>
          <w:rFonts w:ascii="Arial" w:hAnsi="Arial" w:cs="Arial"/>
          <w:sz w:val="22"/>
          <w:szCs w:val="22"/>
          <w:lang w:val="en-US"/>
        </w:rPr>
        <w:t>the</w:t>
      </w:r>
      <w:r w:rsidRPr="00AC72B5">
        <w:rPr>
          <w:rFonts w:ascii="Arial" w:hAnsi="Arial" w:cs="Arial"/>
          <w:sz w:val="22"/>
          <w:szCs w:val="22"/>
          <w:lang w:val="en-US"/>
        </w:rPr>
        <w:t xml:space="preserve"> discussion </w:t>
      </w:r>
      <w:r w:rsidR="007525C9" w:rsidRPr="00AC72B5">
        <w:rPr>
          <w:rFonts w:ascii="Arial" w:hAnsi="Arial" w:cs="Arial"/>
          <w:sz w:val="22"/>
          <w:szCs w:val="22"/>
          <w:lang w:val="en-US"/>
        </w:rPr>
        <w:t>at a second Task Force Meeting in June 2018 as described in informed document GRSG-115-05</w:t>
      </w:r>
      <w:r w:rsidR="00AC72B5" w:rsidRPr="00AC72B5">
        <w:rPr>
          <w:rFonts w:ascii="Arial" w:hAnsi="Arial" w:cs="Arial"/>
          <w:sz w:val="22"/>
          <w:szCs w:val="22"/>
          <w:lang w:val="en-US"/>
        </w:rPr>
        <w:t xml:space="preserve">. The suggested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measures aim at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>avoid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>ing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a restriction to use metallic material only.</w:t>
      </w:r>
      <w:r w:rsidR="003F1689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66141B" w:rsidRPr="00137C39" w:rsidRDefault="0066141B" w:rsidP="0066141B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FD5028" w:rsidRPr="00137C39" w:rsidRDefault="00AC72B5" w:rsidP="0066141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The task force did not discuss 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if </w:t>
      </w:r>
      <w:r w:rsidR="0066141B" w:rsidRPr="00137C39">
        <w:rPr>
          <w:rFonts w:ascii="Arial" w:hAnsi="Arial" w:cs="Arial"/>
          <w:color w:val="auto"/>
          <w:sz w:val="22"/>
          <w:szCs w:val="22"/>
          <w:lang w:val="en-US"/>
        </w:rPr>
        <w:t>transitional provisions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may be necessary</w:t>
      </w:r>
      <w:r w:rsidR="0066141B" w:rsidRPr="00137C39">
        <w:rPr>
          <w:rFonts w:ascii="Arial" w:hAnsi="Arial" w:cs="Arial"/>
          <w:color w:val="auto"/>
          <w:sz w:val="22"/>
          <w:szCs w:val="22"/>
          <w:lang w:val="en-US"/>
        </w:rPr>
        <w:t>.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FD5028" w:rsidRPr="00137C39" w:rsidRDefault="00FD5028" w:rsidP="00FD502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FD5028" w:rsidRPr="00137C39" w:rsidRDefault="00AC72B5" w:rsidP="00FD502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>The modification</w:t>
      </w:r>
      <w:r w:rsidR="00E05A69" w:rsidRPr="00137C39">
        <w:rPr>
          <w:rFonts w:ascii="Arial" w:hAnsi="Arial" w:cs="Arial"/>
          <w:color w:val="auto"/>
          <w:sz w:val="22"/>
          <w:szCs w:val="22"/>
          <w:lang w:val="en-US"/>
        </w:rPr>
        <w:t>s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9B39A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suggested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may be added 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as a supplement 1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>to the 02 series of amendments</w:t>
      </w:r>
      <w:r w:rsidR="009B39A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. A 02 series of amendments was </w:t>
      </w:r>
      <w:r w:rsidR="00E15CE4" w:rsidRPr="00137C39">
        <w:rPr>
          <w:rFonts w:ascii="Arial" w:hAnsi="Arial" w:cs="Arial"/>
          <w:color w:val="auto"/>
          <w:sz w:val="22"/>
          <w:szCs w:val="22"/>
          <w:lang w:val="en-US"/>
        </w:rPr>
        <w:t>suggested wit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>h Annex V to the r</w:t>
      </w:r>
      <w:r w:rsidR="00E15CE4" w:rsidRPr="00137C39">
        <w:rPr>
          <w:rFonts w:ascii="Arial" w:hAnsi="Arial" w:cs="Arial"/>
          <w:color w:val="auto"/>
          <w:sz w:val="22"/>
          <w:szCs w:val="22"/>
          <w:lang w:val="en-US"/>
        </w:rPr>
        <w:t>eport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of the 114</w:t>
      </w:r>
      <w:r w:rsidR="008D23CF" w:rsidRPr="00137C39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th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session</w:t>
      </w:r>
      <w:r w:rsidR="00E15CE4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>(</w:t>
      </w:r>
      <w:r w:rsidR="00E15CE4" w:rsidRPr="00190B30">
        <w:rPr>
          <w:rFonts w:ascii="Arial" w:hAnsi="Arial" w:cs="Arial"/>
          <w:color w:val="auto"/>
          <w:sz w:val="22"/>
          <w:szCs w:val="22"/>
          <w:lang w:val="en-GB"/>
        </w:rPr>
        <w:t>ECE/TRANS/WP.29/GRSG/93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>)</w:t>
      </w:r>
      <w:r w:rsidR="00E05A69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and agreed to at the 176 session </w:t>
      </w:r>
      <w:r w:rsidR="009B39A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of </w:t>
      </w:r>
      <w:r w:rsidR="00E05A69" w:rsidRPr="00137C39">
        <w:rPr>
          <w:rFonts w:ascii="Arial" w:hAnsi="Arial" w:cs="Arial"/>
          <w:color w:val="auto"/>
          <w:sz w:val="22"/>
          <w:szCs w:val="22"/>
          <w:lang w:val="en-US"/>
        </w:rPr>
        <w:t>wp.29 (</w:t>
      </w:r>
      <w:r w:rsidR="00E05A69" w:rsidRPr="00190B30">
        <w:rPr>
          <w:rFonts w:ascii="Arial" w:hAnsi="Arial" w:cs="Arial"/>
          <w:color w:val="auto"/>
          <w:sz w:val="22"/>
          <w:szCs w:val="22"/>
          <w:lang w:val="en-GB"/>
        </w:rPr>
        <w:t>ECE/TRANS/WP.29/</w:t>
      </w:r>
      <w:r w:rsidR="00E05A69" w:rsidRPr="00137C39">
        <w:rPr>
          <w:rFonts w:ascii="Arial" w:hAnsi="Arial" w:cs="Arial"/>
          <w:color w:val="auto"/>
          <w:sz w:val="22"/>
          <w:szCs w:val="22"/>
          <w:lang w:val="en-US"/>
        </w:rPr>
        <w:t>2018/124).</w:t>
      </w:r>
    </w:p>
    <w:p w:rsidR="009B39A8" w:rsidRPr="00137C39" w:rsidRDefault="00E05A69" w:rsidP="00FD502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FD5028" w:rsidRPr="00137C39" w:rsidRDefault="00E05A69" w:rsidP="009B39A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In this case </w:t>
      </w:r>
      <w:r w:rsidR="009B39A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section 22.13. </w:t>
      </w:r>
      <w:r w:rsidR="00FD5028" w:rsidRPr="00AD27F4">
        <w:rPr>
          <w:rFonts w:ascii="Arial" w:hAnsi="Arial" w:cs="Arial"/>
          <w:color w:val="auto"/>
          <w:sz w:val="22"/>
          <w:szCs w:val="22"/>
          <w:lang w:val="en-US"/>
        </w:rPr>
        <w:t>newly introduced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9B39A8" w:rsidRPr="00137C39">
        <w:rPr>
          <w:rFonts w:ascii="Arial" w:hAnsi="Arial" w:cs="Arial"/>
          <w:color w:val="auto"/>
          <w:sz w:val="22"/>
          <w:szCs w:val="22"/>
          <w:lang w:val="en-US"/>
        </w:rPr>
        <w:t>will provide stipulations regarding approval and first registration of vehicle types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:rsidR="00FD5028" w:rsidRPr="00137C39" w:rsidRDefault="00FD5028" w:rsidP="009B39A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B39A8" w:rsidRPr="00137C39" w:rsidRDefault="00FD5028" w:rsidP="009B39A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Additionally needed to provide stipulations regarding parts is a new </w:t>
      </w:r>
      <w:r w:rsidR="009B39A8" w:rsidRPr="00137C39">
        <w:rPr>
          <w:rFonts w:ascii="Arial" w:hAnsi="Arial" w:cs="Arial"/>
          <w:color w:val="auto"/>
          <w:sz w:val="22"/>
          <w:szCs w:val="22"/>
          <w:lang w:val="en-US"/>
        </w:rPr>
        <w:t>section 11.6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66141B" w:rsidRPr="00137C39" w:rsidRDefault="009B39A8" w:rsidP="009B39A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Section 11.6 is a copy of section 11.5. which dealt 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with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the same situation 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as the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01 </w:t>
      </w:r>
      <w:r w:rsidR="00435371" w:rsidRPr="00137C39">
        <w:rPr>
          <w:rFonts w:ascii="Arial" w:hAnsi="Arial" w:cs="Arial"/>
          <w:color w:val="auto"/>
          <w:sz w:val="22"/>
          <w:szCs w:val="22"/>
          <w:lang w:val="en-US"/>
        </w:rPr>
        <w:t>s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eries of </w:t>
      </w:r>
      <w:r w:rsidR="00435371" w:rsidRPr="00137C39">
        <w:rPr>
          <w:rFonts w:ascii="Arial" w:hAnsi="Arial" w:cs="Arial"/>
          <w:color w:val="auto"/>
          <w:sz w:val="22"/>
          <w:szCs w:val="22"/>
          <w:lang w:val="en-US"/>
        </w:rPr>
        <w:t>amendments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was introduced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.   </w:t>
      </w:r>
    </w:p>
    <w:p w:rsidR="0066141B" w:rsidRPr="00137C39" w:rsidRDefault="0066141B" w:rsidP="0066141B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1C1991" w:rsidRPr="00137C39" w:rsidRDefault="0066141B" w:rsidP="00E15CE4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The tests to be applied are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to some extend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already defined in the UN Regulation. 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>Anyhow a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>ccording the current Regulation the</w:t>
      </w:r>
      <w:r w:rsidR="00564737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tests in question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are not applied subsequently. It is suggested to carry out the tests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on an aged and </w:t>
      </w:r>
      <w:r w:rsidR="00AC72B5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on </w:t>
      </w:r>
      <w:r w:rsidR="00971049" w:rsidRPr="00AD27F4">
        <w:rPr>
          <w:rFonts w:ascii="Arial" w:hAnsi="Arial" w:cs="Arial"/>
          <w:color w:val="auto"/>
          <w:sz w:val="22"/>
          <w:szCs w:val="22"/>
          <w:lang w:val="en-US"/>
        </w:rPr>
        <w:t>a virgin</w:t>
      </w:r>
      <w:r w:rsidR="00AC72B5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>sample</w:t>
      </w:r>
      <w:r w:rsidR="00AC72B5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to </w:t>
      </w:r>
      <w:r w:rsidR="00971049" w:rsidRPr="00AD27F4">
        <w:rPr>
          <w:rFonts w:ascii="Arial" w:hAnsi="Arial" w:cs="Arial"/>
          <w:color w:val="auto"/>
          <w:sz w:val="22"/>
          <w:szCs w:val="22"/>
          <w:lang w:val="en-US"/>
        </w:rPr>
        <w:t>identify a possible</w:t>
      </w:r>
      <w:r w:rsidR="00AC72B5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influence </w:t>
      </w:r>
      <w:r w:rsidR="006F5AD2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due to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>aging. Due to the fact that the</w:t>
      </w:r>
      <w:r w:rsidR="00AC72B5" w:rsidRPr="00137C39">
        <w:rPr>
          <w:rFonts w:ascii="Arial" w:hAnsi="Arial" w:cs="Arial"/>
          <w:b/>
          <w:i/>
          <w:color w:val="auto"/>
          <w:sz w:val="22"/>
          <w:szCs w:val="22"/>
          <w:lang w:val="en-US"/>
        </w:rPr>
        <w:t xml:space="preserve">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odorant in LPG </w:t>
      </w:r>
      <w:r w:rsidR="00971049">
        <w:rPr>
          <w:rFonts w:ascii="Arial" w:hAnsi="Arial" w:cs="Arial"/>
          <w:color w:val="auto"/>
          <w:sz w:val="22"/>
          <w:szCs w:val="22"/>
          <w:lang w:val="en-US"/>
        </w:rPr>
        <w:t>might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have an influence a defined concentration </w:t>
      </w:r>
      <w:r w:rsidR="006F5AD2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should be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added to the n-pentane. </w:t>
      </w:r>
      <w:r w:rsidR="00725FB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This is left in brackets because a consensus could not be reached by the task force. </w:t>
      </w:r>
    </w:p>
    <w:p w:rsidR="001C1991" w:rsidRPr="00137C39" w:rsidRDefault="001C1991" w:rsidP="001C1991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1C1991" w:rsidRPr="00137C39" w:rsidRDefault="001C1991" w:rsidP="001C1991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The </w:t>
      </w:r>
      <w:proofErr w:type="spellStart"/>
      <w:r w:rsidRPr="00137C39">
        <w:rPr>
          <w:rFonts w:ascii="Arial" w:hAnsi="Arial" w:cs="Arial"/>
          <w:color w:val="auto"/>
          <w:sz w:val="22"/>
          <w:szCs w:val="22"/>
          <w:lang w:val="en-US"/>
        </w:rPr>
        <w:t>odorization</w:t>
      </w:r>
      <w:proofErr w:type="spellEnd"/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of fuel gases is an important safety measure. To enable the customer to quickly detect leaks or faulty systems, the </w:t>
      </w:r>
      <w:proofErr w:type="spellStart"/>
      <w:r w:rsidRPr="00137C39">
        <w:rPr>
          <w:rFonts w:ascii="Arial" w:hAnsi="Arial" w:cs="Arial"/>
          <w:color w:val="auto"/>
          <w:sz w:val="22"/>
          <w:szCs w:val="22"/>
          <w:lang w:val="en-US"/>
        </w:rPr>
        <w:t>odourless</w:t>
      </w:r>
      <w:proofErr w:type="spellEnd"/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gas is supplemented with warning </w:t>
      </w:r>
      <w:proofErr w:type="spellStart"/>
      <w:r w:rsidRPr="00137C39">
        <w:rPr>
          <w:rFonts w:ascii="Arial" w:hAnsi="Arial" w:cs="Arial"/>
          <w:color w:val="auto"/>
          <w:sz w:val="22"/>
          <w:szCs w:val="22"/>
          <w:lang w:val="en-US"/>
        </w:rPr>
        <w:t>odours</w:t>
      </w:r>
      <w:proofErr w:type="spellEnd"/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. This is usually done using volatile, typically smelling organic </w:t>
      </w:r>
      <w:proofErr w:type="spellStart"/>
      <w:r w:rsidRPr="00137C39">
        <w:rPr>
          <w:rFonts w:ascii="Arial" w:hAnsi="Arial" w:cs="Arial"/>
          <w:color w:val="auto"/>
          <w:sz w:val="22"/>
          <w:szCs w:val="22"/>
          <w:lang w:val="en-US"/>
        </w:rPr>
        <w:t>sulphur</w:t>
      </w:r>
      <w:proofErr w:type="spellEnd"/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compounds such as tetrahydrothiophene (THT), whose smell is reminiscent of rotten eggs, and mercaptan mixtures. </w:t>
      </w:r>
      <w:r w:rsidR="003D48AA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THT are </w:t>
      </w:r>
      <w:r w:rsidR="001B2EA5">
        <w:rPr>
          <w:rFonts w:ascii="Arial" w:hAnsi="Arial" w:cs="Arial"/>
          <w:color w:val="auto"/>
          <w:sz w:val="22"/>
          <w:szCs w:val="22"/>
          <w:lang w:val="en-US"/>
        </w:rPr>
        <w:t>c</w:t>
      </w:r>
      <w:r w:rsidR="003D48AA" w:rsidRPr="00137C39">
        <w:rPr>
          <w:rFonts w:ascii="Arial" w:hAnsi="Arial" w:cs="Arial"/>
          <w:color w:val="auto"/>
          <w:sz w:val="22"/>
          <w:szCs w:val="22"/>
          <w:lang w:val="en-US"/>
        </w:rPr>
        <w:t>yclic organic compounds consisting of Carbon and Sulphur, mercaptan is an organic compound comparable to an alcohol where OH is replaced by SH.</w:t>
      </w:r>
    </w:p>
    <w:p w:rsidR="003D48AA" w:rsidRPr="00137C39" w:rsidRDefault="003D48AA" w:rsidP="001C1991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Since susceptibility of the non-metallic compounds to the ingredients of the odorant cannot be excluded, a respective test shall be performed to have 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>evidence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:rsidR="00BA01A1" w:rsidRPr="00137C39" w:rsidRDefault="00BA01A1" w:rsidP="00BA01A1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66141B" w:rsidRPr="00AD27F4" w:rsidRDefault="00CA1DD3" w:rsidP="0066141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The </w:t>
      </w:r>
      <w:r w:rsidRPr="00137C39">
        <w:rPr>
          <w:rFonts w:ascii="Arial" w:hAnsi="Arial" w:cs="Arial"/>
          <w:color w:val="auto"/>
          <w:sz w:val="22"/>
          <w:szCs w:val="22"/>
          <w:lang w:val="en-GB"/>
        </w:rPr>
        <w:t>performance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137C39">
        <w:rPr>
          <w:rFonts w:ascii="Arial" w:hAnsi="Arial" w:cs="Arial"/>
          <w:color w:val="auto"/>
          <w:sz w:val="22"/>
          <w:szCs w:val="22"/>
          <w:lang w:val="en-GB"/>
        </w:rPr>
        <w:t>of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137C39">
        <w:rPr>
          <w:rFonts w:ascii="Arial" w:hAnsi="Arial" w:cs="Arial"/>
          <w:color w:val="auto"/>
          <w:sz w:val="22"/>
          <w:szCs w:val="22"/>
          <w:lang w:val="en-GB"/>
        </w:rPr>
        <w:t>the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aged sample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1B2EA5">
        <w:rPr>
          <w:rFonts w:ascii="Arial" w:hAnsi="Arial" w:cs="Arial"/>
          <w:color w:val="auto"/>
          <w:sz w:val="22"/>
          <w:szCs w:val="22"/>
          <w:lang w:val="en-US"/>
        </w:rPr>
        <w:t>“a”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that has undergone a vibration test shall be compared with the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>performance of a virgin sample</w:t>
      </w:r>
      <w:r w:rsidR="00FD502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1B2EA5" w:rsidRPr="00AD27F4">
        <w:rPr>
          <w:rFonts w:ascii="Arial" w:hAnsi="Arial" w:cs="Arial"/>
          <w:color w:val="auto"/>
          <w:sz w:val="22"/>
          <w:szCs w:val="22"/>
          <w:lang w:val="en-US"/>
        </w:rPr>
        <w:t>“b”</w:t>
      </w:r>
      <w:r w:rsidR="00725FB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>B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oth samples shall be installed into a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dummy 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>container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, which can be a usual </w:t>
      </w:r>
      <w:r w:rsidR="00AD27F4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type-approved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>container as well,</w:t>
      </w:r>
      <w:r w:rsidR="00385FD3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and the container shall be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>pressurized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according the flow test stipulations of the Regulation. </w:t>
      </w:r>
    </w:p>
    <w:p w:rsidR="0066141B" w:rsidRPr="00AD27F4" w:rsidRDefault="0066141B" w:rsidP="0066141B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66141B" w:rsidRPr="00137C39" w:rsidRDefault="00385FD3" w:rsidP="0066141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AD27F4">
        <w:rPr>
          <w:rFonts w:ascii="Arial" w:hAnsi="Arial" w:cs="Arial"/>
          <w:color w:val="auto"/>
          <w:sz w:val="22"/>
          <w:szCs w:val="22"/>
          <w:lang w:val="en-US"/>
        </w:rPr>
        <w:t>Both s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amples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shall 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>fulfill the flow test stipulations</w:t>
      </w:r>
      <w:r w:rsidR="00564737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="00CA1DD3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They </w:t>
      </w:r>
      <w:r w:rsidR="00564737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have 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>to show the same flow capacity.</w:t>
      </w:r>
      <w:r w:rsidR="00725FB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To be sure that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the gas volume of </w:t>
      </w:r>
      <w:r w:rsidR="00725FB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any possible dimensions of container will be released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>safely,</w:t>
      </w:r>
      <w:r w:rsidR="00725FB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the flow shall be maintained </w:t>
      </w:r>
      <w:r w:rsidR="00B50D04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for </w:t>
      </w:r>
      <w:r w:rsidR="00725FB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at least 90 sec. Following this process 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>the non-metallic components of both samples shall undergo a visual inspection. The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re shall 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not be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>no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cracks or deformations</w:t>
      </w:r>
      <w:r w:rsidR="0066141B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</w:p>
    <w:p w:rsidR="00EB5D22" w:rsidRPr="00137C39" w:rsidRDefault="00EB5D22" w:rsidP="00EB5D22">
      <w:pPr>
        <w:rPr>
          <w:color w:val="auto"/>
          <w:sz w:val="20"/>
          <w:szCs w:val="20"/>
        </w:rPr>
      </w:pPr>
    </w:p>
    <w:p w:rsidR="000672E5" w:rsidRPr="00CA1DD3" w:rsidRDefault="00A56C94" w:rsidP="00CA1DD3">
      <w:pPr>
        <w:spacing w:line="276" w:lineRule="auto"/>
        <w:ind w:left="851"/>
        <w:jc w:val="center"/>
        <w:rPr>
          <w:color w:val="auto"/>
          <w:sz w:val="20"/>
          <w:szCs w:val="20"/>
          <w:lang w:val="en-US"/>
        </w:rPr>
      </w:pPr>
      <w:r w:rsidRPr="00A56C94">
        <w:rPr>
          <w:color w:val="auto"/>
          <w:sz w:val="20"/>
          <w:szCs w:val="20"/>
          <w:lang w:val="en-US"/>
        </w:rPr>
        <w:t>___________</w:t>
      </w:r>
    </w:p>
    <w:sectPr w:rsidR="000672E5" w:rsidRPr="00CA1DD3" w:rsidSect="001B7FC5">
      <w:footerReference w:type="default" r:id="rId9"/>
      <w:pgSz w:w="11906" w:h="16838"/>
      <w:pgMar w:top="851" w:right="1106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AD" w:rsidRDefault="00A16CAD" w:rsidP="00A00013">
      <w:r>
        <w:separator/>
      </w:r>
    </w:p>
  </w:endnote>
  <w:endnote w:type="continuationSeparator" w:id="0">
    <w:p w:rsidR="00A16CAD" w:rsidRDefault="00A16CAD" w:rsidP="00A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06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28F" w:rsidRDefault="00041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128F" w:rsidRDefault="006D1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AD" w:rsidRDefault="00A16CAD" w:rsidP="00A00013">
      <w:r>
        <w:separator/>
      </w:r>
    </w:p>
  </w:footnote>
  <w:footnote w:type="continuationSeparator" w:id="0">
    <w:p w:rsidR="00A16CAD" w:rsidRDefault="00A16CAD" w:rsidP="00A0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6C36"/>
    <w:multiLevelType w:val="hybridMultilevel"/>
    <w:tmpl w:val="6D98D82A"/>
    <w:lvl w:ilvl="0" w:tplc="5792D46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4801AA"/>
    <w:multiLevelType w:val="multilevel"/>
    <w:tmpl w:val="040216C0"/>
    <w:lvl w:ilvl="0">
      <w:start w:val="1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451B3"/>
    <w:multiLevelType w:val="multilevel"/>
    <w:tmpl w:val="F0A6B38A"/>
    <w:lvl w:ilvl="0">
      <w:start w:val="18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800C8D"/>
    <w:multiLevelType w:val="hybridMultilevel"/>
    <w:tmpl w:val="77CA11DC"/>
    <w:lvl w:ilvl="0" w:tplc="E1226A40">
      <w:start w:val="1"/>
      <w:numFmt w:val="decimal"/>
      <w:lvlText w:val="%1."/>
      <w:lvlJc w:val="left"/>
      <w:pPr>
        <w:ind w:left="1215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F9D558B"/>
    <w:multiLevelType w:val="hybridMultilevel"/>
    <w:tmpl w:val="AACE21A0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BD0079"/>
    <w:multiLevelType w:val="multilevel"/>
    <w:tmpl w:val="B2947422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6" w15:restartNumberingAfterBreak="0">
    <w:nsid w:val="373661E5"/>
    <w:multiLevelType w:val="hybridMultilevel"/>
    <w:tmpl w:val="F536A48A"/>
    <w:lvl w:ilvl="0" w:tplc="981AC0B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53820"/>
    <w:multiLevelType w:val="hybridMultilevel"/>
    <w:tmpl w:val="0156A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58"/>
    <w:rsid w:val="000168DE"/>
    <w:rsid w:val="00017EF9"/>
    <w:rsid w:val="00025524"/>
    <w:rsid w:val="00033768"/>
    <w:rsid w:val="00041431"/>
    <w:rsid w:val="000429CA"/>
    <w:rsid w:val="000528CF"/>
    <w:rsid w:val="0006144D"/>
    <w:rsid w:val="000672E5"/>
    <w:rsid w:val="000D056A"/>
    <w:rsid w:val="000E5D01"/>
    <w:rsid w:val="000F03F9"/>
    <w:rsid w:val="000F272C"/>
    <w:rsid w:val="00115124"/>
    <w:rsid w:val="00127EC6"/>
    <w:rsid w:val="00131B4B"/>
    <w:rsid w:val="00137C39"/>
    <w:rsid w:val="001614DA"/>
    <w:rsid w:val="0016487F"/>
    <w:rsid w:val="00171E58"/>
    <w:rsid w:val="00172A92"/>
    <w:rsid w:val="00187C88"/>
    <w:rsid w:val="00190B30"/>
    <w:rsid w:val="00196859"/>
    <w:rsid w:val="001A45A4"/>
    <w:rsid w:val="001B2EA5"/>
    <w:rsid w:val="001B4B25"/>
    <w:rsid w:val="001B67BB"/>
    <w:rsid w:val="001B7FC5"/>
    <w:rsid w:val="001C1991"/>
    <w:rsid w:val="001C7AE7"/>
    <w:rsid w:val="00210645"/>
    <w:rsid w:val="00221EE6"/>
    <w:rsid w:val="0022570D"/>
    <w:rsid w:val="00233906"/>
    <w:rsid w:val="0025036C"/>
    <w:rsid w:val="00286695"/>
    <w:rsid w:val="002A272D"/>
    <w:rsid w:val="002B39D6"/>
    <w:rsid w:val="002D0457"/>
    <w:rsid w:val="002E78EE"/>
    <w:rsid w:val="002F083D"/>
    <w:rsid w:val="00305174"/>
    <w:rsid w:val="00313562"/>
    <w:rsid w:val="0034107F"/>
    <w:rsid w:val="00344B15"/>
    <w:rsid w:val="003559BF"/>
    <w:rsid w:val="00357290"/>
    <w:rsid w:val="00383DAD"/>
    <w:rsid w:val="00385FD3"/>
    <w:rsid w:val="00387961"/>
    <w:rsid w:val="003A1008"/>
    <w:rsid w:val="003A7421"/>
    <w:rsid w:val="003D2B9D"/>
    <w:rsid w:val="003D48AA"/>
    <w:rsid w:val="003E0D60"/>
    <w:rsid w:val="003F1689"/>
    <w:rsid w:val="004067C5"/>
    <w:rsid w:val="004142B8"/>
    <w:rsid w:val="00430702"/>
    <w:rsid w:val="00435371"/>
    <w:rsid w:val="0046267E"/>
    <w:rsid w:val="004659DD"/>
    <w:rsid w:val="00485F31"/>
    <w:rsid w:val="00491C5D"/>
    <w:rsid w:val="00493C07"/>
    <w:rsid w:val="004A3D1D"/>
    <w:rsid w:val="004C40EC"/>
    <w:rsid w:val="004C5081"/>
    <w:rsid w:val="004E0354"/>
    <w:rsid w:val="004E413B"/>
    <w:rsid w:val="004E4201"/>
    <w:rsid w:val="00501936"/>
    <w:rsid w:val="005034F9"/>
    <w:rsid w:val="0052074B"/>
    <w:rsid w:val="00540258"/>
    <w:rsid w:val="00546FCF"/>
    <w:rsid w:val="00550449"/>
    <w:rsid w:val="00550A4A"/>
    <w:rsid w:val="00564737"/>
    <w:rsid w:val="00581F75"/>
    <w:rsid w:val="005A22FC"/>
    <w:rsid w:val="005C2EC6"/>
    <w:rsid w:val="005C3E34"/>
    <w:rsid w:val="005E3983"/>
    <w:rsid w:val="005F13B1"/>
    <w:rsid w:val="005F7CEF"/>
    <w:rsid w:val="0063267E"/>
    <w:rsid w:val="00633299"/>
    <w:rsid w:val="00636F1B"/>
    <w:rsid w:val="006460BB"/>
    <w:rsid w:val="006542DC"/>
    <w:rsid w:val="0066022C"/>
    <w:rsid w:val="00660A65"/>
    <w:rsid w:val="0066141B"/>
    <w:rsid w:val="00673223"/>
    <w:rsid w:val="006838E4"/>
    <w:rsid w:val="00695C48"/>
    <w:rsid w:val="00695C54"/>
    <w:rsid w:val="006A6D9A"/>
    <w:rsid w:val="006B0F66"/>
    <w:rsid w:val="006D128F"/>
    <w:rsid w:val="006D1E7C"/>
    <w:rsid w:val="006F5AD2"/>
    <w:rsid w:val="00721FC5"/>
    <w:rsid w:val="00723CA0"/>
    <w:rsid w:val="00725FB8"/>
    <w:rsid w:val="00733925"/>
    <w:rsid w:val="0074604B"/>
    <w:rsid w:val="0075227D"/>
    <w:rsid w:val="007525C9"/>
    <w:rsid w:val="007662CE"/>
    <w:rsid w:val="007900D9"/>
    <w:rsid w:val="007A0509"/>
    <w:rsid w:val="007B65AB"/>
    <w:rsid w:val="007C457C"/>
    <w:rsid w:val="007E13D3"/>
    <w:rsid w:val="007E213B"/>
    <w:rsid w:val="007F3C86"/>
    <w:rsid w:val="00815CE0"/>
    <w:rsid w:val="00816DEA"/>
    <w:rsid w:val="00820656"/>
    <w:rsid w:val="00822245"/>
    <w:rsid w:val="008311F4"/>
    <w:rsid w:val="0083473A"/>
    <w:rsid w:val="008723A8"/>
    <w:rsid w:val="00873662"/>
    <w:rsid w:val="008A4243"/>
    <w:rsid w:val="008C32D3"/>
    <w:rsid w:val="008D23CF"/>
    <w:rsid w:val="008E13AE"/>
    <w:rsid w:val="00902C94"/>
    <w:rsid w:val="00904060"/>
    <w:rsid w:val="00931DAE"/>
    <w:rsid w:val="00942590"/>
    <w:rsid w:val="00951BD9"/>
    <w:rsid w:val="00963EAF"/>
    <w:rsid w:val="00971049"/>
    <w:rsid w:val="009758B7"/>
    <w:rsid w:val="00987B1B"/>
    <w:rsid w:val="009B1CEF"/>
    <w:rsid w:val="009B39A8"/>
    <w:rsid w:val="009D7D62"/>
    <w:rsid w:val="009E25D3"/>
    <w:rsid w:val="00A00013"/>
    <w:rsid w:val="00A10278"/>
    <w:rsid w:val="00A16CAD"/>
    <w:rsid w:val="00A35D5F"/>
    <w:rsid w:val="00A37460"/>
    <w:rsid w:val="00A427C6"/>
    <w:rsid w:val="00A51DEE"/>
    <w:rsid w:val="00A56C94"/>
    <w:rsid w:val="00A5707C"/>
    <w:rsid w:val="00A60DFB"/>
    <w:rsid w:val="00A70D2A"/>
    <w:rsid w:val="00A7482B"/>
    <w:rsid w:val="00A92D8A"/>
    <w:rsid w:val="00A92DF4"/>
    <w:rsid w:val="00A971CC"/>
    <w:rsid w:val="00AC1A8D"/>
    <w:rsid w:val="00AC413C"/>
    <w:rsid w:val="00AC5277"/>
    <w:rsid w:val="00AC72B5"/>
    <w:rsid w:val="00AD27F4"/>
    <w:rsid w:val="00AD38F2"/>
    <w:rsid w:val="00AD7DB3"/>
    <w:rsid w:val="00B018F7"/>
    <w:rsid w:val="00B0269A"/>
    <w:rsid w:val="00B15F52"/>
    <w:rsid w:val="00B50D04"/>
    <w:rsid w:val="00B511EB"/>
    <w:rsid w:val="00B734F9"/>
    <w:rsid w:val="00B80BF3"/>
    <w:rsid w:val="00B85AAE"/>
    <w:rsid w:val="00BA01A1"/>
    <w:rsid w:val="00BA6419"/>
    <w:rsid w:val="00BD5E38"/>
    <w:rsid w:val="00BE180B"/>
    <w:rsid w:val="00BE6DB3"/>
    <w:rsid w:val="00BF1D6F"/>
    <w:rsid w:val="00BF2860"/>
    <w:rsid w:val="00C12982"/>
    <w:rsid w:val="00C25E7B"/>
    <w:rsid w:val="00C43336"/>
    <w:rsid w:val="00C613EC"/>
    <w:rsid w:val="00C6728C"/>
    <w:rsid w:val="00C870EB"/>
    <w:rsid w:val="00CA1DD3"/>
    <w:rsid w:val="00CA2F19"/>
    <w:rsid w:val="00CB615D"/>
    <w:rsid w:val="00CC553E"/>
    <w:rsid w:val="00CD4C63"/>
    <w:rsid w:val="00CF0DD1"/>
    <w:rsid w:val="00D10C55"/>
    <w:rsid w:val="00D11958"/>
    <w:rsid w:val="00D14BB7"/>
    <w:rsid w:val="00D31DEC"/>
    <w:rsid w:val="00D424C8"/>
    <w:rsid w:val="00D55265"/>
    <w:rsid w:val="00D5681D"/>
    <w:rsid w:val="00D64874"/>
    <w:rsid w:val="00D86D71"/>
    <w:rsid w:val="00DC6AC2"/>
    <w:rsid w:val="00DE1DCF"/>
    <w:rsid w:val="00DE716C"/>
    <w:rsid w:val="00DF1001"/>
    <w:rsid w:val="00DF3526"/>
    <w:rsid w:val="00E05A69"/>
    <w:rsid w:val="00E15CE4"/>
    <w:rsid w:val="00E269AD"/>
    <w:rsid w:val="00E46F73"/>
    <w:rsid w:val="00E551A2"/>
    <w:rsid w:val="00E7294C"/>
    <w:rsid w:val="00E74DA5"/>
    <w:rsid w:val="00E84EE2"/>
    <w:rsid w:val="00E87294"/>
    <w:rsid w:val="00EA799E"/>
    <w:rsid w:val="00EB22D8"/>
    <w:rsid w:val="00EB5D22"/>
    <w:rsid w:val="00EC2C08"/>
    <w:rsid w:val="00ED477C"/>
    <w:rsid w:val="00F41C9B"/>
    <w:rsid w:val="00F570C7"/>
    <w:rsid w:val="00F6317A"/>
    <w:rsid w:val="00F70907"/>
    <w:rsid w:val="00F736B7"/>
    <w:rsid w:val="00F74EFB"/>
    <w:rsid w:val="00FB34EF"/>
    <w:rsid w:val="00FC3E60"/>
    <w:rsid w:val="00FD3078"/>
    <w:rsid w:val="00FD5028"/>
    <w:rsid w:val="00FE282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4420"/>
  <w15:docId w15:val="{2513C4C6-F31D-4A64-8ADE-3771DEDD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rsid w:val="00633299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rsid w:val="00633299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rsid w:val="00633299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rsid w:val="00633299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rsid w:val="00633299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rsid w:val="00633299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rsid w:val="00633299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rsid w:val="00633299"/>
    <w:pPr>
      <w:spacing w:before="240" w:after="60"/>
    </w:pPr>
    <w:rPr>
      <w:i/>
      <w:iCs/>
    </w:rPr>
  </w:style>
  <w:style w:type="paragraph" w:customStyle="1" w:styleId="Titre9">
    <w:name w:val="Titre 9"/>
    <w:basedOn w:val="Normal"/>
    <w:rsid w:val="00633299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sid w:val="00633299"/>
    <w:rPr>
      <w:b/>
    </w:rPr>
  </w:style>
  <w:style w:type="character" w:customStyle="1" w:styleId="WW8Num2z0">
    <w:name w:val="WW8Num2z0"/>
    <w:qFormat/>
    <w:rsid w:val="00633299"/>
    <w:rPr>
      <w:rFonts w:ascii="Symbol" w:hAnsi="Symbol"/>
    </w:rPr>
  </w:style>
  <w:style w:type="character" w:customStyle="1" w:styleId="WW8Num3z0">
    <w:name w:val="WW8Num3z0"/>
    <w:qFormat/>
    <w:rsid w:val="00633299"/>
    <w:rPr>
      <w:rFonts w:ascii="Symbol" w:hAnsi="Symbol"/>
    </w:rPr>
  </w:style>
  <w:style w:type="character" w:customStyle="1" w:styleId="WW-">
    <w:name w:val="WW-Основной шрифт абзаца"/>
    <w:qFormat/>
    <w:rsid w:val="00633299"/>
  </w:style>
  <w:style w:type="character" w:styleId="PageNumber">
    <w:name w:val="page number"/>
    <w:basedOn w:val="DefaultParagraphFont"/>
    <w:qFormat/>
    <w:rsid w:val="00633299"/>
  </w:style>
  <w:style w:type="character" w:customStyle="1" w:styleId="LienInternet">
    <w:name w:val="Lien Internet"/>
    <w:rsid w:val="00633299"/>
    <w:rPr>
      <w:color w:val="0000FF"/>
      <w:u w:val="single"/>
    </w:rPr>
  </w:style>
  <w:style w:type="character" w:customStyle="1" w:styleId="HeaderChar">
    <w:name w:val="Header Char"/>
    <w:qFormat/>
    <w:rsid w:val="00633299"/>
    <w:rPr>
      <w:sz w:val="24"/>
      <w:szCs w:val="24"/>
      <w:lang w:eastAsia="ar-SA"/>
    </w:rPr>
  </w:style>
  <w:style w:type="character" w:customStyle="1" w:styleId="CharChar4">
    <w:name w:val="Char Char4"/>
    <w:qFormat/>
    <w:rsid w:val="00633299"/>
    <w:rPr>
      <w:sz w:val="24"/>
      <w:lang w:val="en-GB" w:eastAsia="en-US" w:bidi="ar-SA"/>
    </w:rPr>
  </w:style>
  <w:style w:type="character" w:styleId="FollowedHyperlink">
    <w:name w:val="FollowedHyperlink"/>
    <w:qFormat/>
    <w:rsid w:val="00633299"/>
    <w:rPr>
      <w:color w:val="800080"/>
      <w:u w:val="single"/>
    </w:rPr>
  </w:style>
  <w:style w:type="character" w:customStyle="1" w:styleId="Accentuationforte">
    <w:name w:val="Accentuation forte"/>
    <w:rsid w:val="00633299"/>
    <w:rPr>
      <w:b/>
      <w:bCs/>
    </w:rPr>
  </w:style>
  <w:style w:type="character" w:customStyle="1" w:styleId="FootnoteReference1">
    <w:name w:val="Footnote Reference1"/>
    <w:qFormat/>
    <w:rsid w:val="00633299"/>
    <w:rPr>
      <w:color w:val="000000"/>
    </w:rPr>
  </w:style>
  <w:style w:type="character" w:styleId="FootnoteReference">
    <w:name w:val="footnote reference"/>
    <w:qFormat/>
    <w:rsid w:val="00633299"/>
    <w:rPr>
      <w:b/>
      <w:sz w:val="24"/>
      <w:vertAlign w:val="superscript"/>
    </w:rPr>
  </w:style>
  <w:style w:type="character" w:customStyle="1" w:styleId="SingleTxtGChar">
    <w:name w:val="_ Single Txt_G Char"/>
    <w:qFormat/>
    <w:rsid w:val="00633299"/>
    <w:rPr>
      <w:lang w:val="fr-CH" w:eastAsia="en-US" w:bidi="ar-SA"/>
    </w:rPr>
  </w:style>
  <w:style w:type="character" w:customStyle="1" w:styleId="HChGChar">
    <w:name w:val="_ H _Ch_G Char"/>
    <w:qFormat/>
    <w:rsid w:val="00633299"/>
    <w:rPr>
      <w:b/>
      <w:sz w:val="28"/>
      <w:lang w:val="en-GB" w:eastAsia="en-US" w:bidi="ar-SA"/>
    </w:rPr>
  </w:style>
  <w:style w:type="character" w:styleId="CommentReference">
    <w:name w:val="annotation reference"/>
    <w:qFormat/>
    <w:rsid w:val="00633299"/>
    <w:rPr>
      <w:sz w:val="16"/>
      <w:szCs w:val="16"/>
    </w:rPr>
  </w:style>
  <w:style w:type="character" w:customStyle="1" w:styleId="CommentTextChar">
    <w:name w:val="Comment Text Char"/>
    <w:qFormat/>
    <w:rsid w:val="00633299"/>
    <w:rPr>
      <w:lang w:eastAsia="de-DE"/>
    </w:rPr>
  </w:style>
  <w:style w:type="character" w:customStyle="1" w:styleId="Heading7Char">
    <w:name w:val="Heading 7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1Char">
    <w:name w:val="Heading 1 Char"/>
    <w:qFormat/>
    <w:rsid w:val="00633299"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sid w:val="00633299"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sid w:val="00633299"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sid w:val="00633299"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sid w:val="00633299"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sid w:val="00633299"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sid w:val="00633299"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sid w:val="00633299"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sid w:val="00633299"/>
    <w:rPr>
      <w:sz w:val="24"/>
      <w:lang w:eastAsia="en-US"/>
    </w:rPr>
  </w:style>
  <w:style w:type="character" w:customStyle="1" w:styleId="FooterChar">
    <w:name w:val="Footer Char"/>
    <w:uiPriority w:val="99"/>
    <w:qFormat/>
    <w:rsid w:val="00633299"/>
    <w:rPr>
      <w:sz w:val="24"/>
      <w:szCs w:val="24"/>
      <w:lang w:val="ru-RU" w:eastAsia="ar-SA"/>
    </w:rPr>
  </w:style>
  <w:style w:type="character" w:customStyle="1" w:styleId="Footer1">
    <w:name w:val="Footer1"/>
    <w:qFormat/>
    <w:rsid w:val="00633299"/>
    <w:rPr>
      <w:sz w:val="20"/>
    </w:rPr>
  </w:style>
  <w:style w:type="character" w:customStyle="1" w:styleId="Header1">
    <w:name w:val="Header1"/>
    <w:qFormat/>
    <w:rsid w:val="00633299"/>
    <w:rPr>
      <w:sz w:val="20"/>
    </w:rPr>
  </w:style>
  <w:style w:type="character" w:customStyle="1" w:styleId="FOOTNOTEREF">
    <w:name w:val="FOOTNOTE REF"/>
    <w:qFormat/>
    <w:rsid w:val="00633299"/>
    <w:rPr>
      <w:sz w:val="16"/>
      <w:vertAlign w:val="superscript"/>
    </w:rPr>
  </w:style>
  <w:style w:type="character" w:customStyle="1" w:styleId="FOOTNOTETEX">
    <w:name w:val="FOOTNOTE TEX"/>
    <w:qFormat/>
    <w:rsid w:val="00633299"/>
    <w:rPr>
      <w:sz w:val="20"/>
    </w:rPr>
  </w:style>
  <w:style w:type="character" w:customStyle="1" w:styleId="DocInit">
    <w:name w:val="Doc Init"/>
    <w:basedOn w:val="DefaultParagraphFont"/>
    <w:qFormat/>
    <w:rsid w:val="00633299"/>
  </w:style>
  <w:style w:type="character" w:customStyle="1" w:styleId="TechInit">
    <w:name w:val="Tech Init"/>
    <w:basedOn w:val="DefaultParagraphFont"/>
    <w:qFormat/>
    <w:rsid w:val="00633299"/>
  </w:style>
  <w:style w:type="character" w:customStyle="1" w:styleId="Pleading">
    <w:name w:val="Pleading"/>
    <w:basedOn w:val="DefaultParagraphFont"/>
    <w:qFormat/>
    <w:rsid w:val="00633299"/>
  </w:style>
  <w:style w:type="character" w:customStyle="1" w:styleId="Technactif">
    <w:name w:val="Techn actif"/>
    <w:basedOn w:val="DefaultParagraphFont"/>
    <w:qFormat/>
    <w:rsid w:val="00633299"/>
  </w:style>
  <w:style w:type="character" w:customStyle="1" w:styleId="Docactif">
    <w:name w:val="Doc actif"/>
    <w:basedOn w:val="DefaultParagraphFont"/>
    <w:qFormat/>
    <w:rsid w:val="00633299"/>
  </w:style>
  <w:style w:type="character" w:customStyle="1" w:styleId="footnotetex0">
    <w:name w:val="footnote tex"/>
    <w:qFormat/>
    <w:rsid w:val="00633299"/>
    <w:rPr>
      <w:sz w:val="20"/>
    </w:rPr>
  </w:style>
  <w:style w:type="character" w:customStyle="1" w:styleId="Frame">
    <w:name w:val="Frame"/>
    <w:basedOn w:val="DefaultParagraphFont"/>
    <w:qFormat/>
    <w:rsid w:val="00633299"/>
  </w:style>
  <w:style w:type="character" w:customStyle="1" w:styleId="WP9Date">
    <w:name w:val="WP9_Date"/>
    <w:qFormat/>
    <w:rsid w:val="00633299"/>
    <w:rPr>
      <w:i/>
      <w:iCs w:val="0"/>
    </w:rPr>
  </w:style>
  <w:style w:type="character" w:customStyle="1" w:styleId="Text">
    <w:name w:val="Text"/>
    <w:qFormat/>
    <w:rsid w:val="00633299"/>
    <w:rPr>
      <w:sz w:val="24"/>
    </w:rPr>
  </w:style>
  <w:style w:type="character" w:customStyle="1" w:styleId="Heading11">
    <w:name w:val="Heading 11"/>
    <w:qFormat/>
    <w:rsid w:val="00633299"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sid w:val="00633299"/>
    <w:rPr>
      <w:b/>
      <w:bCs/>
      <w:lang w:val="en-US" w:eastAsia="en-US"/>
    </w:rPr>
  </w:style>
  <w:style w:type="character" w:customStyle="1" w:styleId="BalloonTextChar">
    <w:name w:val="Balloon Text Char"/>
    <w:qFormat/>
    <w:rsid w:val="00633299"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sid w:val="00633299"/>
    <w:rPr>
      <w:sz w:val="16"/>
      <w:szCs w:val="16"/>
      <w:lang w:val="ru-RU" w:eastAsia="ar-SA"/>
    </w:rPr>
  </w:style>
  <w:style w:type="character" w:customStyle="1" w:styleId="TitleChar">
    <w:name w:val="Title Char"/>
    <w:qFormat/>
    <w:rsid w:val="00633299"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sid w:val="00633299"/>
    <w:rPr>
      <w:lang w:val="fr-CH" w:eastAsia="en-US"/>
    </w:rPr>
  </w:style>
  <w:style w:type="character" w:customStyle="1" w:styleId="ListLabel1">
    <w:name w:val="ListLabel 1"/>
    <w:qFormat/>
    <w:rsid w:val="00633299"/>
    <w:rPr>
      <w:b/>
    </w:rPr>
  </w:style>
  <w:style w:type="character" w:customStyle="1" w:styleId="ListLabel2">
    <w:name w:val="ListLabel 2"/>
    <w:qFormat/>
    <w:rsid w:val="00633299"/>
    <w:rPr>
      <w:u w:val="none"/>
    </w:rPr>
  </w:style>
  <w:style w:type="character" w:customStyle="1" w:styleId="ListLabel3">
    <w:name w:val="ListLabel 3"/>
    <w:qFormat/>
    <w:rsid w:val="00633299"/>
    <w:rPr>
      <w:rFonts w:cs="Courier New"/>
    </w:rPr>
  </w:style>
  <w:style w:type="character" w:customStyle="1" w:styleId="ListLabel4">
    <w:name w:val="ListLabel 4"/>
    <w:qFormat/>
    <w:rsid w:val="00633299"/>
    <w:rPr>
      <w:color w:val="000000"/>
      <w:sz w:val="22"/>
    </w:rPr>
  </w:style>
  <w:style w:type="character" w:customStyle="1" w:styleId="ListLabel5">
    <w:name w:val="ListLabel 5"/>
    <w:qFormat/>
    <w:rsid w:val="00633299"/>
    <w:rPr>
      <w:b/>
      <w:i w:val="0"/>
    </w:rPr>
  </w:style>
  <w:style w:type="character" w:customStyle="1" w:styleId="ListLabel6">
    <w:name w:val="ListLabel 6"/>
    <w:qFormat/>
    <w:rsid w:val="00633299"/>
    <w:rPr>
      <w:rFonts w:eastAsia="Times New Roman" w:cs="Times New Roman"/>
    </w:rPr>
  </w:style>
  <w:style w:type="character" w:customStyle="1" w:styleId="ListLabel7">
    <w:name w:val="ListLabel 7"/>
    <w:qFormat/>
    <w:rsid w:val="00633299"/>
    <w:rPr>
      <w:rFonts w:cs="Times New Roman"/>
    </w:rPr>
  </w:style>
  <w:style w:type="character" w:customStyle="1" w:styleId="ListLabel8">
    <w:name w:val="ListLabel 8"/>
    <w:qFormat/>
    <w:rsid w:val="00633299"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sid w:val="00633299"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rsid w:val="006332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rsid w:val="00633299"/>
    <w:pPr>
      <w:spacing w:after="120"/>
    </w:pPr>
  </w:style>
  <w:style w:type="paragraph" w:customStyle="1" w:styleId="Liste1">
    <w:name w:val="Liste1"/>
    <w:basedOn w:val="Corpsdetexte"/>
    <w:rsid w:val="00633299"/>
    <w:rPr>
      <w:rFonts w:ascii="Liberation Sans" w:hAnsi="Liberation Sans" w:cs="Mangal"/>
    </w:rPr>
  </w:style>
  <w:style w:type="paragraph" w:customStyle="1" w:styleId="Lgende">
    <w:name w:val="Légende"/>
    <w:basedOn w:val="Normal"/>
    <w:rsid w:val="00633299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633299"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rsid w:val="00633299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rsid w:val="00633299"/>
    <w:pPr>
      <w:suppressLineNumbers/>
    </w:pPr>
  </w:style>
  <w:style w:type="paragraph" w:customStyle="1" w:styleId="a1">
    <w:name w:val="Заголовок таблицы"/>
    <w:basedOn w:val="a0"/>
    <w:qFormat/>
    <w:rsid w:val="00633299"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rsid w:val="00633299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rsid w:val="00633299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rsid w:val="00633299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rsid w:val="00633299"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rsid w:val="00633299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rsid w:val="0063329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rsid w:val="00633299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rsid w:val="00633299"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rsid w:val="00633299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qFormat/>
    <w:rsid w:val="00633299"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rsid w:val="00633299"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sid w:val="00633299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rsid w:val="00633299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rsid w:val="00633299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rsid w:val="00633299"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rsid w:val="00633299"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rsid w:val="00633299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rsid w:val="00633299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rsid w:val="0063329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rsid w:val="0063329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rsid w:val="006332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rsid w:val="00633299"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uiPriority w:val="34"/>
    <w:qFormat/>
    <w:rsid w:val="00633299"/>
    <w:pPr>
      <w:ind w:left="720"/>
      <w:contextualSpacing/>
    </w:pPr>
  </w:style>
  <w:style w:type="paragraph" w:customStyle="1" w:styleId="HMG">
    <w:name w:val="_ H __M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rsid w:val="00633299"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rsid w:val="00633299"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rsid w:val="00633299"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rsid w:val="00633299"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rsid w:val="00633299"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rsid w:val="00633299"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sid w:val="00633299"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rsid w:val="00633299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rsid w:val="00633299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rsid w:val="00633299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rsid w:val="00633299"/>
    <w:pPr>
      <w:ind w:left="2268" w:hanging="1134"/>
    </w:pPr>
  </w:style>
  <w:style w:type="paragraph" w:customStyle="1" w:styleId="blocpara">
    <w:name w:val="bloc para"/>
    <w:basedOn w:val="Para"/>
    <w:qFormat/>
    <w:rsid w:val="00633299"/>
    <w:pPr>
      <w:ind w:firstLine="0"/>
    </w:pPr>
  </w:style>
  <w:style w:type="paragraph" w:styleId="Revision">
    <w:name w:val="Revision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rsid w:val="0063329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rsid w:val="0063329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rsid w:val="0063329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rsid w:val="0063329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rsid w:val="0063329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rsid w:val="0063329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rsid w:val="00633299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basedOn w:val="Normal"/>
    <w:link w:val="Head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table" w:styleId="TableGrid">
    <w:name w:val="Table Grid"/>
    <w:aliases w:val="SGS Table Basic 1"/>
    <w:basedOn w:val="TableNormal"/>
    <w:rsid w:val="00CD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83D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3DAD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GRSG-115-Entwurf-Rev.01"/>
    <f:field ref="objsubject" par="" edit="true" text=""/>
    <f:field ref="objcreatedby" par="" text="Asmussen, Helge"/>
    <f:field ref="objcreatedat" par="" text="09.05.2018 10:54:16"/>
    <f:field ref="objchangedby" par="" text="Asmussen, Helge"/>
    <f:field ref="objmodifiedat" par="" text="09.05.2018 10:54:55"/>
    <f:field ref="doc_FSCFOLIO_1_1001_FieldDocumentNumber" par="" text=""/>
    <f:field ref="doc_FSCFOLIO_1_1001_FieldSubject" par="" edit="true" text=""/>
    <f:field ref="FSCFOLIO_1_1001_FieldCurrentUser" par="" text="Helge Asmussen"/>
    <f:field ref="CCAPRECONFIG_15_1001_Objektname" par="" edit="true" text="GRSG-115-Entwurf-Rev.01"/>
    <f:field ref="DEPRECONFIG_15_1001_Objektname" par="" edit="true" text="GRSG-115-Entwurf-Rev.01"/>
  </f:record>
  <f:record inx="1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Ref-LA20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ref-la20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2">
    <f:field ref="DEPRECONFIG_15_1001_Anrede" par="" edit="true" text="Herr"/>
    <f:field ref="DEPRECONFIG_15_1001_Titel" par="" edit="true" text=""/>
    <f:field ref="DEPRECONFIG_15_1001_Vorname" par="" edit="true" text="Helge"/>
    <f:field ref="DEPRECONFIG_15_1001_Nachname" par="" edit="true" text="Asmussen"/>
    <f:field ref="DEPRECONFIG_15_1001_Strasse" par="" text="Fördestr. 16"/>
    <f:field ref="DEPRECONFIG_15_1001_Hausnummer" par="" text=""/>
    <f:field ref="DEPRECONFIG_15_1001_Postleitzahl" par="" text="24944"/>
    <f:field ref="DEPRECONFIG_15_1001_Ort" par="" text="Flensburg"/>
    <f:field ref="DEPRECONFIG_15_1001_EMailAdresse" par="" text="Helge.Asmussen@kba.de"/>
    <f:field ref="DEPRECONFIG_15_1001_Geschlecht" par="" text="Männlich"/>
    <f:field ref="DEPRECONFIG_15_1001_Geburtsdatum" par="" text=""/>
    <f:field ref="DEPRECONFIG_15_1001_Land" par="" text=""/>
    <f:field ref="DEPRECONFIG_15_1001_Organisationsname" par="" text="Kraftfahrt-Bundesamt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3">
    <f:field ref="DEPRECONFIG_15_1001_Anrede" par="" edit="true" text="Herr"/>
    <f:field ref="DEPRECONFIG_15_1001_Titel" par="" edit="true" text=""/>
    <f:field ref="DEPRECONFIG_15_1001_Vorname" par="" edit="true" text="Jan-Hendrik"/>
    <f:field ref="DEPRECONFIG_15_1001_Nachname" par="" edit="true" text="Pohl"/>
    <f:field ref="DEPRECONFIG_15_1001_Strasse" par="" text="Fördestr. 16"/>
    <f:field ref="DEPRECONFIG_15_1001_Hausnummer" par="" text=""/>
    <f:field ref="DEPRECONFIG_15_1001_Postleitzahl" par="" text="24944"/>
    <f:field ref="DEPRECONFIG_15_1001_Ort" par="" text="Flensburg"/>
    <f:field ref="DEPRECONFIG_15_1001_EMailAdresse" par="" text="Jan-Hendrik.Pohl@kba.de"/>
    <f:field ref="DEPRECONFIG_15_1001_Geschlecht" par="" text="Männlich"/>
    <f:field ref="DEPRECONFIG_15_1001_Geburtsdatum" par="" text=""/>
    <f:field ref="DEPRECONFIG_15_1001_Land" par="" text=""/>
    <f:field ref="DEPRECONFIG_15_1001_Organisationsname" par="" text="Kraftfahrt-Bundesamt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4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Fuhrmann, Thomas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Fuhrmann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5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Thomas Sass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sasse@de.tuv.com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6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Stefan Behrning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stefan.behrning@de.tuv.com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7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Dijkhof, Paul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Paul.Dijkhof@kiwa.nl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8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Jeffrey Seisler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jseisler@cleanfuelsconsulting.org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9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Fuhrmann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KBACFG_15_1700_IhrZeichen" text=""/>
    <f:field ref="KBACFG_15_1700_IhreNachrichtVon" text=""/>
    <f:field ref="CCAPRECONFIG_15_1001_Abschriftsbemerkung" text="Abschriftsbemerkung"/>
    <f:field ref="BVBSPRECONFIG_15_1700_Abteilung" text="Abteilung"/>
    <f:field ref="DEPRECONFIG_15_1001_Anrede" text="Anrede"/>
    <f:field ref="BVBSPRECONFIG_15_1700_Bundesland" text="Bundesland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Land" text="Land"/>
    <f:field ref="BVBSPRECONFIG_15_1700_Lieferadresse_Bundesland" text="Lieferadresse Bundesland"/>
    <f:field ref="BVBSPRECONFIG_15_1700_Lieferadresse_Land" text="Lieferadresse Land"/>
    <f:field ref="BVBSPRECONFIG_15_1700_Lieferadresse_Ort" text="Lieferadresse Ort"/>
    <f:field ref="BVBSPRECONFIG_15_1700_Lieferadresse_Postfach" text="Lieferadresse Postfach"/>
    <f:field ref="BVBSPRECONFIG_15_1700_Lieferadresse_Postleitzahl" text="Lieferadresse Postleitzahl"/>
    <f:field ref="BVBSPRECONFIG_15_1700_Lieferadresse_Strasse" text="Lieferadresse Strasse"/>
    <f:field ref="DEPRECONFIG_15_1001_Nachname" text="Nachname"/>
    <f:field ref="DEPRECONFIG_15_1001_Organisationskurzname" text="Organisationskurzname"/>
    <f:field ref="DEPRECONFIG_15_1001_Organisationsname" text="Organisationsname"/>
    <f:field ref="DEPRECONFIG_15_1001_Ort" text="Ort"/>
    <f:field ref="CCAPRECONFIG_15_1001_Postfach" text="Postfach"/>
    <f:field ref="DEPRECONFIG_15_1001_Postleitzahl" text="Postleitzahl"/>
    <f:field ref="BVBSPRECONFIG_15_1700_Rechnungsadresse_Bundesland" text="Rechnungsadresse Bundesland"/>
    <f:field ref="BVBSPRECONFIG_15_1700_Rechnungsadresse_Land" text="Rechnungsadresse Land"/>
    <f:field ref="BVBSPRECONFIG_15_1700_Rechnungsadresse_Ort" text="Rechnungsadresse Ort"/>
    <f:field ref="BVBSPRECONFIG_15_1700_Rechnungsadresse_Postfach" text="Rechnungsadresse Postfach"/>
    <f:field ref="BVBSPRECONFIG_15_1700_Rechnungsadresse_Postleitzahl" text="Rechnungsadresse Postleitzahl"/>
    <f:field ref="BVBSPRECONFIG_15_1700_Rechnungsadresse_Strasse" text="Rechnungsadresse Strasse"/>
    <f:field ref="DEPRECONFIG_15_1001_Strasse" text="Strasse"/>
    <f:field ref="DEPRECONFIG_15_1001_Titel" text="Titel"/>
    <f:field ref="DEPRECONFIG_15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EB923C-0B7E-4D96-B8CA-ACBE5BF8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ECE-ISU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Romain Hubert</cp:lastModifiedBy>
  <cp:revision>6</cp:revision>
  <cp:lastPrinted>2019-03-04T11:58:00Z</cp:lastPrinted>
  <dcterms:created xsi:type="dcterms:W3CDTF">2019-04-04T12:49:00Z</dcterms:created>
  <dcterms:modified xsi:type="dcterms:W3CDTF">2019-04-04T16:22:00Z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VBSPRECONFIG@15.1700:AddSubject">
    <vt:lpwstr/>
  </property>
  <property fmtid="{D5CDD505-2E9C-101B-9397-08002B2CF9AE}" pid="3" name="FSC#BVBSPRECONFIG@15.1700:AktenIdentification">
    <vt:lpwstr>400-411/009</vt:lpwstr>
  </property>
  <property fmtid="{D5CDD505-2E9C-101B-9397-08002B2CF9AE}" pid="4" name="FSC#BVBSPRECONFIG@15.1700:AnlagenCount">
    <vt:lpwstr>0</vt:lpwstr>
  </property>
  <property fmtid="{D5CDD505-2E9C-101B-9397-08002B2CF9AE}" pid="5" name="FSC#BVBSPRECONFIG@15.1700:Author">
    <vt:lpwstr>Helge Asmussen</vt:lpwstr>
  </property>
  <property fmtid="{D5CDD505-2E9C-101B-9397-08002B2CF9AE}" pid="6" name="FSC#BVBSPRECONFIG@15.1700:AuthorCCMail">
    <vt:lpwstr/>
  </property>
  <property fmtid="{D5CDD505-2E9C-101B-9397-08002B2CF9AE}" pid="7" name="FSC#BVBSPRECONFIG@15.1700:AuthorFax">
    <vt:lpwstr>+49 461 316-1495, -1650</vt:lpwstr>
  </property>
  <property fmtid="{D5CDD505-2E9C-101B-9397-08002B2CF9AE}" pid="8" name="FSC#BVBSPRECONFIG@15.1700:AuthorMail">
    <vt:lpwstr>Helge.Asmussen@kba.de</vt:lpwstr>
  </property>
  <property fmtid="{D5CDD505-2E9C-101B-9397-08002B2CF9AE}" pid="9" name="FSC#BVBSPRECONFIG@15.1700:AuthorName">
    <vt:lpwstr>Asmussen</vt:lpwstr>
  </property>
  <property fmtid="{D5CDD505-2E9C-101B-9397-08002B2CF9AE}" pid="10" name="FSC#BVBSPRECONFIG@15.1700:AuthorPhone">
    <vt:lpwstr>+49 461 316-1544</vt:lpwstr>
  </property>
  <property fmtid="{D5CDD505-2E9C-101B-9397-08002B2CF9AE}" pid="11" name="FSC#BVBSPRECONFIG@15.1700:Datum">
    <vt:lpwstr>09.05.2018</vt:lpwstr>
  </property>
  <property fmtid="{D5CDD505-2E9C-101B-9397-08002B2CF9AE}" pid="12" name="FSC#BVBSPRECONFIG@15.1700:DatumDE">
    <vt:lpwstr>9. Mai 2018</vt:lpwstr>
  </property>
  <property fmtid="{D5CDD505-2E9C-101B-9397-08002B2CF9AE}" pid="13" name="FSC#BVBSPRECONFIG@15.1700:DatumEN">
    <vt:lpwstr>9. Mai 2018</vt:lpwstr>
  </property>
  <property fmtid="{D5CDD505-2E9C-101B-9397-08002B2CF9AE}" pid="14" name="FSC#BVBSPRECONFIG@15.1700:FirstFinalSignProcedure">
    <vt:lpwstr/>
  </property>
  <property fmtid="{D5CDD505-2E9C-101B-9397-08002B2CF9AE}" pid="15" name="FSC#BVBSPRECONFIG@15.1700:FirstFinalSignProcedureDate">
    <vt:lpwstr/>
  </property>
  <property fmtid="{D5CDD505-2E9C-101B-9397-08002B2CF9AE}" pid="16" name="FSC#BVBSPRECONFIG@15.1700:HandoutList">
    <vt:lpwstr>Empfänger:_x000d_
1.	_x000d_
_x000d_
_x000d_
Nachrichtlich:_x000d_
</vt:lpwstr>
  </property>
  <property fmtid="{D5CDD505-2E9C-101B-9397-08002B2CF9AE}" pid="17" name="FSC#BVBSPRECONFIG@15.1700:OEShort">
    <vt:lpwstr>412</vt:lpwstr>
  </property>
  <property fmtid="{D5CDD505-2E9C-101B-9397-08002B2CF9AE}" pid="18" name="FSC#BVBSPRECONFIG@15.1700:OrgCity">
    <vt:lpwstr>Flensburg</vt:lpwstr>
  </property>
  <property fmtid="{D5CDD505-2E9C-101B-9397-08002B2CF9AE}" pid="19" name="FSC#BVBSPRECONFIG@15.1700:OrgCityDeliver">
    <vt:lpwstr/>
  </property>
  <property fmtid="{D5CDD505-2E9C-101B-9397-08002B2CF9AE}" pid="20" name="FSC#BVBSPRECONFIG@15.1700:OrgFax">
    <vt:lpwstr>+49 461 316-1650 oder -1495</vt:lpwstr>
  </property>
  <property fmtid="{D5CDD505-2E9C-101B-9397-08002B2CF9AE}" pid="21" name="FSC#BVBSPRECONFIG@15.1700:OrgFooter">
    <vt:lpwstr/>
  </property>
  <property fmtid="{D5CDD505-2E9C-101B-9397-08002B2CF9AE}" pid="22" name="FSC#BVBSPRECONFIG@15.1700:OrgName">
    <vt:lpwstr>Kraftfahrt-Bundesamt</vt:lpwstr>
  </property>
  <property fmtid="{D5CDD505-2E9C-101B-9397-08002B2CF9AE}" pid="23" name="FSC#BVBSPRECONFIG@15.1700:OrgNameEng">
    <vt:lpwstr/>
  </property>
  <property fmtid="{D5CDD505-2E9C-101B-9397-08002B2CF9AE}" pid="24" name="FSC#BVBSPRECONFIG@15.1700:OrgNote">
    <vt:lpwstr/>
  </property>
  <property fmtid="{D5CDD505-2E9C-101B-9397-08002B2CF9AE}" pid="25" name="FSC#BVBSPRECONFIG@15.1700:OrgPhone">
    <vt:lpwstr>+49 461 316-0</vt:lpwstr>
  </property>
  <property fmtid="{D5CDD505-2E9C-101B-9397-08002B2CF9AE}" pid="26" name="FSC#BVBSPRECONFIG@15.1700:OrgPLZ">
    <vt:lpwstr>24944</vt:lpwstr>
  </property>
  <property fmtid="{D5CDD505-2E9C-101B-9397-08002B2CF9AE}" pid="27" name="FSC#BVBSPRECONFIG@15.1700:OrgPLZDeliver">
    <vt:lpwstr/>
  </property>
  <property fmtid="{D5CDD505-2E9C-101B-9397-08002B2CF9AE}" pid="28" name="FSC#BVBSPRECONFIG@15.1700:OrgPostbox">
    <vt:lpwstr/>
  </property>
  <property fmtid="{D5CDD505-2E9C-101B-9397-08002B2CF9AE}" pid="29" name="FSC#BVBSPRECONFIG@15.1700:OrgPostboxDeliver">
    <vt:lpwstr/>
  </property>
  <property fmtid="{D5CDD505-2E9C-101B-9397-08002B2CF9AE}" pid="30" name="FSC#BVBSPRECONFIG@15.1700:OrgShortName">
    <vt:lpwstr/>
  </property>
  <property fmtid="{D5CDD505-2E9C-101B-9397-08002B2CF9AE}" pid="31" name="FSC#BVBSPRECONFIG@15.1700:OrgStreet">
    <vt:lpwstr>Fördestraße 16</vt:lpwstr>
  </property>
  <property fmtid="{D5CDD505-2E9C-101B-9397-08002B2CF9AE}" pid="32" name="FSC#BVBSPRECONFIG@15.1700:OrgStreetDeliver">
    <vt:lpwstr/>
  </property>
  <property fmtid="{D5CDD505-2E9C-101B-9397-08002B2CF9AE}" pid="33" name="FSC#BVBSPRECONFIG@15.1700:OrgWWW">
    <vt:lpwstr>www.kba.de</vt:lpwstr>
  </property>
  <property fmtid="{D5CDD505-2E9C-101B-9397-08002B2CF9AE}" pid="34" name="FSC#BVBSPRECONFIG@15.1700:OrgBankAccSendTo">
    <vt:lpwstr/>
  </property>
  <property fmtid="{D5CDD505-2E9C-101B-9397-08002B2CF9AE}" pid="35" name="FSC#BVBSPRECONFIG@15.1700:OrgBankAccBank">
    <vt:lpwstr>Deutsche Bundesbank, Filiale Hamburg</vt:lpwstr>
  </property>
  <property fmtid="{D5CDD505-2E9C-101B-9397-08002B2CF9AE}" pid="36" name="FSC#BVBSPRECONFIG@15.1700:OrgBankAccID">
    <vt:lpwstr/>
  </property>
  <property fmtid="{D5CDD505-2E9C-101B-9397-08002B2CF9AE}" pid="37" name="FSC#BVBSPRECONFIG@15.1700:OrgBankAccAccount">
    <vt:lpwstr/>
  </property>
  <property fmtid="{D5CDD505-2E9C-101B-9397-08002B2CF9AE}" pid="38" name="FSC#BVBSPRECONFIG@15.1700:OrgBankAccIBAN">
    <vt:lpwstr>DE18 2000 0000 0020 0010 66</vt:lpwstr>
  </property>
  <property fmtid="{D5CDD505-2E9C-101B-9397-08002B2CF9AE}" pid="39" name="FSC#BVBSPRECONFIG@15.1700:OrgBankAccBIC">
    <vt:lpwstr>MARKDEF1200</vt:lpwstr>
  </property>
  <property fmtid="{D5CDD505-2E9C-101B-9397-08002B2CF9AE}" pid="40" name="FSC#BVBSPRECONFIG@15.1700:OwnerFax">
    <vt:lpwstr>+49 461 316-1495, -1650</vt:lpwstr>
  </property>
  <property fmtid="{D5CDD505-2E9C-101B-9397-08002B2CF9AE}" pid="41" name="FSC#BVBSPRECONFIG@15.1700:OwnerMail">
    <vt:lpwstr>Helge.Asmussen@kba.de</vt:lpwstr>
  </property>
  <property fmtid="{D5CDD505-2E9C-101B-9397-08002B2CF9AE}" pid="42" name="FSC#BVBSPRECONFIG@15.1700:OwnerName">
    <vt:lpwstr>Asmussen</vt:lpwstr>
  </property>
  <property fmtid="{D5CDD505-2E9C-101B-9397-08002B2CF9AE}" pid="43" name="FSC#BVBSPRECONFIG@15.1700:OwnerPhone">
    <vt:lpwstr>+49 461 316-1544</vt:lpwstr>
  </property>
  <property fmtid="{D5CDD505-2E9C-101B-9397-08002B2CF9AE}" pid="44" name="FSC#BVBSPRECONFIG@15.1700:Relation">
    <vt:lpwstr/>
  </property>
  <property fmtid="{D5CDD505-2E9C-101B-9397-08002B2CF9AE}" pid="45" name="FSC#BVBSPRECONFIG@15.1700:SettlementSubject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46" name="FSC#BVBSPRECONFIG@15.1700:LocationFootnote">
    <vt:lpwstr/>
  </property>
  <property fmtid="{D5CDD505-2E9C-101B-9397-08002B2CF9AE}" pid="47" name="FSC#BVBSPRECONFIG@15.1700:LocationFootnoteEnglish">
    <vt:lpwstr/>
  </property>
  <property fmtid="{D5CDD505-2E9C-101B-9397-08002B2CF9AE}" pid="48" name="FSC#BVBSPRECONFIG@15.1700:OrgObjname">
    <vt:lpwstr>Kraftfahrt-Bundesamt (Zentrale)</vt:lpwstr>
  </property>
  <property fmtid="{D5CDD505-2E9C-101B-9397-08002B2CF9AE}" pid="49" name="FSC#BVBSPRECONFIG@15.1700:GA">
    <vt:lpwstr/>
  </property>
  <property fmtid="{D5CDD505-2E9C-101B-9397-08002B2CF9AE}" pid="50" name="FSC#BVBSPRECONFIG@15.1700:LetterDateP90">
    <vt:lpwstr>07.08.2018</vt:lpwstr>
  </property>
  <property fmtid="{D5CDD505-2E9C-101B-9397-08002B2CF9AE}" pid="51" name="FSC#BVBSPRECONFIG@15.1700:LetterDateP31">
    <vt:lpwstr>09.06.2018</vt:lpwstr>
  </property>
  <property fmtid="{D5CDD505-2E9C-101B-9397-08002B2CF9AE}" pid="52" name="FSC#BVBSPRECONFIG@15.1700:CourtAddress">
    <vt:lpwstr/>
  </property>
  <property fmtid="{D5CDD505-2E9C-101B-9397-08002B2CF9AE}" pid="53" name="FSC#BVBSPRECONFIG@15.1700:RegisterCurrentProcedure">
    <vt:lpwstr/>
  </property>
  <property fmtid="{D5CDD505-2E9C-101B-9397-08002B2CF9AE}" pid="54" name="FSC#BVBSEBP@15.1700:Aufsteller">
    <vt:lpwstr/>
  </property>
  <property fmtid="{D5CDD505-2E9C-101B-9397-08002B2CF9AE}" pid="55" name="FSC#BVBSEBP@15.1700:Bauort">
    <vt:lpwstr/>
  </property>
  <property fmtid="{D5CDD505-2E9C-101B-9397-08002B2CF9AE}" pid="56" name="FSC#BVBSEBP@15.1700:EAntragBauvorlagenberechtigterFN">
    <vt:lpwstr/>
  </property>
  <property fmtid="{D5CDD505-2E9C-101B-9397-08002B2CF9AE}" pid="57" name="FSC#BVBSEBP@15.1700:ErstAntrag">
    <vt:lpwstr>400-411/009#010-001</vt:lpwstr>
  </property>
  <property fmtid="{D5CDD505-2E9C-101B-9397-08002B2CF9AE}" pid="58" name="FSC#BVBSEBP@15.1700:ErstAntragAbnehmenderName">
    <vt:lpwstr/>
  </property>
  <property fmtid="{D5CDD505-2E9C-101B-9397-08002B2CF9AE}" pid="59" name="FSC#BVBSEBP@15.1700:ErstAntragAbzunehmendeAnlage">
    <vt:lpwstr/>
  </property>
  <property fmtid="{D5CDD505-2E9C-101B-9397-08002B2CF9AE}" pid="60" name="FSC#BVBSEBP@15.1700:ErstAntragAntragstellerAddrE">
    <vt:lpwstr/>
  </property>
  <property fmtid="{D5CDD505-2E9C-101B-9397-08002B2CF9AE}" pid="61" name="FSC#BVBSEBP@15.1700:ErstAntragAntragstellerFunktion">
    <vt:lpwstr/>
  </property>
  <property fmtid="{D5CDD505-2E9C-101B-9397-08002B2CF9AE}" pid="62" name="FSC#BVBSEBP@15.1700:ErstAntragBauherrM">
    <vt:lpwstr>_x000d_
_x000d_
</vt:lpwstr>
  </property>
  <property fmtid="{D5CDD505-2E9C-101B-9397-08002B2CF9AE}" pid="63" name="FSC#BVBSEBP@15.1700:ErstAntragBauherrTelefon">
    <vt:lpwstr/>
  </property>
  <property fmtid="{D5CDD505-2E9C-101B-9397-08002B2CF9AE}" pid="64" name="FSC#BVBSEBP@15.1700:ErstAntragBaumassnahme">
    <vt:lpwstr/>
  </property>
  <property fmtid="{D5CDD505-2E9C-101B-9397-08002B2CF9AE}" pid="65" name="FSC#BVBSEBP@15.1700:ErstAntragBauort">
    <vt:lpwstr/>
  </property>
  <property fmtid="{D5CDD505-2E9C-101B-9397-08002B2CF9AE}" pid="66" name="FSC#BVBSEBP@15.1700:ErstAntragBauwerksnr">
    <vt:lpwstr/>
  </property>
  <property fmtid="{D5CDD505-2E9C-101B-9397-08002B2CF9AE}" pid="67" name="FSC#BVBSEBP@15.1700:ErstAntragGutachterAddrM">
    <vt:lpwstr/>
  </property>
  <property fmtid="{D5CDD505-2E9C-101B-9397-08002B2CF9AE}" pid="68" name="FSC#BVBSEBP@15.1700:ErstAntragPlanZulassAktenzeichen">
    <vt:lpwstr>400-411/009#010-001</vt:lpwstr>
  </property>
  <property fmtid="{D5CDD505-2E9C-101B-9397-08002B2CF9AE}" pid="69" name="FSC#BVBSEBP@15.1700:ErstAntragPlanZulassAndere">
    <vt:lpwstr/>
  </property>
  <property fmtid="{D5CDD505-2E9C-101B-9397-08002B2CF9AE}" pid="70" name="FSC#BVBSEBP@15.1700:ErstAntragPlanZulassDatum">
    <vt:lpwstr/>
  </property>
  <property fmtid="{D5CDD505-2E9C-101B-9397-08002B2CF9AE}" pid="71" name="FSC#BVBSEBP@15.1700:ErstAntragSteller">
    <vt:lpwstr/>
  </property>
  <property fmtid="{D5CDD505-2E9C-101B-9397-08002B2CF9AE}" pid="72" name="FSC#BVBSEBP@15.1700:ErstAntragTyp">
    <vt:lpwstr/>
  </property>
  <property fmtid="{D5CDD505-2E9C-101B-9397-08002B2CF9AE}" pid="73" name="FSC#BVBSEBP@15.1700:ErstAntragVom">
    <vt:lpwstr>11.12.2017</vt:lpwstr>
  </property>
  <property fmtid="{D5CDD505-2E9C-101B-9397-08002B2CF9AE}" pid="74" name="FSC#BVBSEBP@15.1700:OriginatorSettlement">
    <vt:lpwstr>Asmussen, Helge</vt:lpwstr>
  </property>
  <property fmtid="{D5CDD505-2E9C-101B-9397-08002B2CF9AE}" pid="75" name="FSC#BVBSEBP@15.1700:Pruefauftrag">
    <vt:lpwstr/>
  </property>
  <property fmtid="{D5CDD505-2E9C-101B-9397-08002B2CF9AE}" pid="76" name="FSC#BVBSEBP@15.1700:Anlagentext">
    <vt:lpwstr/>
  </property>
  <property fmtid="{D5CDD505-2E9C-101B-9397-08002B2CF9AE}" pid="77" name="FSC#BVBSEBP@15.1700:ErstAntragBriefdatum">
    <vt:lpwstr>11.12.2017</vt:lpwstr>
  </property>
  <property fmtid="{D5CDD505-2E9C-101B-9397-08002B2CF9AE}" pid="78" name="FSC#BVBSEBP@15.1700:EingangsdatumErstantrag">
    <vt:lpwstr/>
  </property>
  <property fmtid="{D5CDD505-2E9C-101B-9397-08002B2CF9AE}" pid="79" name="FSC#BVBSEBP@15.1700:BriefdatumErstantrag">
    <vt:lpwstr/>
  </property>
  <property fmtid="{D5CDD505-2E9C-101B-9397-08002B2CF9AE}" pid="80" name="FSC#BVBSEBP@15.1700:ApplicantCurrentProcedure">
    <vt:lpwstr/>
  </property>
  <property fmtid="{D5CDD505-2E9C-101B-9397-08002B2CF9AE}" pid="81" name="FSC#BVBSEBP@15.1700:ApplicantAddressCurrentProcedure">
    <vt:lpwstr/>
  </property>
  <property fmtid="{D5CDD505-2E9C-101B-9397-08002B2CF9AE}" pid="82" name="FSC#KBACFG@15.1700:kbanumber">
    <vt:lpwstr/>
  </property>
  <property fmtid="{D5CDD505-2E9C-101B-9397-08002B2CF9AE}" pid="83" name="FSC#KBACFG@15.1700:accounts">
    <vt:lpwstr>74180</vt:lpwstr>
  </property>
  <property fmtid="{D5CDD505-2E9C-101B-9397-08002B2CF9AE}" pid="84" name="FSC#KBACFG@15.1700:filereference">
    <vt:lpwstr>400-411/009</vt:lpwstr>
  </property>
  <property fmtid="{D5CDD505-2E9C-101B-9397-08002B2CF9AE}" pid="85" name="FSC#KBACFG@15.1700:procedureshortsubfilename">
    <vt:lpwstr>400-411/009#010</vt:lpwstr>
  </property>
  <property fmtid="{D5CDD505-2E9C-101B-9397-08002B2CF9AE}" pid="86" name="FSC#KBACFG@15.1700:sponsor">
    <vt:lpwstr>80731001</vt:lpwstr>
  </property>
  <property fmtid="{D5CDD505-2E9C-101B-9397-08002B2CF9AE}" pid="87" name="FSC#KBACFG@15.1700:AuthorPhoneKBA">
    <vt:lpwstr>+49 461 316-1544</vt:lpwstr>
  </property>
  <property fmtid="{D5CDD505-2E9C-101B-9397-08002B2CF9AE}" pid="88" name="FSC#KBACFG@15.1700:AuthorFaxKBA">
    <vt:lpwstr>+49 461 316-1495, -1650</vt:lpwstr>
  </property>
  <property fmtid="{D5CDD505-2E9C-101B-9397-08002B2CF9AE}" pid="89" name="FSC#KBACFG@15.1700:OrgFaxKBA">
    <vt:lpwstr>+49 461 316-1650 oder -1495</vt:lpwstr>
  </property>
  <property fmtid="{D5CDD505-2E9C-101B-9397-08002B2CF9AE}" pid="90" name="FSC#KBACFG@15.1700:OrgPhoneKBA">
    <vt:lpwstr>+49 461 316-0</vt:lpwstr>
  </property>
  <property fmtid="{D5CDD505-2E9C-101B-9397-08002B2CF9AE}" pid="91" name="FSC#KBACFG@15.1700:OwnerFaxKBA">
    <vt:lpwstr>+49 461 316-1495, -1650</vt:lpwstr>
  </property>
  <property fmtid="{D5CDD505-2E9C-101B-9397-08002B2CF9AE}" pid="92" name="FSC#KBACFG@15.1700:OwnerPhoneKBA">
    <vt:lpwstr>+49 461 316-1544</vt:lpwstr>
  </property>
  <property fmtid="{D5CDD505-2E9C-101B-9397-08002B2CF9AE}" pid="93" name="FSC#KBACFG@15.1700:ProcActivities">
    <vt:lpwstr/>
  </property>
  <property fmtid="{D5CDD505-2E9C-101B-9397-08002B2CF9AE}" pid="94" name="FSC#KBACFG@15.1700:ProcApplicationsum">
    <vt:lpwstr/>
  </property>
  <property fmtid="{D5CDD505-2E9C-101B-9397-08002B2CF9AE}" pid="95" name="FSC#KBACFG@15.1700:ProcTitle">
    <vt:lpwstr/>
  </property>
  <property fmtid="{D5CDD505-2E9C-101B-9397-08002B2CF9AE}" pid="96" name="FSC#KBACFG@15.1700:ProcObject">
    <vt:lpwstr/>
  </property>
  <property fmtid="{D5CDD505-2E9C-101B-9397-08002B2CF9AE}" pid="97" name="FSC#KBACFG@15.1700:ProcAgreementNumber">
    <vt:lpwstr/>
  </property>
  <property fmtid="{D5CDD505-2E9C-101B-9397-08002B2CF9AE}" pid="98" name="FSC#KBACFG@15.1700:ProcTGNR">
    <vt:lpwstr/>
  </property>
  <property fmtid="{D5CDD505-2E9C-101B-9397-08002B2CF9AE}" pid="99" name="FSC#KBACFG@15.1700:ProcObjectDescription">
    <vt:lpwstr/>
  </property>
  <property fmtid="{D5CDD505-2E9C-101B-9397-08002B2CF9AE}" pid="100" name="FSC#KBACFG@15.1700:ProcTypeDescription">
    <vt:lpwstr/>
  </property>
  <property fmtid="{D5CDD505-2E9C-101B-9397-08002B2CF9AE}" pid="101" name="FSC#KBACFG@15.1700:ProcGOS">
    <vt:lpwstr/>
  </property>
  <property fmtid="{D5CDD505-2E9C-101B-9397-08002B2CF9AE}" pid="102" name="FSC#KBACFG@15.1700:ProcOwnerApproval1">
    <vt:lpwstr/>
  </property>
  <property fmtid="{D5CDD505-2E9C-101B-9397-08002B2CF9AE}" pid="103" name="FSC#KBACFG@15.1700:ProcOwnerApproval2">
    <vt:lpwstr/>
  </property>
  <property fmtid="{D5CDD505-2E9C-101B-9397-08002B2CF9AE}" pid="104" name="FSC#KBACFG@15.1700:ProcStreetNumber">
    <vt:lpwstr/>
  </property>
  <property fmtid="{D5CDD505-2E9C-101B-9397-08002B2CF9AE}" pid="105" name="FSC#KBACFG@15.1700:ProcZIPCity">
    <vt:lpwstr/>
  </property>
  <property fmtid="{D5CDD505-2E9C-101B-9397-08002B2CF9AE}" pid="106" name="FSC#KBACFG@15.1700:ProcCountry">
    <vt:lpwstr/>
  </property>
  <property fmtid="{D5CDD505-2E9C-101B-9397-08002B2CF9AE}" pid="107" name="FSC#KBACFG@15.1700:FinalVersionDate">
    <vt:lpwstr/>
  </property>
  <property fmtid="{D5CDD505-2E9C-101B-9397-08002B2CF9AE}" pid="108" name="FSC#KBACFG@15.1700:FinalVersionFrom">
    <vt:lpwstr/>
  </property>
  <property fmtid="{D5CDD505-2E9C-101B-9397-08002B2CF9AE}" pid="109" name="FSC#KBACFG@15.1700:OEHead">
    <vt:lpwstr>Jennerjahn, Peter</vt:lpwstr>
  </property>
  <property fmtid="{D5CDD505-2E9C-101B-9397-08002B2CF9AE}" pid="110" name="FSC#KBACFG@15.1700:OEHeadPhone">
    <vt:lpwstr>+49 461 316-1116</vt:lpwstr>
  </property>
  <property fmtid="{D5CDD505-2E9C-101B-9397-08002B2CF9AE}" pid="111" name="FSC#KBACFG@15.1700:ProcAqusitionNumber">
    <vt:lpwstr/>
  </property>
  <property fmtid="{D5CDD505-2E9C-101B-9397-08002B2CF9AE}" pid="112" name="FSC#KBACFG@15.1700:ProcCostType">
    <vt:lpwstr/>
  </property>
  <property fmtid="{D5CDD505-2E9C-101B-9397-08002B2CF9AE}" pid="113" name="FSC#KBACFG@15.1700:ProcPartnerNumber">
    <vt:lpwstr/>
  </property>
  <property fmtid="{D5CDD505-2E9C-101B-9397-08002B2CF9AE}" pid="114" name="FSC#KBACFG@15.1700:DescriptionAttr">
    <vt:lpwstr>Vorschlag Schläucheproblem</vt:lpwstr>
  </property>
  <property fmtid="{D5CDD505-2E9C-101B-9397-08002B2CF9AE}" pid="115" name="FSC#COOELAK@1.1001:Subject">
    <vt:lpwstr>FKT-SdA Sicherheit von Gas- und Wasserstoff-Fahrzeugen</vt:lpwstr>
  </property>
  <property fmtid="{D5CDD505-2E9C-101B-9397-08002B2CF9AE}" pid="116" name="FSC#COOELAK@1.1001:FileReference">
    <vt:lpwstr>400-411/009</vt:lpwstr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9</vt:lpwstr>
  </property>
  <property fmtid="{D5CDD505-2E9C-101B-9397-08002B2CF9AE}" pid="119" name="FSC#COOELAK@1.1001:FileRefOU">
    <vt:lpwstr/>
  </property>
  <property fmtid="{D5CDD505-2E9C-101B-9397-08002B2CF9AE}" pid="120" name="FSC#COOELAK@1.1001:Organization">
    <vt:lpwstr/>
  </property>
  <property fmtid="{D5CDD505-2E9C-101B-9397-08002B2CF9AE}" pid="121" name="FSC#COOELAK@1.1001:Owner">
    <vt:lpwstr>Asmussen Helge</vt:lpwstr>
  </property>
  <property fmtid="{D5CDD505-2E9C-101B-9397-08002B2CF9AE}" pid="122" name="FSC#COOELAK@1.1001:OwnerExtension">
    <vt:lpwstr>1544</vt:lpwstr>
  </property>
  <property fmtid="{D5CDD505-2E9C-101B-9397-08002B2CF9AE}" pid="123" name="FSC#COOELAK@1.1001:OwnerFaxExtension">
    <vt:lpwstr>1650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412 (Sachgebiet 412)</vt:lpwstr>
  </property>
  <property fmtid="{D5CDD505-2E9C-101B-9397-08002B2CF9AE}" pid="129" name="FSC#COOELAK@1.1001:CreatedAt">
    <vt:lpwstr>09.05.2018</vt:lpwstr>
  </property>
  <property fmtid="{D5CDD505-2E9C-101B-9397-08002B2CF9AE}" pid="130" name="FSC#COOELAK@1.1001:OU">
    <vt:lpwstr>412 (Sachgebiet 412)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*COO.2196.100.12.1377517*</vt:lpwstr>
  </property>
  <property fmtid="{D5CDD505-2E9C-101B-9397-08002B2CF9AE}" pid="133" name="FSC#COOELAK@1.1001:RefBarCode">
    <vt:lpwstr>*COO.2196.100.6.1115844*</vt:lpwstr>
  </property>
  <property fmtid="{D5CDD505-2E9C-101B-9397-08002B2CF9AE}" pid="134" name="FSC#COOELAK@1.1001:FileRefBarCode">
    <vt:lpwstr>*400-411/009*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>+49 461 316-1544</vt:lpwstr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>+49 461 316-1495, -1650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400-411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Helge.Asmussen@kba.de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>09.05.2018</vt:lpwstr>
  </property>
  <property fmtid="{D5CDD505-2E9C-101B-9397-08002B2CF9AE}" pid="161" name="FSC#ATSTATECFG@1.1001:SubfileSubject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162" name="FSC#ATSTATECFG@1.1001:DepartmentZipCode">
    <vt:lpwstr/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/>
  </property>
  <property fmtid="{D5CDD505-2E9C-101B-9397-08002B2CF9AE}" pid="165" name="FSC#ATSTATECFG@1.1001:DepartmentStreet">
    <vt:lpwstr/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400-411/009#010-045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FSCGOVDE@1.1001:FileRefOUEmail">
    <vt:lpwstr/>
  </property>
  <property fmtid="{D5CDD505-2E9C-101B-9397-08002B2CF9AE}" pid="179" name="FSC#FSCGOVDE@1.1001:ProcedureReference">
    <vt:lpwstr>400-411/009#010-1. Treffen: Task Force Regulations 67 and 110</vt:lpwstr>
  </property>
  <property fmtid="{D5CDD505-2E9C-101B-9397-08002B2CF9AE}" pid="180" name="FSC#FSCGOVDE@1.1001:FileSubject">
    <vt:lpwstr>FKT-SdA Sicherheit von Gas- und Wasserstoff-Fahrzeugen</vt:lpwstr>
  </property>
  <property fmtid="{D5CDD505-2E9C-101B-9397-08002B2CF9AE}" pid="181" name="FSC#FSCGOVDE@1.1001:ProcedureSubject">
    <vt:lpwstr>1. Treffen: Task Force Regulations 67 and 110</vt:lpwstr>
  </property>
  <property fmtid="{D5CDD505-2E9C-101B-9397-08002B2CF9AE}" pid="182" name="FSC#FSCGOVDE@1.1001:SignFinalVersionBy">
    <vt:lpwstr> </vt:lpwstr>
  </property>
  <property fmtid="{D5CDD505-2E9C-101B-9397-08002B2CF9AE}" pid="183" name="FSC#FSCGOVDE@1.1001:SignFinalVersionAt">
    <vt:lpwstr/>
  </property>
  <property fmtid="{D5CDD505-2E9C-101B-9397-08002B2CF9AE}" pid="184" name="FSC#FSCGOVDE@1.1001:ProcedureRefBarCode">
    <vt:lpwstr>400-411/009#010-1. Treffen: Task Force Regulations 67 and 110</vt:lpwstr>
  </property>
  <property fmtid="{D5CDD505-2E9C-101B-9397-08002B2CF9AE}" pid="185" name="FSC#FSCGOVDE@1.1001:FileAddSubj">
    <vt:lpwstr/>
  </property>
  <property fmtid="{D5CDD505-2E9C-101B-9397-08002B2CF9AE}" pid="186" name="FSC#FSCGOVDE@1.1001:DocumentSubj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187" name="FSC#FSCGOVDE@1.1001:FileRel">
    <vt:lpwstr/>
  </property>
  <property fmtid="{D5CDD505-2E9C-101B-9397-08002B2CF9AE}" pid="188" name="FSC#COOSYSTEM@1.1:Container">
    <vt:lpwstr>COO.2196.100.12.1377517</vt:lpwstr>
  </property>
  <property fmtid="{D5CDD505-2E9C-101B-9397-08002B2CF9AE}" pid="189" name="FSC#FSCFOLIO@1.1001:docpropproject">
    <vt:lpwstr/>
  </property>
</Properties>
</file>