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76ABC" w:rsidTr="00307D4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6ABC" w:rsidRDefault="00576ABC" w:rsidP="00307D4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76ABC" w:rsidRPr="00B97172" w:rsidRDefault="00576ABC" w:rsidP="00307D4C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76ABC" w:rsidRPr="00D47EEA" w:rsidRDefault="00576ABC" w:rsidP="00307D4C">
            <w:pPr>
              <w:jc w:val="right"/>
            </w:pPr>
            <w:r w:rsidRPr="00BD2999">
              <w:rPr>
                <w:sz w:val="40"/>
              </w:rPr>
              <w:t>ECE</w:t>
            </w:r>
            <w:r>
              <w:t>/TRANS/WP.29/GRSG/2019/33</w:t>
            </w:r>
          </w:p>
        </w:tc>
      </w:tr>
      <w:tr w:rsidR="00576ABC" w:rsidTr="00307D4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76ABC" w:rsidRDefault="00576ABC" w:rsidP="00307D4C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6B1D256" wp14:editId="4EDF29E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6ABC" w:rsidRPr="00D773DF" w:rsidRDefault="00576ABC" w:rsidP="00307D4C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76ABC" w:rsidRDefault="00576ABC" w:rsidP="00307D4C">
            <w:pPr>
              <w:spacing w:before="240" w:line="240" w:lineRule="exact"/>
            </w:pPr>
            <w:r>
              <w:t>Distr.: General</w:t>
            </w:r>
          </w:p>
          <w:p w:rsidR="00576ABC" w:rsidRDefault="00B37B4E" w:rsidP="00307D4C">
            <w:pPr>
              <w:spacing w:line="240" w:lineRule="exact"/>
            </w:pPr>
            <w:r>
              <w:t>19</w:t>
            </w:r>
            <w:r w:rsidR="00576ABC">
              <w:t xml:space="preserve"> July 2019</w:t>
            </w:r>
          </w:p>
          <w:p w:rsidR="00576ABC" w:rsidRDefault="00576ABC" w:rsidP="00307D4C">
            <w:pPr>
              <w:spacing w:line="240" w:lineRule="exact"/>
            </w:pPr>
          </w:p>
          <w:p w:rsidR="00576ABC" w:rsidRDefault="00576ABC" w:rsidP="00307D4C">
            <w:pPr>
              <w:spacing w:line="240" w:lineRule="exact"/>
            </w:pPr>
            <w:r>
              <w:t>Original: English</w:t>
            </w:r>
          </w:p>
        </w:tc>
      </w:tr>
    </w:tbl>
    <w:p w:rsidR="00576ABC" w:rsidRPr="001D703D" w:rsidRDefault="00576ABC" w:rsidP="00576ABC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:rsidR="00576ABC" w:rsidRPr="001D703D" w:rsidRDefault="00576ABC" w:rsidP="00576ABC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:rsidR="00576ABC" w:rsidRDefault="00576ABC" w:rsidP="00576ABC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:rsidR="00576ABC" w:rsidRPr="00BD2999" w:rsidRDefault="00576ABC" w:rsidP="00576ABC">
      <w:pPr>
        <w:spacing w:before="120"/>
        <w:rPr>
          <w:b/>
        </w:rPr>
      </w:pPr>
      <w:r w:rsidRPr="00BD2999">
        <w:rPr>
          <w:b/>
        </w:rPr>
        <w:t>Working Party on General Safety Provisions</w:t>
      </w:r>
    </w:p>
    <w:p w:rsidR="00576ABC" w:rsidRPr="001D703D" w:rsidRDefault="004249F0" w:rsidP="00576AB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 xml:space="preserve">117th </w:t>
      </w:r>
      <w:r w:rsidR="00576ABC" w:rsidRPr="001D703D">
        <w:rPr>
          <w:b/>
          <w:lang w:val="en-US"/>
        </w:rPr>
        <w:t>session</w:t>
      </w:r>
    </w:p>
    <w:p w:rsidR="00576ABC" w:rsidRDefault="00576ABC" w:rsidP="00576ABC">
      <w:pPr>
        <w:rPr>
          <w:lang w:val="en-US"/>
        </w:rPr>
      </w:pPr>
      <w:r>
        <w:rPr>
          <w:lang w:val="en-US"/>
        </w:rPr>
        <w:t>Geneva, 8-11 October 2019</w:t>
      </w:r>
    </w:p>
    <w:p w:rsidR="00B37B4E" w:rsidRPr="001D703D" w:rsidRDefault="00B37B4E" w:rsidP="00576ABC">
      <w:pPr>
        <w:rPr>
          <w:lang w:val="en-US"/>
        </w:rPr>
      </w:pPr>
      <w:r>
        <w:rPr>
          <w:lang w:val="en-US"/>
        </w:rPr>
        <w:t>Item 6(a) of the provisional agenda</w:t>
      </w:r>
    </w:p>
    <w:p w:rsidR="00B37B4E" w:rsidRPr="00256CC2" w:rsidRDefault="00B37B4E" w:rsidP="00B37B4E">
      <w:pPr>
        <w:rPr>
          <w:b/>
        </w:rPr>
      </w:pPr>
      <w:r w:rsidRPr="00256CC2">
        <w:rPr>
          <w:b/>
        </w:rPr>
        <w:t xml:space="preserve">Amendments to safety glazing regulations: </w:t>
      </w:r>
    </w:p>
    <w:p w:rsidR="00446FE5" w:rsidRDefault="00B37B4E" w:rsidP="00B37B4E">
      <w:pPr>
        <w:rPr>
          <w:b/>
          <w:bCs/>
        </w:rPr>
      </w:pPr>
      <w:r w:rsidRPr="00256CC2">
        <w:rPr>
          <w:b/>
        </w:rPr>
        <w:t>UN Global Technical Regulation No. 6 (Safety glazing)</w:t>
      </w:r>
    </w:p>
    <w:p w:rsidR="00576ABC" w:rsidRDefault="00576ABC" w:rsidP="00576ABC">
      <w:pPr>
        <w:pStyle w:val="HChG"/>
        <w:rPr>
          <w:szCs w:val="28"/>
        </w:rPr>
      </w:pPr>
      <w:r>
        <w:tab/>
      </w:r>
      <w:r>
        <w:tab/>
      </w:r>
      <w:r w:rsidRPr="006E0032">
        <w:t xml:space="preserve">Proposal for </w:t>
      </w:r>
      <w:r w:rsidR="008743EB" w:rsidRPr="0046358E">
        <w:rPr>
          <w:szCs w:val="28"/>
        </w:rPr>
        <w:t>Amendment 2 to UN Global Technical Regulation No. 6 (Safety glazing)</w:t>
      </w:r>
    </w:p>
    <w:p w:rsidR="008743EB" w:rsidRPr="008743EB" w:rsidRDefault="008743EB" w:rsidP="008743E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the expert </w:t>
      </w:r>
      <w:r>
        <w:t xml:space="preserve">from the </w:t>
      </w:r>
      <w:r>
        <w:rPr>
          <w:rFonts w:hint="eastAsia"/>
          <w:lang w:eastAsia="ko-KR"/>
        </w:rPr>
        <w:t>Republic of Korea</w:t>
      </w:r>
      <w:r w:rsidRPr="00DF418A">
        <w:rPr>
          <w:vertAlign w:val="superscript"/>
        </w:rPr>
        <w:footnoteReference w:customMarkFollows="1" w:id="2"/>
        <w:t>*</w:t>
      </w:r>
    </w:p>
    <w:p w:rsidR="00576ABC" w:rsidRPr="00B37B4E" w:rsidRDefault="008743EB" w:rsidP="00B37B4E">
      <w:pPr>
        <w:pStyle w:val="SingleTxtG"/>
      </w:pPr>
      <w:r w:rsidRPr="001460B4">
        <w:t>The text reproduced below was submitted by the representative from Republic of Korea with the aim of adaptation of the global technical regulation (GTR) No. 6 to the technical progress, to exempt in Zone I the possible opaque obscuration in the test area on the windscreen of Category 1-2 and 2 vehicles. It is based on informal document GRSG-116-30 and GRSG-116-31, presented at the 116th session of the Working Party on General Safety Provisions (ECE/TRANS/WP.29/GRSG/95, para. 22)</w:t>
      </w:r>
      <w:r w:rsidR="004179AF">
        <w:t>. It is also based on WP.29-178-12, which was discussed by the Executive Committee of the 1998 Agreement (AC.3), see ECE/TRANS/WP.29/1147, para. 158</w:t>
      </w:r>
      <w:r w:rsidRPr="001460B4">
        <w:t>. The modifications to the current text of UN Global Technical Regulation No. 6 are marked in bold characters.</w:t>
      </w:r>
    </w:p>
    <w:p w:rsidR="00576ABC" w:rsidRPr="006E0032" w:rsidRDefault="00576ABC" w:rsidP="008743EB">
      <w:pPr>
        <w:pStyle w:val="HChG"/>
        <w:pageBreakBefore/>
      </w:pPr>
      <w:r>
        <w:rPr>
          <w:spacing w:val="1"/>
        </w:rPr>
        <w:lastRenderedPageBreak/>
        <w:tab/>
      </w:r>
      <w:r w:rsidRPr="006E0032">
        <w:rPr>
          <w:spacing w:val="1"/>
        </w:rPr>
        <w:t>I</w:t>
      </w:r>
      <w:r w:rsidRPr="006E0032">
        <w:t>.</w:t>
      </w:r>
      <w:r w:rsidRPr="006E0032">
        <w:tab/>
        <w:t>Pr</w:t>
      </w:r>
      <w:r w:rsidRPr="006E0032">
        <w:rPr>
          <w:spacing w:val="1"/>
        </w:rPr>
        <w:t>o</w:t>
      </w:r>
      <w:r w:rsidRPr="006E0032">
        <w:t>pos</w:t>
      </w:r>
      <w:r w:rsidRPr="006E0032">
        <w:rPr>
          <w:spacing w:val="1"/>
        </w:rPr>
        <w:t>a</w:t>
      </w:r>
      <w:r w:rsidRPr="006E0032">
        <w:t>l</w:t>
      </w:r>
    </w:p>
    <w:p w:rsidR="00B37B4E" w:rsidRDefault="00B37B4E" w:rsidP="00576ABC">
      <w:pPr>
        <w:pStyle w:val="SingleTxtG"/>
        <w:rPr>
          <w:rFonts w:eastAsia="Malgun Gothic"/>
          <w:lang w:val="en-US" w:eastAsia="ko-KR"/>
        </w:rPr>
      </w:pPr>
      <w:r w:rsidRPr="00B37B4E">
        <w:rPr>
          <w:rFonts w:eastAsia="Malgun Gothic"/>
          <w:i/>
          <w:iCs/>
          <w:lang w:val="en-US" w:eastAsia="ko-KR"/>
        </w:rPr>
        <w:t>Paragraph 7.1.3.3.,</w:t>
      </w:r>
      <w:r>
        <w:rPr>
          <w:rFonts w:eastAsia="Malgun Gothic"/>
          <w:lang w:val="en-US" w:eastAsia="ko-KR"/>
        </w:rPr>
        <w:t xml:space="preserve"> amend to read:</w:t>
      </w:r>
    </w:p>
    <w:p w:rsidR="00B37B4E" w:rsidRPr="00E50549" w:rsidRDefault="008743EB" w:rsidP="00B37B4E">
      <w:pPr>
        <w:pStyle w:val="SingleTxtG"/>
        <w:ind w:left="2268" w:hanging="1134"/>
        <w:rPr>
          <w:rFonts w:eastAsia="Malgun Gothic"/>
          <w:lang w:eastAsia="ko-KR"/>
        </w:rPr>
      </w:pPr>
      <w:bookmarkStart w:id="0" w:name="_GoBack"/>
      <w:bookmarkEnd w:id="0"/>
      <w:r>
        <w:rPr>
          <w:rFonts w:eastAsia="Malgun Gothic"/>
          <w:lang w:eastAsia="ko-KR"/>
        </w:rPr>
        <w:t>“</w:t>
      </w:r>
      <w:r w:rsidR="00B37B4E" w:rsidRPr="00E50549">
        <w:rPr>
          <w:rFonts w:eastAsia="Malgun Gothic"/>
          <w:lang w:eastAsia="ko-KR"/>
        </w:rPr>
        <w:t>7.1.3.3.</w:t>
      </w:r>
      <w:r w:rsidR="00B37B4E" w:rsidRPr="00E50549">
        <w:rPr>
          <w:rFonts w:eastAsia="Malgun Gothic"/>
          <w:lang w:eastAsia="ko-KR"/>
        </w:rPr>
        <w:tab/>
      </w:r>
      <w:r w:rsidR="00B37B4E">
        <w:rPr>
          <w:rFonts w:eastAsia="Malgun Gothic" w:hint="eastAsia"/>
          <w:lang w:eastAsia="ko-KR"/>
        </w:rPr>
        <w:t xml:space="preserve"> </w:t>
      </w:r>
      <w:r w:rsidR="00B37B4E" w:rsidRPr="00E50549">
        <w:rPr>
          <w:rFonts w:eastAsia="Malgun Gothic"/>
          <w:lang w:eastAsia="ko-KR"/>
        </w:rPr>
        <w:t>Determination of the Test Areas for Category 1-2 and 2 Vehicles using the "O" Point</w:t>
      </w:r>
    </w:p>
    <w:p w:rsidR="00B37B4E" w:rsidRPr="00E50549" w:rsidRDefault="00B37B4E" w:rsidP="00B37B4E">
      <w:pPr>
        <w:pStyle w:val="SingleTxtG"/>
        <w:ind w:left="2268" w:hanging="1134"/>
        <w:rPr>
          <w:rFonts w:eastAsia="Malgun Gothic"/>
          <w:lang w:eastAsia="ko-KR"/>
        </w:rPr>
      </w:pPr>
      <w:r w:rsidRPr="00E50549">
        <w:rPr>
          <w:rFonts w:eastAsia="Malgun Gothic"/>
          <w:lang w:eastAsia="ko-KR"/>
        </w:rPr>
        <w:t>7.1.3.3.1.</w:t>
      </w:r>
      <w:r w:rsidRPr="00E50549">
        <w:rPr>
          <w:rFonts w:eastAsia="Malgun Gothic"/>
          <w:lang w:eastAsia="ko-KR"/>
        </w:rPr>
        <w:tab/>
        <w:t>The straight line OQ which is the horizontal straigh</w:t>
      </w:r>
      <w:r>
        <w:rPr>
          <w:rFonts w:eastAsia="Malgun Gothic"/>
          <w:lang w:eastAsia="ko-KR"/>
        </w:rPr>
        <w:t xml:space="preserve">t line passing through the eye </w:t>
      </w:r>
      <w:r w:rsidRPr="00E50549">
        <w:rPr>
          <w:rFonts w:eastAsia="Malgun Gothic"/>
          <w:lang w:eastAsia="ko-KR"/>
        </w:rPr>
        <w:t>point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O</w:t>
      </w:r>
      <w:r>
        <w:rPr>
          <w:rFonts w:eastAsia="Malgun Gothic"/>
          <w:lang w:eastAsia="ko-KR"/>
        </w:rPr>
        <w:t xml:space="preserve">” </w:t>
      </w:r>
      <w:r w:rsidRPr="00E50549">
        <w:rPr>
          <w:rFonts w:eastAsia="Malgun Gothic"/>
          <w:lang w:eastAsia="ko-KR"/>
        </w:rPr>
        <w:t>and perpendicular to the median longitudinal plane of the vehicle.</w:t>
      </w:r>
    </w:p>
    <w:p w:rsidR="00576ABC" w:rsidRDefault="00576ABC" w:rsidP="00576ABC">
      <w:pPr>
        <w:pStyle w:val="SingleTxtG"/>
        <w:tabs>
          <w:tab w:val="left" w:pos="2268"/>
        </w:tabs>
        <w:rPr>
          <w:rFonts w:eastAsia="Malgun Gothic"/>
          <w:sz w:val="23"/>
          <w:szCs w:val="23"/>
          <w:lang w:val="en-US" w:eastAsia="ko-KR"/>
        </w:rPr>
      </w:pPr>
      <w:r>
        <w:rPr>
          <w:rFonts w:eastAsia="SimSun"/>
          <w:lang w:val="en-US" w:eastAsia="zh-CN"/>
        </w:rPr>
        <w:t>7.1.3.3.2.</w:t>
      </w:r>
      <w:r>
        <w:rPr>
          <w:rFonts w:eastAsia="SimSun"/>
          <w:lang w:val="en-US" w:eastAsia="zh-CN"/>
        </w:rPr>
        <w:tab/>
        <w:t xml:space="preserve">Zone I is the zone determined by the intersection of the windscreen with the </w:t>
      </w:r>
      <w:r>
        <w:rPr>
          <w:rFonts w:eastAsia="SimSun"/>
          <w:lang w:val="en-US" w:eastAsia="zh-CN"/>
        </w:rPr>
        <w:tab/>
        <w:t xml:space="preserve">four </w:t>
      </w:r>
      <w:r w:rsidRPr="00576ABC">
        <w:rPr>
          <w:rFonts w:eastAsia="SimSun"/>
        </w:rPr>
        <w:t>planes defined below</w:t>
      </w:r>
      <w:r>
        <w:rPr>
          <w:rFonts w:eastAsia="SimSun"/>
          <w:sz w:val="23"/>
          <w:szCs w:val="23"/>
          <w:lang w:val="en-US" w:eastAsia="zh-CN"/>
        </w:rPr>
        <w:t>:</w:t>
      </w:r>
    </w:p>
    <w:p w:rsidR="00576ABC" w:rsidRPr="00B37B4E" w:rsidRDefault="00576ABC" w:rsidP="00B37B4E">
      <w:pPr>
        <w:pStyle w:val="SingleTxtG"/>
        <w:ind w:left="2268"/>
        <w:rPr>
          <w:rFonts w:eastAsia="Malgun Gothic"/>
          <w:b/>
          <w:bCs/>
        </w:rPr>
      </w:pPr>
      <w:r w:rsidRPr="00B37B4E">
        <w:rPr>
          <w:rFonts w:eastAsia="Malgun Gothic" w:hint="eastAsia"/>
          <w:b/>
          <w:bCs/>
        </w:rPr>
        <w:t>In a</w:t>
      </w:r>
      <w:r w:rsidRPr="00B37B4E">
        <w:rPr>
          <w:rFonts w:eastAsia="SimSun"/>
          <w:b/>
          <w:bCs/>
        </w:rPr>
        <w:t>ddition</w:t>
      </w:r>
      <w:r w:rsidRPr="00B37B4E">
        <w:rPr>
          <w:rFonts w:eastAsia="Malgun Gothic" w:hint="eastAsia"/>
          <w:b/>
          <w:bCs/>
        </w:rPr>
        <w:t xml:space="preserve">, </w:t>
      </w:r>
      <w:r w:rsidRPr="00B37B4E">
        <w:rPr>
          <w:rFonts w:eastAsia="SimSun"/>
          <w:b/>
          <w:bCs/>
        </w:rPr>
        <w:t>opaque obscuration</w:t>
      </w:r>
      <w:r w:rsidRPr="00B37B4E">
        <w:rPr>
          <w:rFonts w:eastAsia="Malgun Gothic" w:hint="eastAsia"/>
          <w:b/>
          <w:bCs/>
        </w:rPr>
        <w:t xml:space="preserve"> can be exempted in Zone I. It </w:t>
      </w:r>
      <w:r w:rsidRPr="00B37B4E">
        <w:rPr>
          <w:rFonts w:eastAsia="SimSun"/>
          <w:b/>
          <w:bCs/>
        </w:rPr>
        <w:t xml:space="preserve">is </w:t>
      </w:r>
      <w:r w:rsidRPr="00B37B4E">
        <w:rPr>
          <w:rFonts w:eastAsia="Malgun Gothic" w:hint="eastAsia"/>
          <w:b/>
          <w:bCs/>
        </w:rPr>
        <w:t xml:space="preserve">the </w:t>
      </w:r>
      <w:r w:rsidRPr="00B37B4E">
        <w:rPr>
          <w:rFonts w:eastAsia="SimSun"/>
          <w:b/>
          <w:bCs/>
        </w:rPr>
        <w:t>limited areas where it is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intended</w:t>
      </w:r>
      <w:r w:rsidRPr="00B37B4E">
        <w:rPr>
          <w:rFonts w:eastAsia="Malgun Gothic" w:hint="eastAsia"/>
          <w:b/>
          <w:bCs/>
        </w:rPr>
        <w:t xml:space="preserve"> that a </w:t>
      </w:r>
      <w:r w:rsidRPr="00B37B4E">
        <w:rPr>
          <w:rFonts w:eastAsia="SimSun"/>
          <w:b/>
          <w:bCs/>
        </w:rPr>
        <w:t>sensing device, e.g. a rain-drop detector</w:t>
      </w:r>
      <w:r w:rsidRPr="00B37B4E">
        <w:rPr>
          <w:rFonts w:eastAsia="Malgun Gothic" w:hint="eastAsia"/>
          <w:b/>
          <w:bCs/>
        </w:rPr>
        <w:t>,</w:t>
      </w:r>
      <w:r w:rsidRPr="00B37B4E">
        <w:rPr>
          <w:rFonts w:eastAsia="SimSun"/>
          <w:b/>
          <w:bCs/>
        </w:rPr>
        <w:t xml:space="preserve"> rear view mirror </w:t>
      </w:r>
      <w:r w:rsidRPr="00B37B4E">
        <w:rPr>
          <w:rFonts w:eastAsia="Malgun Gothic" w:hint="eastAsia"/>
          <w:b/>
          <w:bCs/>
        </w:rPr>
        <w:t xml:space="preserve">or autonomous sensors, </w:t>
      </w:r>
      <w:r w:rsidRPr="00B37B4E">
        <w:rPr>
          <w:rFonts w:eastAsia="SimSun"/>
          <w:b/>
          <w:bCs/>
        </w:rPr>
        <w:t>will be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bonded to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 xml:space="preserve">the inner side of the windscreen. The </w:t>
      </w:r>
      <w:r w:rsidRPr="00B37B4E">
        <w:rPr>
          <w:rFonts w:eastAsia="Malgun Gothic" w:hint="eastAsia"/>
          <w:b/>
          <w:bCs/>
        </w:rPr>
        <w:t>opaque obscuration w</w:t>
      </w:r>
      <w:r w:rsidRPr="00B37B4E">
        <w:rPr>
          <w:rFonts w:eastAsia="SimSun"/>
          <w:b/>
          <w:bCs/>
        </w:rPr>
        <w:t>here such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devices may be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 xml:space="preserve">applied </w:t>
      </w:r>
      <w:r w:rsidRPr="00B37B4E">
        <w:rPr>
          <w:rFonts w:eastAsia="Malgun Gothic" w:hint="eastAsia"/>
          <w:b/>
          <w:bCs/>
        </w:rPr>
        <w:t>is</w:t>
      </w:r>
      <w:r w:rsidRPr="00B37B4E">
        <w:rPr>
          <w:rFonts w:eastAsia="SimSun"/>
          <w:b/>
          <w:bCs/>
        </w:rPr>
        <w:t xml:space="preserve"> defined in paragraph 7.1.3.2.4. of this annex.</w:t>
      </w:r>
    </w:p>
    <w:p w:rsidR="00576ABC" w:rsidRPr="00B37B4E" w:rsidRDefault="00576ABC" w:rsidP="00B37B4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P1 a vertical plane passing through 0 and forming an angle of 15° to the left of the median longitudinal plane of the vehicle;</w:t>
      </w:r>
    </w:p>
    <w:p w:rsidR="00576ABC" w:rsidRPr="00B37B4E" w:rsidRDefault="00576ABC" w:rsidP="00B37B4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P2 a vertical plane symmetrical to P1 about the median longitudinal plane of the vehicle.</w:t>
      </w:r>
    </w:p>
    <w:p w:rsidR="00576ABC" w:rsidRPr="00B37B4E" w:rsidRDefault="00576ABC" w:rsidP="00B37B4E">
      <w:pPr>
        <w:pStyle w:val="SingleTxtG"/>
        <w:ind w:left="2268"/>
        <w:rPr>
          <w:rFonts w:eastAsia="Malgun Gothic"/>
        </w:rPr>
      </w:pPr>
      <w:r w:rsidRPr="00B37B4E">
        <w:rPr>
          <w:rFonts w:eastAsia="SimSun"/>
        </w:rPr>
        <w:t>If this is not possible (in the absence of a symmetrical median longitudinal plane, for instance) P2 shall be the plane symmetrical to P1 about the longitudinal plane of the vehicle passing through point O.</w:t>
      </w:r>
    </w:p>
    <w:p w:rsidR="00576ABC" w:rsidRPr="00B37B4E" w:rsidRDefault="00576ABC" w:rsidP="00B37B4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P3 a plane passing through a transverse horizontal line containing O and forming an angle of 10° above the horizontal plane;</w:t>
      </w:r>
    </w:p>
    <w:p w:rsidR="00576ABC" w:rsidRDefault="00576ABC" w:rsidP="00B37B4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P4 a plane passing through a transverse horizontal line containing O and forming an angle of 8°</w:t>
      </w:r>
      <w:r w:rsidRPr="00B37B4E">
        <w:rPr>
          <w:rFonts w:eastAsia="Malgun Gothic" w:hint="eastAsia"/>
        </w:rPr>
        <w:t xml:space="preserve"> </w:t>
      </w:r>
      <w:r w:rsidRPr="00B37B4E">
        <w:rPr>
          <w:rFonts w:eastAsia="SimSun"/>
        </w:rPr>
        <w:t>below the horizontal plane;</w:t>
      </w:r>
    </w:p>
    <w:p w:rsidR="00B37B4E" w:rsidRPr="00B37B4E" w:rsidRDefault="00B37B4E" w:rsidP="008743EB">
      <w:pPr>
        <w:pStyle w:val="SingleTxtG"/>
        <w:ind w:left="2268"/>
        <w:jc w:val="left"/>
        <w:rPr>
          <w:rFonts w:eastAsia="Malgun Gothic"/>
          <w:b/>
          <w:bCs/>
        </w:rPr>
      </w:pPr>
      <w:r w:rsidRPr="00B37B4E">
        <w:rPr>
          <w:rFonts w:eastAsia="Malgun Gothic"/>
          <w:b/>
          <w:bCs/>
        </w:rPr>
        <w:t>Figure 4</w:t>
      </w:r>
      <w:r>
        <w:rPr>
          <w:rFonts w:eastAsia="Malgun Gothic"/>
          <w:b/>
          <w:bCs/>
        </w:rPr>
        <w:br/>
        <w:t>Determination of Zone I</w:t>
      </w:r>
    </w:p>
    <w:p w:rsidR="00576ABC" w:rsidRDefault="00576ABC" w:rsidP="00576AB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Malgun Gothic"/>
          <w:sz w:val="23"/>
          <w:szCs w:val="23"/>
          <w:lang w:val="en-US" w:eastAsia="ko-KR"/>
        </w:rPr>
      </w:pPr>
      <w:r>
        <w:rPr>
          <w:noProof/>
          <w:lang w:eastAsia="zh-CN"/>
        </w:rPr>
        <w:drawing>
          <wp:inline distT="0" distB="0" distL="0" distR="0" wp14:anchorId="4F8AF4E1" wp14:editId="20E14DEE">
            <wp:extent cx="3547690" cy="2279650"/>
            <wp:effectExtent l="0" t="0" r="0" b="635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548733" cy="228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B4E" w:rsidRPr="00B37B4E" w:rsidRDefault="00B37B4E" w:rsidP="00B37B4E">
      <w:pPr>
        <w:pStyle w:val="SingleTxtG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7.1.3.</w:t>
      </w:r>
      <w:r w:rsidRPr="00B37B4E">
        <w:rPr>
          <w:rFonts w:eastAsia="Malgun Gothic" w:hint="eastAsia"/>
          <w:b/>
          <w:bCs/>
          <w:lang w:eastAsia="ko-KR"/>
        </w:rPr>
        <w:t>3.3.</w:t>
      </w:r>
      <w:r w:rsidRPr="00B37B4E">
        <w:rPr>
          <w:rFonts w:eastAsia="Malgun Gothic"/>
          <w:b/>
          <w:bCs/>
          <w:lang w:eastAsia="ko-KR"/>
        </w:rPr>
        <w:tab/>
        <w:t xml:space="preserve">Determination of the </w:t>
      </w:r>
      <w:r w:rsidRPr="00B37B4E">
        <w:rPr>
          <w:rFonts w:eastAsia="Malgun Gothic" w:hint="eastAsia"/>
          <w:b/>
          <w:bCs/>
          <w:lang w:eastAsia="ko-KR"/>
        </w:rPr>
        <w:t xml:space="preserve">opaque obscuration </w:t>
      </w:r>
    </w:p>
    <w:p w:rsidR="00B37B4E" w:rsidRPr="00B37B4E" w:rsidRDefault="00B37B4E" w:rsidP="00B37B4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P5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plane passing through a transverse horizontal line containing O and forming</w:t>
      </w:r>
      <w:r w:rsidRPr="00B37B4E">
        <w:rPr>
          <w:rFonts w:eastAsia="Malgun Gothic" w:hint="eastAsia"/>
          <w:b/>
          <w:bCs/>
          <w:lang w:eastAsia="ko-KR"/>
        </w:rPr>
        <w:t xml:space="preserve"> an</w:t>
      </w:r>
      <w:r w:rsidRPr="00B37B4E">
        <w:rPr>
          <w:rFonts w:eastAsia="Malgun Gothic"/>
          <w:b/>
          <w:bCs/>
          <w:lang w:eastAsia="ko-KR"/>
        </w:rPr>
        <w:t xml:space="preserve"> </w:t>
      </w:r>
      <w:r w:rsidRPr="00B37B4E">
        <w:rPr>
          <w:rFonts w:eastAsia="Malgun Gothic" w:hint="eastAsia"/>
          <w:b/>
          <w:bCs/>
          <w:lang w:eastAsia="ko-KR"/>
        </w:rPr>
        <w:t xml:space="preserve">angle </w:t>
      </w:r>
      <w:r w:rsidRPr="00B37B4E">
        <w:rPr>
          <w:rFonts w:eastAsia="Malgun Gothic"/>
          <w:b/>
          <w:bCs/>
          <w:lang w:eastAsia="ko-KR"/>
        </w:rPr>
        <w:t xml:space="preserve">of </w:t>
      </w:r>
      <w:r w:rsidRPr="00B37B4E">
        <w:rPr>
          <w:rFonts w:eastAsia="Malgun Gothic" w:hint="eastAsia"/>
          <w:b/>
          <w:bCs/>
          <w:lang w:eastAsia="ko-KR"/>
        </w:rPr>
        <w:t>5</w:t>
      </w:r>
      <w:r w:rsidRPr="00B37B4E">
        <w:rPr>
          <w:rFonts w:eastAsia="Malgun Gothic"/>
          <w:b/>
          <w:bCs/>
          <w:lang w:eastAsia="ko-KR"/>
        </w:rPr>
        <w:t>° above the horizontal plane</w:t>
      </w:r>
    </w:p>
    <w:p w:rsidR="00B37B4E" w:rsidRPr="00B37B4E" w:rsidRDefault="00B37B4E" w:rsidP="00B37B4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P6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vertical plane passing through O and inclined at 20° to the right of the X axis in the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case of left-hand drive vehicles and to the left of the X axis in the case of right-hand drive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vehicles.</w:t>
      </w:r>
    </w:p>
    <w:p w:rsidR="00B37B4E" w:rsidRPr="00B37B4E" w:rsidRDefault="00B37B4E" w:rsidP="00B37B4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P7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plane symmetrical to P6 in relation to the longitudinal median plane of the vehicle;</w:t>
      </w:r>
    </w:p>
    <w:p w:rsidR="00B37B4E" w:rsidRPr="00B37B4E" w:rsidRDefault="00B37B4E" w:rsidP="00B37B4E">
      <w:pPr>
        <w:pStyle w:val="SingleTxtG"/>
        <w:ind w:left="2268" w:hanging="1134"/>
        <w:rPr>
          <w:b/>
          <w:bCs/>
          <w:lang w:eastAsia="ko-KR"/>
        </w:rPr>
      </w:pPr>
      <w:r w:rsidRPr="00B37B4E">
        <w:rPr>
          <w:b/>
          <w:bCs/>
          <w:lang w:eastAsia="ko-KR"/>
        </w:rPr>
        <w:lastRenderedPageBreak/>
        <w:t>7.1.3.</w:t>
      </w:r>
      <w:r w:rsidRPr="00B37B4E">
        <w:rPr>
          <w:rFonts w:hint="eastAsia"/>
          <w:b/>
          <w:bCs/>
          <w:lang w:eastAsia="ko-KR"/>
        </w:rPr>
        <w:t>3.3.</w:t>
      </w:r>
      <w:r w:rsidRPr="00B37B4E">
        <w:rPr>
          <w:b/>
          <w:bCs/>
          <w:lang w:eastAsia="ko-KR"/>
        </w:rPr>
        <w:t>1</w:t>
      </w:r>
      <w:r w:rsidRPr="00B37B4E">
        <w:rPr>
          <w:rFonts w:hint="eastAsia"/>
          <w:b/>
          <w:bCs/>
          <w:lang w:eastAsia="ko-KR"/>
        </w:rPr>
        <w:t>.</w:t>
      </w:r>
      <w:r w:rsidRPr="00B37B4E">
        <w:rPr>
          <w:b/>
          <w:bCs/>
          <w:lang w:eastAsia="ko-KR"/>
        </w:rPr>
        <w:tab/>
      </w:r>
      <w:r w:rsidRPr="00B37B4E">
        <w:rPr>
          <w:rFonts w:hint="eastAsia"/>
          <w:b/>
          <w:bCs/>
          <w:lang w:eastAsia="ko-KR"/>
        </w:rPr>
        <w:t>At</w:t>
      </w:r>
      <w:r w:rsidRPr="00B37B4E">
        <w:rPr>
          <w:b/>
          <w:bCs/>
          <w:lang w:eastAsia="ko-KR"/>
        </w:rPr>
        <w:t xml:space="preserve"> the discretion of the vehicle manufacturer, one of the two following paragraphs may</w:t>
      </w:r>
      <w:r w:rsidRPr="00B37B4E">
        <w:rPr>
          <w:rFonts w:hint="eastAsia"/>
          <w:b/>
          <w:bCs/>
          <w:lang w:eastAsia="ko-KR"/>
        </w:rPr>
        <w:t xml:space="preserve"> </w:t>
      </w:r>
      <w:r w:rsidRPr="00B37B4E">
        <w:rPr>
          <w:b/>
          <w:bCs/>
          <w:lang w:eastAsia="ko-KR"/>
        </w:rPr>
        <w:t>apply:</w:t>
      </w:r>
      <w:r w:rsidRPr="00B37B4E">
        <w:rPr>
          <w:rFonts w:hint="eastAsia"/>
          <w:b/>
          <w:bCs/>
          <w:lang w:eastAsia="ko-KR"/>
        </w:rPr>
        <w:t xml:space="preserve"> </w:t>
      </w:r>
      <w:r w:rsidRPr="00B37B4E">
        <w:rPr>
          <w:rFonts w:eastAsia="Malgun Gothic" w:hint="eastAsia"/>
          <w:b/>
          <w:bCs/>
          <w:lang w:val="en-US" w:eastAsia="ko-KR"/>
        </w:rPr>
        <w:t>(See Figure 4(a) or Figure 4(b))</w:t>
      </w:r>
    </w:p>
    <w:p w:rsidR="00B37B4E" w:rsidRPr="00B37B4E" w:rsidRDefault="00B37B4E" w:rsidP="00B37B4E">
      <w:pPr>
        <w:pStyle w:val="SingleTxtG"/>
        <w:ind w:left="2268" w:hanging="1134"/>
        <w:rPr>
          <w:b/>
          <w:bCs/>
          <w:lang w:eastAsia="ko-KR"/>
        </w:rPr>
      </w:pPr>
      <w:r w:rsidRPr="00B37B4E">
        <w:rPr>
          <w:b/>
          <w:bCs/>
          <w:lang w:eastAsia="ko-KR"/>
        </w:rPr>
        <w:t>7.1.3.</w:t>
      </w:r>
      <w:r w:rsidRPr="00B37B4E">
        <w:rPr>
          <w:rFonts w:hint="eastAsia"/>
          <w:b/>
          <w:bCs/>
          <w:lang w:eastAsia="ko-KR"/>
        </w:rPr>
        <w:t>3</w:t>
      </w:r>
      <w:r w:rsidRPr="00B37B4E">
        <w:rPr>
          <w:b/>
          <w:bCs/>
          <w:lang w:eastAsia="ko-KR"/>
        </w:rPr>
        <w:t>.</w:t>
      </w:r>
      <w:r w:rsidRPr="00B37B4E">
        <w:rPr>
          <w:rFonts w:hint="eastAsia"/>
          <w:b/>
          <w:bCs/>
          <w:lang w:eastAsia="ko-KR"/>
        </w:rPr>
        <w:t>3</w:t>
      </w:r>
      <w:r w:rsidRPr="00B37B4E">
        <w:rPr>
          <w:b/>
          <w:bCs/>
          <w:lang w:eastAsia="ko-KR"/>
        </w:rPr>
        <w:t>.1.</w:t>
      </w:r>
      <w:r w:rsidRPr="00B37B4E">
        <w:rPr>
          <w:rFonts w:hint="eastAsia"/>
          <w:b/>
          <w:bCs/>
          <w:lang w:eastAsia="ko-KR"/>
        </w:rPr>
        <w:t xml:space="preserve">1.  </w:t>
      </w:r>
      <w:r w:rsidRPr="00B37B4E">
        <w:rPr>
          <w:b/>
          <w:bCs/>
          <w:lang w:eastAsia="ko-KR"/>
        </w:rPr>
        <w:t>Any opaque obscuration bounded downwards by P5 and laterally by P6 and P7;</w:t>
      </w:r>
    </w:p>
    <w:p w:rsidR="00B37B4E" w:rsidRDefault="00B37B4E" w:rsidP="00B37B4E">
      <w:pPr>
        <w:pStyle w:val="SingleTxtG"/>
        <w:ind w:left="2268" w:hanging="1134"/>
        <w:rPr>
          <w:b/>
          <w:bCs/>
          <w:lang w:eastAsia="ko-KR"/>
        </w:rPr>
      </w:pPr>
      <w:r w:rsidRPr="00B37B4E">
        <w:rPr>
          <w:b/>
          <w:bCs/>
          <w:lang w:eastAsia="ko-KR"/>
        </w:rPr>
        <w:t>7.1.3.</w:t>
      </w:r>
      <w:r w:rsidRPr="00B37B4E">
        <w:rPr>
          <w:rFonts w:hint="eastAsia"/>
          <w:b/>
          <w:bCs/>
          <w:lang w:eastAsia="ko-KR"/>
        </w:rPr>
        <w:t>3</w:t>
      </w:r>
      <w:r w:rsidRPr="00B37B4E">
        <w:rPr>
          <w:b/>
          <w:bCs/>
          <w:lang w:eastAsia="ko-KR"/>
        </w:rPr>
        <w:t>.</w:t>
      </w:r>
      <w:r w:rsidRPr="00B37B4E">
        <w:rPr>
          <w:rFonts w:hint="eastAsia"/>
          <w:b/>
          <w:bCs/>
          <w:lang w:eastAsia="ko-KR"/>
        </w:rPr>
        <w:t>3</w:t>
      </w:r>
      <w:r w:rsidRPr="00B37B4E">
        <w:rPr>
          <w:b/>
          <w:bCs/>
          <w:lang w:eastAsia="ko-KR"/>
        </w:rPr>
        <w:t>.</w:t>
      </w:r>
      <w:r w:rsidRPr="00B37B4E">
        <w:rPr>
          <w:rFonts w:hint="eastAsia"/>
          <w:b/>
          <w:bCs/>
          <w:lang w:eastAsia="ko-KR"/>
        </w:rPr>
        <w:t>1.</w:t>
      </w:r>
      <w:r w:rsidRPr="00B37B4E">
        <w:rPr>
          <w:b/>
          <w:bCs/>
          <w:lang w:eastAsia="ko-KR"/>
        </w:rPr>
        <w:t>2.</w:t>
      </w:r>
      <w:r w:rsidRPr="00B37B4E">
        <w:rPr>
          <w:rFonts w:hint="eastAsia"/>
          <w:b/>
          <w:bCs/>
          <w:lang w:eastAsia="ko-KR"/>
        </w:rPr>
        <w:t xml:space="preserve">  </w:t>
      </w:r>
      <w:r w:rsidRPr="00B37B4E">
        <w:rPr>
          <w:b/>
          <w:bCs/>
          <w:lang w:eastAsia="ko-KR"/>
        </w:rPr>
        <w:t>Any opaque obscuration bounded downwards by P5, provided it is inscribed in an area 300 mm wide centred on the longitudinal median plane of the vehicle.</w:t>
      </w:r>
    </w:p>
    <w:p w:rsidR="00B37B4E" w:rsidRPr="00B37B4E" w:rsidRDefault="00B37B4E" w:rsidP="008743EB">
      <w:pPr>
        <w:pStyle w:val="SingleTxtG"/>
        <w:ind w:left="2268"/>
        <w:jc w:val="left"/>
        <w:rPr>
          <w:b/>
          <w:bCs/>
          <w:lang w:eastAsia="ko-KR"/>
        </w:rPr>
      </w:pPr>
      <w:r w:rsidRPr="00B37B4E">
        <w:rPr>
          <w:b/>
          <w:bCs/>
          <w:lang w:val="en-US"/>
        </w:rPr>
        <w:t xml:space="preserve">Figure </w:t>
      </w:r>
      <w:r w:rsidRPr="00B37B4E">
        <w:rPr>
          <w:rFonts w:hint="eastAsia"/>
          <w:b/>
          <w:bCs/>
          <w:lang w:val="en-US" w:eastAsia="ko-KR"/>
        </w:rPr>
        <w:t>4</w:t>
      </w:r>
      <w:r w:rsidRPr="00B37B4E">
        <w:rPr>
          <w:b/>
          <w:bCs/>
          <w:lang w:val="en-US"/>
        </w:rPr>
        <w:t>(a)</w:t>
      </w:r>
      <w:r>
        <w:rPr>
          <w:b/>
          <w:bCs/>
          <w:lang w:val="en-US"/>
        </w:rPr>
        <w:br/>
      </w:r>
      <w:r w:rsidRPr="00B37B4E">
        <w:rPr>
          <w:rFonts w:hint="eastAsia"/>
          <w:b/>
          <w:bCs/>
          <w:lang w:val="en-US" w:eastAsia="ko-KR"/>
        </w:rPr>
        <w:t>Zone I</w:t>
      </w:r>
      <w:r w:rsidRPr="00B37B4E">
        <w:rPr>
          <w:b/>
          <w:bCs/>
          <w:lang w:val="en-US"/>
        </w:rPr>
        <w:t xml:space="preserve"> (example of a left-hand steering control vehicle)</w:t>
      </w:r>
      <w:r>
        <w:rPr>
          <w:b/>
          <w:bCs/>
          <w:lang w:val="en-US"/>
        </w:rPr>
        <w:br/>
        <w:t>(</w:t>
      </w:r>
      <w:r w:rsidRPr="00B37B4E">
        <w:rPr>
          <w:b/>
          <w:bCs/>
          <w:lang w:val="en-US"/>
        </w:rPr>
        <w:t>Upper obscuration area as defined in paragraph 7.1.3.</w:t>
      </w:r>
      <w:r w:rsidRPr="00B37B4E">
        <w:rPr>
          <w:rFonts w:hint="eastAsia"/>
          <w:b/>
          <w:bCs/>
          <w:lang w:val="en-US" w:eastAsia="ko-KR"/>
        </w:rPr>
        <w:t>3</w:t>
      </w:r>
      <w:r w:rsidRPr="00B37B4E">
        <w:rPr>
          <w:b/>
          <w:bCs/>
          <w:lang w:val="en-US"/>
        </w:rPr>
        <w:t>.</w:t>
      </w:r>
      <w:r w:rsidRPr="00B37B4E">
        <w:rPr>
          <w:rFonts w:hint="eastAsia"/>
          <w:b/>
          <w:bCs/>
          <w:lang w:val="en-US" w:eastAsia="ko-KR"/>
        </w:rPr>
        <w:t>3.1.1.</w:t>
      </w:r>
      <w:r>
        <w:rPr>
          <w:b/>
          <w:bCs/>
          <w:lang w:val="en-US" w:eastAsia="ko-KR"/>
        </w:rPr>
        <w:t>)</w:t>
      </w:r>
    </w:p>
    <w:p w:rsidR="00B37B4E" w:rsidRDefault="00B37B4E" w:rsidP="00B37B4E">
      <w:pPr>
        <w:ind w:firstLineChars="450" w:firstLine="1035"/>
        <w:jc w:val="center"/>
        <w:rPr>
          <w:bCs/>
          <w:sz w:val="23"/>
          <w:szCs w:val="23"/>
          <w:lang w:eastAsia="ko-KR"/>
        </w:rPr>
      </w:pPr>
      <w:r>
        <w:rPr>
          <w:bCs/>
          <w:noProof/>
          <w:sz w:val="23"/>
          <w:szCs w:val="23"/>
          <w:lang w:eastAsia="zh-CN"/>
        </w:rPr>
        <w:drawing>
          <wp:inline distT="0" distB="0" distL="0" distR="0" wp14:anchorId="0102C44F" wp14:editId="6231B961">
            <wp:extent cx="4067251" cy="2566347"/>
            <wp:effectExtent l="0" t="0" r="0" b="571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a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877" cy="256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4E" w:rsidRPr="00B37B4E" w:rsidRDefault="00B37B4E" w:rsidP="008743EB">
      <w:pPr>
        <w:pStyle w:val="SingleTxtG"/>
        <w:ind w:left="2268"/>
        <w:jc w:val="left"/>
        <w:rPr>
          <w:b/>
          <w:bCs/>
          <w:lang w:eastAsia="ko-KR"/>
        </w:rPr>
      </w:pPr>
      <w:r w:rsidRPr="00B37B4E">
        <w:rPr>
          <w:b/>
          <w:bCs/>
          <w:lang w:val="en-US"/>
        </w:rPr>
        <w:t xml:space="preserve">Figure </w:t>
      </w:r>
      <w:r w:rsidRPr="00B37B4E">
        <w:rPr>
          <w:rFonts w:hint="eastAsia"/>
          <w:b/>
          <w:bCs/>
          <w:lang w:val="en-US" w:eastAsia="ko-KR"/>
        </w:rPr>
        <w:t>4</w:t>
      </w:r>
      <w:r w:rsidRPr="00B37B4E">
        <w:rPr>
          <w:b/>
          <w:bCs/>
          <w:lang w:val="en-US"/>
        </w:rPr>
        <w:t>(</w:t>
      </w:r>
      <w:r w:rsidRPr="00B37B4E">
        <w:rPr>
          <w:rFonts w:hint="eastAsia"/>
          <w:b/>
          <w:bCs/>
          <w:lang w:val="en-US" w:eastAsia="ko-KR"/>
        </w:rPr>
        <w:t>b</w:t>
      </w:r>
      <w:r w:rsidRPr="00B37B4E">
        <w:rPr>
          <w:b/>
          <w:bCs/>
          <w:lang w:val="en-US"/>
        </w:rPr>
        <w:t>)</w:t>
      </w:r>
      <w:r w:rsidRPr="00B37B4E">
        <w:rPr>
          <w:b/>
          <w:bCs/>
          <w:lang w:val="en-US"/>
        </w:rPr>
        <w:br/>
      </w:r>
      <w:r w:rsidRPr="00B37B4E">
        <w:rPr>
          <w:rFonts w:hint="eastAsia"/>
          <w:b/>
          <w:bCs/>
          <w:lang w:val="en-US" w:eastAsia="ko-KR"/>
        </w:rPr>
        <w:t>Zone I</w:t>
      </w:r>
      <w:r w:rsidRPr="00B37B4E">
        <w:rPr>
          <w:b/>
          <w:bCs/>
          <w:lang w:val="en-US"/>
        </w:rPr>
        <w:t xml:space="preserve"> (example of a left-hand steering control vehicle)</w:t>
      </w:r>
      <w:r>
        <w:rPr>
          <w:b/>
          <w:bCs/>
          <w:lang w:val="en-US"/>
        </w:rPr>
        <w:br/>
        <w:t>(</w:t>
      </w:r>
      <w:r w:rsidRPr="00B37B4E">
        <w:rPr>
          <w:b/>
          <w:bCs/>
          <w:lang w:val="en-US"/>
        </w:rPr>
        <w:t>Upper obscuration area as defined in paragraph 7.1.3.</w:t>
      </w:r>
      <w:r w:rsidRPr="00B37B4E">
        <w:rPr>
          <w:rFonts w:hint="eastAsia"/>
          <w:b/>
          <w:bCs/>
          <w:lang w:val="en-US" w:eastAsia="ko-KR"/>
        </w:rPr>
        <w:t>3</w:t>
      </w:r>
      <w:r w:rsidRPr="00B37B4E">
        <w:rPr>
          <w:b/>
          <w:bCs/>
          <w:lang w:val="en-US"/>
        </w:rPr>
        <w:t>.</w:t>
      </w:r>
      <w:r w:rsidRPr="00B37B4E">
        <w:rPr>
          <w:rFonts w:hint="eastAsia"/>
          <w:b/>
          <w:bCs/>
          <w:lang w:val="en-US" w:eastAsia="ko-KR"/>
        </w:rPr>
        <w:t>3.1.2.</w:t>
      </w:r>
      <w:r>
        <w:rPr>
          <w:b/>
          <w:bCs/>
          <w:lang w:val="en-US" w:eastAsia="ko-KR"/>
        </w:rPr>
        <w:t>)</w:t>
      </w:r>
    </w:p>
    <w:p w:rsidR="00B37B4E" w:rsidRDefault="00B37B4E" w:rsidP="00B37B4E">
      <w:pPr>
        <w:ind w:firstLineChars="450" w:firstLine="1035"/>
        <w:jc w:val="center"/>
        <w:rPr>
          <w:bCs/>
          <w:sz w:val="23"/>
          <w:szCs w:val="23"/>
          <w:lang w:eastAsia="ko-KR"/>
        </w:rPr>
      </w:pPr>
      <w:r>
        <w:rPr>
          <w:rFonts w:hint="eastAsia"/>
          <w:bCs/>
          <w:noProof/>
          <w:sz w:val="23"/>
          <w:szCs w:val="23"/>
          <w:lang w:eastAsia="zh-CN"/>
        </w:rPr>
        <w:drawing>
          <wp:inline distT="0" distB="0" distL="0" distR="0" wp14:anchorId="28A19E4D" wp14:editId="5B42A9AB">
            <wp:extent cx="4320061" cy="2750515"/>
            <wp:effectExtent l="0" t="0" r="444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b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10" cy="274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3EB">
        <w:rPr>
          <w:bCs/>
          <w:sz w:val="23"/>
          <w:szCs w:val="23"/>
          <w:lang w:eastAsia="ko-KR"/>
        </w:rPr>
        <w:t>”</w:t>
      </w:r>
    </w:p>
    <w:p w:rsidR="00B37B4E" w:rsidRPr="00B37B4E" w:rsidRDefault="00B37B4E" w:rsidP="00B37B4E">
      <w:pPr>
        <w:pStyle w:val="SingleTxtG"/>
        <w:rPr>
          <w:rFonts w:eastAsia="Malgun Gothic"/>
        </w:rPr>
      </w:pPr>
    </w:p>
    <w:p w:rsidR="00576ABC" w:rsidRPr="008C0C40" w:rsidRDefault="00576ABC" w:rsidP="00576ABC">
      <w:pPr>
        <w:pStyle w:val="HChG"/>
      </w:pPr>
      <w:r w:rsidRPr="00B37B4E">
        <w:tab/>
      </w:r>
      <w:r w:rsidRPr="008C0C40">
        <w:t>II.</w:t>
      </w:r>
      <w:r w:rsidRPr="008C0C40">
        <w:tab/>
      </w:r>
      <w:r w:rsidRPr="006E0032">
        <w:tab/>
        <w:t>Justification</w:t>
      </w:r>
    </w:p>
    <w:p w:rsidR="008C0C40" w:rsidRPr="009B25FA" w:rsidRDefault="008C0C40" w:rsidP="008C0C40">
      <w:pPr>
        <w:pStyle w:val="SingleTxtG"/>
        <w:rPr>
          <w:lang w:val="en-US"/>
        </w:rPr>
      </w:pPr>
      <w:r>
        <w:rPr>
          <w:rFonts w:eastAsia="Malgun Gothic"/>
          <w:lang w:val="en-US" w:eastAsia="ko-KR"/>
        </w:rPr>
        <w:t>1.</w:t>
      </w:r>
      <w:r>
        <w:rPr>
          <w:rFonts w:eastAsia="Malgun Gothic"/>
          <w:lang w:val="en-US" w:eastAsia="ko-KR"/>
        </w:rPr>
        <w:tab/>
      </w:r>
      <w:r w:rsidRPr="009B25FA">
        <w:rPr>
          <w:rFonts w:eastAsia="Malgun Gothic"/>
          <w:lang w:val="en-US" w:eastAsia="ko-KR"/>
        </w:rPr>
        <w:t xml:space="preserve">In </w:t>
      </w:r>
      <w:r>
        <w:rPr>
          <w:rFonts w:eastAsia="Malgun Gothic"/>
          <w:lang w:val="en-US" w:eastAsia="ko-KR"/>
        </w:rPr>
        <w:t xml:space="preserve">the </w:t>
      </w:r>
      <w:r w:rsidRPr="009B25FA">
        <w:rPr>
          <w:rFonts w:eastAsia="Malgun Gothic"/>
          <w:lang w:val="en-US" w:eastAsia="ko-KR"/>
        </w:rPr>
        <w:t>case</w:t>
      </w:r>
      <w:r>
        <w:rPr>
          <w:rFonts w:eastAsia="Malgun Gothic"/>
          <w:lang w:val="en-US" w:eastAsia="ko-KR"/>
        </w:rPr>
        <w:t xml:space="preserve"> of</w:t>
      </w:r>
      <w:r w:rsidRPr="009B25FA">
        <w:rPr>
          <w:rFonts w:eastAsia="Malgun Gothic"/>
          <w:lang w:val="en-US" w:eastAsia="ko-KR"/>
        </w:rPr>
        <w:t xml:space="preserve"> </w:t>
      </w:r>
      <w:r w:rsidRPr="009B25FA">
        <w:rPr>
          <w:lang w:val="en-US"/>
        </w:rPr>
        <w:t>open</w:t>
      </w:r>
      <w:r w:rsidRPr="009B25FA">
        <w:rPr>
          <w:rFonts w:eastAsia="Malgun Gothic"/>
          <w:lang w:val="en-US" w:eastAsia="ko-KR"/>
        </w:rPr>
        <w:t xml:space="preserve"> type</w:t>
      </w:r>
      <w:r w:rsidRPr="009B25FA">
        <w:rPr>
          <w:lang w:val="en-US"/>
        </w:rPr>
        <w:t xml:space="preserve"> loadings</w:t>
      </w:r>
      <w:r w:rsidRPr="009B25FA">
        <w:rPr>
          <w:rFonts w:eastAsia="Malgun Gothic"/>
          <w:lang w:val="en-US" w:eastAsia="ko-KR"/>
        </w:rPr>
        <w:t xml:space="preserve"> tray </w:t>
      </w:r>
      <w:r>
        <w:rPr>
          <w:rFonts w:eastAsia="Malgun Gothic"/>
          <w:lang w:val="en-US" w:eastAsia="ko-KR"/>
        </w:rPr>
        <w:t>in</w:t>
      </w:r>
      <w:r w:rsidRPr="009B25FA">
        <w:rPr>
          <w:lang w:val="en-US"/>
        </w:rPr>
        <w:t xml:space="preserve"> trucks</w:t>
      </w:r>
      <w:r w:rsidRPr="009B25FA">
        <w:rPr>
          <w:rFonts w:eastAsia="Malgun Gothic"/>
          <w:lang w:val="en-US" w:eastAsia="ko-KR"/>
        </w:rPr>
        <w:t>, i</w:t>
      </w:r>
      <w:r w:rsidRPr="009B25FA">
        <w:rPr>
          <w:lang w:val="en-US"/>
        </w:rPr>
        <w:t xml:space="preserve">nterior </w:t>
      </w:r>
      <w:r w:rsidRPr="009B25FA">
        <w:rPr>
          <w:rFonts w:eastAsia="Malgun Gothic"/>
          <w:lang w:val="en-US" w:eastAsia="ko-KR"/>
        </w:rPr>
        <w:t>mirror</w:t>
      </w:r>
      <w:r w:rsidRPr="009B25FA">
        <w:rPr>
          <w:lang w:val="en-US"/>
        </w:rPr>
        <w:t xml:space="preserve"> application is required to secure rear view</w:t>
      </w:r>
      <w:r w:rsidRPr="009B25FA">
        <w:rPr>
          <w:rFonts w:eastAsia="Malgun Gothic"/>
          <w:lang w:val="en-US" w:eastAsia="ko-KR"/>
        </w:rPr>
        <w:t>.</w:t>
      </w:r>
    </w:p>
    <w:p w:rsidR="008C0C40" w:rsidRPr="000B789D" w:rsidRDefault="008C0C40" w:rsidP="008C0C40">
      <w:pPr>
        <w:pStyle w:val="SingleTxtG"/>
        <w:rPr>
          <w:lang w:val="en-US"/>
        </w:rPr>
      </w:pPr>
      <w:r>
        <w:rPr>
          <w:lang w:val="en-US"/>
        </w:rPr>
        <w:lastRenderedPageBreak/>
        <w:t>2.</w:t>
      </w:r>
      <w:r>
        <w:rPr>
          <w:lang w:val="en-US"/>
        </w:rPr>
        <w:tab/>
        <w:t>V</w:t>
      </w:r>
      <w:r w:rsidRPr="000B789D">
        <w:rPr>
          <w:lang w:val="en-US"/>
        </w:rPr>
        <w:t>arious safety and convenience options (L</w:t>
      </w:r>
      <w:r>
        <w:rPr>
          <w:lang w:val="en-US"/>
        </w:rPr>
        <w:t>ane Departure Warning Systems (L</w:t>
      </w:r>
      <w:r w:rsidRPr="000B789D">
        <w:rPr>
          <w:lang w:val="en-US"/>
        </w:rPr>
        <w:t>DWS</w:t>
      </w:r>
      <w:r>
        <w:rPr>
          <w:lang w:val="en-US"/>
        </w:rPr>
        <w:t>)</w:t>
      </w:r>
      <w:r w:rsidRPr="000B789D">
        <w:rPr>
          <w:lang w:val="en-US"/>
        </w:rPr>
        <w:t>, Autonomous sensors, etc.) for truck</w:t>
      </w:r>
      <w:r>
        <w:rPr>
          <w:lang w:val="en-US"/>
        </w:rPr>
        <w:t>s</w:t>
      </w:r>
      <w:r w:rsidRPr="000B789D">
        <w:rPr>
          <w:lang w:val="en-US"/>
        </w:rPr>
        <w:t xml:space="preserve"> are </w:t>
      </w:r>
      <w:r>
        <w:rPr>
          <w:lang w:val="en-US"/>
        </w:rPr>
        <w:t xml:space="preserve">being installed or </w:t>
      </w:r>
      <w:r w:rsidRPr="000B789D">
        <w:rPr>
          <w:lang w:val="en-US"/>
        </w:rPr>
        <w:t xml:space="preserve">under development. </w:t>
      </w:r>
      <w:r>
        <w:rPr>
          <w:lang w:val="en-US"/>
        </w:rPr>
        <w:t>I</w:t>
      </w:r>
      <w:r w:rsidRPr="000B789D">
        <w:rPr>
          <w:lang w:val="en-US"/>
        </w:rPr>
        <w:t>f these options are fitted on the underside dashboard-top of the windshield glass, it may limit the driver’s direct front of vision</w:t>
      </w:r>
      <w:r>
        <w:rPr>
          <w:lang w:val="en-US"/>
        </w:rPr>
        <w:t xml:space="preserve"> (with potential n</w:t>
      </w:r>
      <w:r w:rsidRPr="000B789D">
        <w:rPr>
          <w:lang w:val="en-US"/>
        </w:rPr>
        <w:t>egative consequences to safety)</w:t>
      </w:r>
      <w:r>
        <w:rPr>
          <w:lang w:val="en-US"/>
        </w:rPr>
        <w:t>.</w:t>
      </w:r>
    </w:p>
    <w:p w:rsidR="008C0C40" w:rsidRPr="00AB74C2" w:rsidRDefault="008C0C40" w:rsidP="008C0C40">
      <w:pPr>
        <w:pStyle w:val="SingleTxtG"/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3.</w:t>
      </w:r>
      <w:r>
        <w:rPr>
          <w:rFonts w:eastAsia="Malgun Gothic"/>
          <w:lang w:val="en-US" w:eastAsia="ko-KR"/>
        </w:rPr>
        <w:tab/>
        <w:t>F</w:t>
      </w:r>
      <w:r w:rsidRPr="000B789D">
        <w:rPr>
          <w:rFonts w:eastAsia="Malgun Gothic"/>
          <w:lang w:val="en-US" w:eastAsia="ko-KR"/>
        </w:rPr>
        <w:t xml:space="preserve">or the optimization of installation, the above options may be integrated with the interior mirror. </w:t>
      </w:r>
      <w:proofErr w:type="gramStart"/>
      <w:r w:rsidRPr="000B789D">
        <w:rPr>
          <w:rFonts w:eastAsia="Malgun Gothic"/>
          <w:lang w:val="en-US" w:eastAsia="ko-KR"/>
        </w:rPr>
        <w:t>However</w:t>
      </w:r>
      <w:proofErr w:type="gramEnd"/>
      <w:r w:rsidRPr="000B789D">
        <w:rPr>
          <w:rFonts w:eastAsia="Malgun Gothic"/>
          <w:lang w:val="en-US" w:eastAsia="ko-KR"/>
        </w:rPr>
        <w:t xml:space="preserve"> it is difficult for some models to install the interior mirror, since Zone I may be intruded.</w:t>
      </w:r>
      <w:r>
        <w:rPr>
          <w:rFonts w:eastAsia="Malgun Gothic"/>
          <w:lang w:val="en-US" w:eastAsia="ko-KR"/>
        </w:rPr>
        <w:t xml:space="preserve"> </w:t>
      </w:r>
      <w:r w:rsidRPr="000B789D">
        <w:rPr>
          <w:rFonts w:eastAsia="Malgun Gothic"/>
          <w:lang w:val="en-US" w:eastAsia="ko-KR"/>
        </w:rPr>
        <w:t xml:space="preserve">Therefore, </w:t>
      </w:r>
      <w:r>
        <w:rPr>
          <w:rFonts w:eastAsia="Malgun Gothic"/>
          <w:lang w:val="en-US" w:eastAsia="ko-KR"/>
        </w:rPr>
        <w:t xml:space="preserve">the opaque obscuration which </w:t>
      </w:r>
      <w:r>
        <w:rPr>
          <w:rFonts w:eastAsia="Malgun Gothic" w:hint="eastAsia"/>
          <w:lang w:val="en-US" w:eastAsia="ko-KR"/>
        </w:rPr>
        <w:t xml:space="preserve">can be used for installation of the above safety and </w:t>
      </w:r>
      <w:r w:rsidRPr="00AB74C2">
        <w:rPr>
          <w:rFonts w:eastAsia="Malgun Gothic"/>
          <w:lang w:val="en-US" w:eastAsia="ko-KR"/>
        </w:rPr>
        <w:t>convenience options must be permitted additionally.</w:t>
      </w:r>
      <w:r>
        <w:rPr>
          <w:rFonts w:eastAsia="Malgun Gothic"/>
          <w:lang w:val="en-US" w:eastAsia="ko-KR"/>
        </w:rPr>
        <w:t xml:space="preserve"> F</w:t>
      </w:r>
      <w:r w:rsidRPr="00AB74C2">
        <w:rPr>
          <w:rFonts w:eastAsia="Malgun Gothic"/>
          <w:lang w:val="en-US" w:eastAsia="ko-KR"/>
        </w:rPr>
        <w:t xml:space="preserve">or </w:t>
      </w:r>
      <w:r>
        <w:rPr>
          <w:rFonts w:eastAsia="Malgun Gothic"/>
          <w:lang w:val="en-US" w:eastAsia="ko-KR"/>
        </w:rPr>
        <w:t>this reason</w:t>
      </w:r>
      <w:r w:rsidRPr="00AB74C2">
        <w:rPr>
          <w:rFonts w:eastAsia="Malgun Gothic"/>
          <w:lang w:val="en-US" w:eastAsia="ko-KR"/>
        </w:rPr>
        <w:t xml:space="preserve">, some new planes such as P5, P6, and P7 </w:t>
      </w:r>
      <w:r>
        <w:rPr>
          <w:rFonts w:eastAsia="Malgun Gothic"/>
          <w:lang w:val="en-US" w:eastAsia="ko-KR"/>
        </w:rPr>
        <w:t xml:space="preserve">shall be </w:t>
      </w:r>
      <w:r>
        <w:rPr>
          <w:rFonts w:eastAsia="Malgun Gothic" w:hint="eastAsia"/>
          <w:lang w:val="en-US" w:eastAsia="ko-KR"/>
        </w:rPr>
        <w:t>added.</w:t>
      </w:r>
    </w:p>
    <w:p w:rsidR="008C0C40" w:rsidRPr="00AB74C2" w:rsidRDefault="008C0C40" w:rsidP="008C0C40">
      <w:pPr>
        <w:pStyle w:val="SingleTxtG"/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4.</w:t>
      </w:r>
      <w:r>
        <w:rPr>
          <w:rFonts w:eastAsia="Malgun Gothic"/>
          <w:lang w:val="en-US" w:eastAsia="ko-KR"/>
        </w:rPr>
        <w:tab/>
      </w:r>
      <w:r w:rsidRPr="00AB74C2">
        <w:rPr>
          <w:rFonts w:eastAsia="Malgun Gothic"/>
          <w:lang w:val="en-US" w:eastAsia="ko-KR"/>
        </w:rPr>
        <w:t>On the other hand, the new opaque obscuration for Category 1-2 and 2 Vehicles has to be equal level with the one for Category 1-1 vehicles using the “V” points</w:t>
      </w:r>
      <w:r>
        <w:rPr>
          <w:rFonts w:eastAsia="Malgun Gothic" w:hint="eastAsia"/>
          <w:lang w:val="en-US" w:eastAsia="ko-KR"/>
        </w:rPr>
        <w:t xml:space="preserve"> in order not to violate safety.</w:t>
      </w:r>
      <w:r>
        <w:rPr>
          <w:rFonts w:eastAsia="Malgun Gothic"/>
          <w:lang w:val="en-US" w:eastAsia="ko-KR"/>
        </w:rPr>
        <w:t xml:space="preserve"> </w:t>
      </w:r>
      <w:r w:rsidRPr="00AB74C2">
        <w:rPr>
          <w:rFonts w:eastAsia="Malgun Gothic"/>
          <w:lang w:val="en-US" w:eastAsia="ko-KR"/>
        </w:rPr>
        <w:t xml:space="preserve">So </w:t>
      </w:r>
      <w:r>
        <w:rPr>
          <w:rFonts w:eastAsia="Malgun Gothic"/>
          <w:lang w:val="en-US" w:eastAsia="ko-KR"/>
        </w:rPr>
        <w:t xml:space="preserve">the </w:t>
      </w:r>
      <w:r>
        <w:rPr>
          <w:rFonts w:eastAsia="Malgun Gothic" w:hint="eastAsia"/>
          <w:lang w:val="en-US" w:eastAsia="ko-KR"/>
        </w:rPr>
        <w:t>R</w:t>
      </w:r>
      <w:r w:rsidRPr="00AB74C2">
        <w:rPr>
          <w:rFonts w:eastAsia="Malgun Gothic"/>
          <w:lang w:val="en-US" w:eastAsia="ko-KR"/>
        </w:rPr>
        <w:t xml:space="preserve">epublic of Korea </w:t>
      </w:r>
      <w:r w:rsidRPr="00AB74C2">
        <w:rPr>
          <w:rFonts w:eastAsia="Malgun Gothic" w:hint="eastAsia"/>
          <w:lang w:val="en-US" w:eastAsia="ko-KR"/>
        </w:rPr>
        <w:t>propos</w:t>
      </w:r>
      <w:r>
        <w:rPr>
          <w:rFonts w:eastAsia="Malgun Gothic" w:hint="eastAsia"/>
          <w:lang w:val="en-US" w:eastAsia="ko-KR"/>
        </w:rPr>
        <w:t>es</w:t>
      </w:r>
      <w:r w:rsidRPr="00AB74C2">
        <w:rPr>
          <w:rFonts w:eastAsia="Malgun Gothic" w:hint="eastAsia"/>
          <w:lang w:val="en-US" w:eastAsia="ko-KR"/>
        </w:rPr>
        <w:t xml:space="preserve"> </w:t>
      </w:r>
      <w:r w:rsidRPr="00AB74C2">
        <w:rPr>
          <w:rFonts w:eastAsia="Malgun Gothic"/>
          <w:lang w:val="en-US" w:eastAsia="ko-KR"/>
        </w:rPr>
        <w:t xml:space="preserve">the 5° above </w:t>
      </w:r>
      <w:r w:rsidRPr="00AB74C2">
        <w:rPr>
          <w:rFonts w:eastAsia="Malgun Gothic" w:hint="eastAsia"/>
          <w:lang w:val="en-US" w:eastAsia="ko-KR"/>
        </w:rPr>
        <w:t>to determine the P5.</w:t>
      </w:r>
    </w:p>
    <w:p w:rsidR="00576ABC" w:rsidRPr="00576ABC" w:rsidRDefault="00576ABC" w:rsidP="00576A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6ABC" w:rsidRPr="00576ABC" w:rsidSect="00AA1D7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41" w:rsidRDefault="00932341" w:rsidP="00F95C08">
      <w:pPr>
        <w:spacing w:line="240" w:lineRule="auto"/>
      </w:pPr>
    </w:p>
  </w:endnote>
  <w:endnote w:type="continuationSeparator" w:id="0">
    <w:p w:rsidR="00932341" w:rsidRPr="00AC3823" w:rsidRDefault="00932341" w:rsidP="00AC3823">
      <w:pPr>
        <w:pStyle w:val="Footer"/>
      </w:pPr>
    </w:p>
  </w:endnote>
  <w:endnote w:type="continuationNotice" w:id="1">
    <w:p w:rsidR="00932341" w:rsidRDefault="009323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40" w:rsidRPr="008C0C40" w:rsidRDefault="008C0C40">
    <w:pPr>
      <w:pStyle w:val="Footer"/>
      <w:rPr>
        <w:lang w:val="fr-CH"/>
      </w:rPr>
    </w:pPr>
    <w:r>
      <w:rPr>
        <w:lang w:val="fr-CH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40" w:rsidRPr="008C0C40" w:rsidRDefault="008C0C40" w:rsidP="008C0C40">
    <w:pPr>
      <w:pStyle w:val="Footer"/>
      <w:jc w:val="right"/>
      <w:rPr>
        <w:lang w:val="fr-CH"/>
      </w:rPr>
    </w:pPr>
    <w:r>
      <w:rPr>
        <w:lang w:val="fr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FE" w:rsidRDefault="00D907FE" w:rsidP="00D907FE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AD79944" wp14:editId="3C1FB24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07FE" w:rsidRDefault="00D907FE" w:rsidP="00D907FE">
    <w:pPr>
      <w:spacing w:line="240" w:lineRule="auto"/>
      <w:ind w:right="1134"/>
    </w:pPr>
    <w:r>
      <w:t>GE.19-12304(E)</w:t>
    </w:r>
  </w:p>
  <w:p w:rsidR="00D907FE" w:rsidRPr="00F331E9" w:rsidRDefault="00D907FE" w:rsidP="00D907FE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270708EA" wp14:editId="53EDB88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4" name="Picture 1" descr="https://undocs.org/m2/QRCode.ashx?DS=ECE/TRANS/WP.29/GRSG/2019/3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41" w:rsidRPr="00AC3823" w:rsidRDefault="009323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2341" w:rsidRPr="00AC3823" w:rsidRDefault="009323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32341" w:rsidRPr="00AC3823" w:rsidRDefault="00932341">
      <w:pPr>
        <w:spacing w:line="240" w:lineRule="auto"/>
        <w:rPr>
          <w:sz w:val="2"/>
          <w:szCs w:val="2"/>
        </w:rPr>
      </w:pPr>
    </w:p>
  </w:footnote>
  <w:footnote w:id="2">
    <w:p w:rsidR="008743EB" w:rsidRPr="00B14735" w:rsidRDefault="008743EB" w:rsidP="008743E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8743EB">
        <w:rPr>
          <w:rStyle w:val="FootnoteReference"/>
          <w:lang w:val="en-GB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 xml:space="preserve">egulations </w:t>
      </w:r>
      <w:r w:rsidR="00FE3DB3" w:rsidRPr="00464D74">
        <w:rPr>
          <w:szCs w:val="18"/>
        </w:rPr>
        <w:t xml:space="preserve">in order </w:t>
      </w:r>
      <w:r w:rsidRPr="00B15178">
        <w:rPr>
          <w:szCs w:val="18"/>
          <w:lang w:val="en-US"/>
        </w:rPr>
        <w:t>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4" w:rsidRPr="00AA1D74" w:rsidRDefault="00AA1D74">
    <w:pPr>
      <w:pStyle w:val="Header"/>
      <w:rPr>
        <w:lang w:val="fr-CH"/>
      </w:rPr>
    </w:pPr>
    <w:r>
      <w:rPr>
        <w:lang w:val="fr-CH"/>
      </w:rPr>
      <w:t>ECE/TRANS/WP.29/GRSG/2019/33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40" w:rsidRPr="008C0C40" w:rsidRDefault="008C0C40" w:rsidP="008C0C40">
    <w:pPr>
      <w:pStyle w:val="Header"/>
      <w:jc w:val="right"/>
      <w:rPr>
        <w:lang w:val="fr-CH"/>
      </w:rPr>
    </w:pPr>
    <w:r>
      <w:rPr>
        <w:lang w:val="fr-CH"/>
      </w:rPr>
      <w:t>ECE/TRANS/WP.29/GRSG/2019/</w:t>
    </w:r>
    <w:r w:rsidR="007A64F7">
      <w:rPr>
        <w:lang w:val="fr-CH"/>
      </w:rPr>
      <w:t>3</w:t>
    </w:r>
    <w:r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6253820"/>
    <w:multiLevelType w:val="hybridMultilevel"/>
    <w:tmpl w:val="0156A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4805"/>
    <w:multiLevelType w:val="hybridMultilevel"/>
    <w:tmpl w:val="C4325824"/>
    <w:lvl w:ilvl="0" w:tplc="EC54D65A">
      <w:start w:val="1"/>
      <w:numFmt w:val="decimal"/>
      <w:lvlText w:val="%1."/>
      <w:lvlJc w:val="left"/>
      <w:pPr>
        <w:ind w:left="149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C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179AF"/>
    <w:rsid w:val="004249F0"/>
    <w:rsid w:val="00446FE5"/>
    <w:rsid w:val="00452396"/>
    <w:rsid w:val="004D1CEB"/>
    <w:rsid w:val="005505B7"/>
    <w:rsid w:val="00573BE5"/>
    <w:rsid w:val="00576ABC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A64F7"/>
    <w:rsid w:val="007D0A06"/>
    <w:rsid w:val="0080684C"/>
    <w:rsid w:val="00815502"/>
    <w:rsid w:val="00871C75"/>
    <w:rsid w:val="008743EB"/>
    <w:rsid w:val="008776DC"/>
    <w:rsid w:val="008C0C40"/>
    <w:rsid w:val="008F2A1D"/>
    <w:rsid w:val="0093050C"/>
    <w:rsid w:val="00932341"/>
    <w:rsid w:val="00957790"/>
    <w:rsid w:val="009705C8"/>
    <w:rsid w:val="00A12AB5"/>
    <w:rsid w:val="00A458CA"/>
    <w:rsid w:val="00AA1D74"/>
    <w:rsid w:val="00AC3823"/>
    <w:rsid w:val="00AD3959"/>
    <w:rsid w:val="00AE323C"/>
    <w:rsid w:val="00AE7D9F"/>
    <w:rsid w:val="00B00181"/>
    <w:rsid w:val="00B37B4E"/>
    <w:rsid w:val="00B43C66"/>
    <w:rsid w:val="00B765F7"/>
    <w:rsid w:val="00BA0CA9"/>
    <w:rsid w:val="00BB3E59"/>
    <w:rsid w:val="00BE1F4C"/>
    <w:rsid w:val="00BE4745"/>
    <w:rsid w:val="00BF3C2C"/>
    <w:rsid w:val="00C02897"/>
    <w:rsid w:val="00C73C0A"/>
    <w:rsid w:val="00C94FD2"/>
    <w:rsid w:val="00CF3AE1"/>
    <w:rsid w:val="00D3439C"/>
    <w:rsid w:val="00D40AEB"/>
    <w:rsid w:val="00D907FE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74E345-C106-4FA1-828C-6EAD97D9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6ABC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576ABC"/>
    <w:pPr>
      <w:spacing w:line="240" w:lineRule="auto"/>
      <w:ind w:left="720"/>
      <w:contextualSpacing/>
    </w:pPr>
    <w:rPr>
      <w:color w:val="00000A"/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unhideWhenUsed/>
    <w:rsid w:val="00576ABC"/>
    <w:pPr>
      <w:spacing w:after="120" w:line="240" w:lineRule="auto"/>
    </w:pPr>
    <w:rPr>
      <w:color w:val="00000A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76ABC"/>
    <w:rPr>
      <w:rFonts w:eastAsia="Times New Roman"/>
      <w:color w:val="00000A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F0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0BFC-7630-4B8F-B7E8-57AFDBA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ETPU</cp:lastModifiedBy>
  <cp:revision>2</cp:revision>
  <cp:lastPrinted>2019-07-17T14:30:00Z</cp:lastPrinted>
  <dcterms:created xsi:type="dcterms:W3CDTF">2019-07-19T15:07:00Z</dcterms:created>
  <dcterms:modified xsi:type="dcterms:W3CDTF">2019-07-19T15:07:00Z</dcterms:modified>
</cp:coreProperties>
</file>