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2E47" w14:textId="739DC60A" w:rsidR="00450B28" w:rsidRDefault="00B6567D" w:rsidP="003C1AAB">
      <w:pPr>
        <w:pStyle w:val="HChG"/>
        <w:tabs>
          <w:tab w:val="clear" w:pos="851"/>
        </w:tabs>
        <w:ind w:firstLine="0"/>
        <w:jc w:val="center"/>
        <w:rPr>
          <w:lang w:val="en-US"/>
        </w:rPr>
      </w:pPr>
      <w:r w:rsidRPr="00B6567D">
        <w:rPr>
          <w:lang w:val="en-US"/>
        </w:rPr>
        <w:t xml:space="preserve">Proposal for </w:t>
      </w:r>
      <w:r w:rsidR="0015017A">
        <w:rPr>
          <w:lang w:val="en-US"/>
        </w:rPr>
        <w:t xml:space="preserve">amendments to </w:t>
      </w:r>
      <w:r w:rsidR="00C70CC9">
        <w:rPr>
          <w:lang w:val="en-US"/>
        </w:rPr>
        <w:t xml:space="preserve">the </w:t>
      </w:r>
      <w:r w:rsidR="00C70CC9" w:rsidRPr="00BE1AC2">
        <w:rPr>
          <w:color w:val="000000" w:themeColor="text1"/>
        </w:rPr>
        <w:t xml:space="preserve">07 series </w:t>
      </w:r>
      <w:r w:rsidRPr="00BE1AC2">
        <w:rPr>
          <w:color w:val="000000" w:themeColor="text1"/>
          <w:lang w:val="en-US"/>
        </w:rPr>
        <w:t xml:space="preserve">of </w:t>
      </w:r>
      <w:r w:rsidR="001D2F2F" w:rsidRPr="00BE1AC2">
        <w:rPr>
          <w:color w:val="000000" w:themeColor="text1"/>
          <w:lang w:val="en-US"/>
        </w:rPr>
        <w:t>a</w:t>
      </w:r>
      <w:r w:rsidRPr="00BE1AC2">
        <w:rPr>
          <w:color w:val="000000" w:themeColor="text1"/>
          <w:lang w:val="en-US"/>
        </w:rPr>
        <w:t xml:space="preserve">mendments to </w:t>
      </w:r>
      <w:r w:rsidR="005B0C06" w:rsidRPr="00BE1AC2">
        <w:rPr>
          <w:color w:val="000000" w:themeColor="text1"/>
          <w:lang w:val="en-US"/>
        </w:rPr>
        <w:t xml:space="preserve">UN </w:t>
      </w:r>
      <w:r w:rsidRPr="00BE1AC2">
        <w:rPr>
          <w:color w:val="000000" w:themeColor="text1"/>
          <w:lang w:val="en-US"/>
        </w:rPr>
        <w:t>Regulation No. 83</w:t>
      </w:r>
      <w:r w:rsidRPr="004234EC">
        <w:rPr>
          <w:color w:val="FF0000"/>
          <w:lang w:val="en-US"/>
        </w:rPr>
        <w:t xml:space="preserve"> </w:t>
      </w:r>
      <w:r w:rsidRPr="00B6567D">
        <w:rPr>
          <w:lang w:val="en-US"/>
        </w:rPr>
        <w:t>(Emissions of M1 and N1 vehicles)</w:t>
      </w:r>
    </w:p>
    <w:p w14:paraId="2350F398" w14:textId="77777777" w:rsidR="003C1AAB" w:rsidRPr="003C1AAB" w:rsidRDefault="003C1AAB" w:rsidP="003C1AAB">
      <w:pPr>
        <w:rPr>
          <w:lang w:val="en-US"/>
        </w:rPr>
      </w:pPr>
    </w:p>
    <w:p w14:paraId="2A6BADAA" w14:textId="77777777" w:rsidR="00097A1F" w:rsidRDefault="00C70CC9" w:rsidP="002F4281">
      <w:pPr>
        <w:pStyle w:val="HChG"/>
        <w:ind w:hanging="567"/>
      </w:pPr>
      <w:r w:rsidRPr="00FD4196">
        <w:t>I.</w:t>
      </w:r>
      <w:r w:rsidR="00097A1F">
        <w:tab/>
      </w:r>
      <w:r w:rsidRPr="00FD4196">
        <w:tab/>
      </w:r>
      <w:r>
        <w:t>Proposal</w:t>
      </w:r>
    </w:p>
    <w:p w14:paraId="3D28DA16" w14:textId="2267ABC1" w:rsidR="000134A5" w:rsidRPr="003D08BF" w:rsidRDefault="000134A5" w:rsidP="000134A5">
      <w:pPr>
        <w:suppressAutoHyphens w:val="0"/>
        <w:autoSpaceDE w:val="0"/>
        <w:autoSpaceDN w:val="0"/>
        <w:adjustRightInd w:val="0"/>
        <w:spacing w:line="240" w:lineRule="auto"/>
        <w:ind w:left="2268" w:right="1134" w:hanging="1134"/>
        <w:rPr>
          <w:color w:val="000000"/>
          <w:lang w:eastAsia="de-DE"/>
        </w:rPr>
      </w:pPr>
      <w:r w:rsidRPr="003D08BF">
        <w:rPr>
          <w:i/>
          <w:iCs/>
          <w:color w:val="000000"/>
          <w:lang w:eastAsia="de-DE"/>
        </w:rPr>
        <w:t xml:space="preserve">Annex 11, paragraph </w:t>
      </w:r>
      <w:r>
        <w:rPr>
          <w:i/>
          <w:iCs/>
          <w:color w:val="000000"/>
          <w:lang w:eastAsia="de-DE"/>
        </w:rPr>
        <w:t>3</w:t>
      </w:r>
      <w:r w:rsidRPr="003D08BF">
        <w:rPr>
          <w:i/>
          <w:iCs/>
          <w:color w:val="000000"/>
          <w:lang w:eastAsia="de-DE"/>
        </w:rPr>
        <w:t>.</w:t>
      </w:r>
      <w:r>
        <w:rPr>
          <w:i/>
          <w:iCs/>
          <w:color w:val="000000"/>
          <w:lang w:eastAsia="de-DE"/>
        </w:rPr>
        <w:t>8.1</w:t>
      </w:r>
      <w:r w:rsidRPr="003D08BF">
        <w:rPr>
          <w:color w:val="000000"/>
          <w:lang w:eastAsia="de-DE"/>
        </w:rPr>
        <w:t xml:space="preserve">, amend to read: </w:t>
      </w:r>
    </w:p>
    <w:p w14:paraId="63435462" w14:textId="690AFB00" w:rsidR="000134A5" w:rsidRPr="00617078" w:rsidRDefault="000134A5" w:rsidP="003C1AAB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b/>
          <w:color w:val="000000"/>
          <w:lang w:val="en-US" w:eastAsia="de-DE"/>
        </w:rPr>
      </w:pPr>
      <w:r w:rsidRPr="00617078">
        <w:rPr>
          <w:b/>
          <w:color w:val="000000"/>
          <w:lang w:eastAsia="de-DE"/>
        </w:rPr>
        <w:t>"</w:t>
      </w:r>
      <w:r w:rsidRPr="00617078">
        <w:rPr>
          <w:color w:val="000000"/>
          <w:lang w:val="en-US" w:eastAsia="de-DE"/>
        </w:rPr>
        <w:t xml:space="preserve">3.8.1. </w:t>
      </w:r>
      <w:r w:rsidRPr="00617078">
        <w:rPr>
          <w:color w:val="000000"/>
          <w:lang w:val="en-US" w:eastAsia="de-DE"/>
        </w:rPr>
        <w:tab/>
        <w:t>The OBD system may erase a fault code and the distance travelled and freeze</w:t>
      </w:r>
      <w:r w:rsidR="00617078">
        <w:rPr>
          <w:color w:val="000000"/>
          <w:lang w:val="en-US" w:eastAsia="de-DE"/>
        </w:rPr>
        <w:t>-</w:t>
      </w:r>
      <w:r w:rsidRPr="00617078">
        <w:rPr>
          <w:color w:val="000000"/>
          <w:lang w:val="en-US" w:eastAsia="de-DE"/>
        </w:rPr>
        <w:t>frame information if the same fault is not re-registered in at least</w:t>
      </w:r>
      <w:r w:rsidR="00154AD7">
        <w:rPr>
          <w:color w:val="000000"/>
          <w:lang w:val="en-US" w:eastAsia="de-DE"/>
        </w:rPr>
        <w:t xml:space="preserve"> </w:t>
      </w:r>
      <w:r w:rsidR="00154AD7" w:rsidRPr="00154AD7">
        <w:rPr>
          <w:strike/>
          <w:color w:val="000000" w:themeColor="text1"/>
        </w:rPr>
        <w:t xml:space="preserve">40 engine warm-up cycles </w:t>
      </w:r>
      <w:r w:rsidR="00154AD7" w:rsidRPr="00154AD7">
        <w:rPr>
          <w:bCs/>
          <w:strike/>
          <w:color w:val="000000" w:themeColor="text1"/>
        </w:rPr>
        <w:t>or forty driving cycles with vehicle operation in which the criteria specified in sections 7.5.1.(a)–(c) of Annex 11, Appendix 1 are met.</w:t>
      </w:r>
      <w:r w:rsidRPr="00617078">
        <w:rPr>
          <w:b/>
          <w:color w:val="000000"/>
          <w:lang w:val="en-US" w:eastAsia="de-DE"/>
        </w:rPr>
        <w:t>:</w:t>
      </w:r>
    </w:p>
    <w:p w14:paraId="29091E00" w14:textId="77777777" w:rsidR="000134A5" w:rsidRPr="00617078" w:rsidRDefault="000134A5" w:rsidP="003C1AAB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268" w:right="1134" w:hanging="1134"/>
        <w:jc w:val="both"/>
        <w:rPr>
          <w:b/>
          <w:color w:val="000000"/>
          <w:lang w:val="en-US" w:eastAsia="de-DE"/>
        </w:rPr>
      </w:pPr>
    </w:p>
    <w:p w14:paraId="2BF4F16F" w14:textId="2A7AB50A" w:rsidR="000134A5" w:rsidRDefault="000134A5" w:rsidP="003C1AAB">
      <w:pPr>
        <w:numPr>
          <w:ilvl w:val="0"/>
          <w:numId w:val="47"/>
        </w:num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right="1134"/>
        <w:jc w:val="both"/>
        <w:rPr>
          <w:b/>
          <w:color w:val="000000"/>
          <w:lang w:val="en-US" w:eastAsia="de-DE"/>
        </w:rPr>
      </w:pPr>
      <w:r w:rsidRPr="00617078">
        <w:rPr>
          <w:b/>
          <w:color w:val="000000"/>
          <w:lang w:val="en-US" w:eastAsia="de-DE"/>
        </w:rPr>
        <w:t>40 engine warmup cycles</w:t>
      </w:r>
      <w:r w:rsidR="00154AD7">
        <w:rPr>
          <w:b/>
          <w:color w:val="000000"/>
          <w:lang w:val="en-US" w:eastAsia="de-DE"/>
        </w:rPr>
        <w:t>; or</w:t>
      </w:r>
    </w:p>
    <w:p w14:paraId="407FFD66" w14:textId="77777777" w:rsidR="00154AD7" w:rsidRPr="00154AD7" w:rsidRDefault="00154AD7" w:rsidP="003C1AAB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619" w:right="1134"/>
        <w:jc w:val="both"/>
        <w:rPr>
          <w:b/>
          <w:color w:val="000000"/>
          <w:lang w:val="en-US" w:eastAsia="de-DE"/>
        </w:rPr>
      </w:pPr>
    </w:p>
    <w:p w14:paraId="6EDF039E" w14:textId="48E7F3DF" w:rsidR="000134A5" w:rsidRPr="00617078" w:rsidRDefault="000134A5" w:rsidP="003C1AAB">
      <w:pPr>
        <w:numPr>
          <w:ilvl w:val="0"/>
          <w:numId w:val="46"/>
        </w:num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right="1134"/>
        <w:jc w:val="both"/>
        <w:rPr>
          <w:b/>
          <w:color w:val="000000"/>
          <w:lang w:val="en-US" w:eastAsia="de-DE"/>
        </w:rPr>
      </w:pPr>
      <w:r w:rsidRPr="00617078">
        <w:rPr>
          <w:b/>
          <w:color w:val="000000"/>
          <w:lang w:val="en-US" w:eastAsia="de-DE"/>
        </w:rPr>
        <w:t>40 driving cycles with vehicle operation in which the criteria specified in paragraphs 7.5.1.</w:t>
      </w:r>
      <w:r w:rsidR="003C1AAB">
        <w:rPr>
          <w:b/>
          <w:color w:val="000000"/>
          <w:lang w:val="en-US" w:eastAsia="de-DE"/>
        </w:rPr>
        <w:t xml:space="preserve"> </w:t>
      </w:r>
      <w:r w:rsidRPr="00617078">
        <w:rPr>
          <w:b/>
          <w:color w:val="000000"/>
          <w:lang w:val="en-US" w:eastAsia="de-DE"/>
        </w:rPr>
        <w:t>(a)–(c) of Annex 11, Appendix 1, are met</w:t>
      </w:r>
      <w:r w:rsidR="00154AD7">
        <w:rPr>
          <w:b/>
          <w:color w:val="000000"/>
          <w:lang w:val="en-US" w:eastAsia="de-DE"/>
        </w:rPr>
        <w:t>; or</w:t>
      </w:r>
      <w:r w:rsidRPr="00617078">
        <w:rPr>
          <w:b/>
          <w:color w:val="000000"/>
          <w:lang w:val="en-US" w:eastAsia="de-DE"/>
        </w:rPr>
        <w:t xml:space="preserve"> </w:t>
      </w:r>
    </w:p>
    <w:p w14:paraId="7C9AAB7F" w14:textId="15A1A359" w:rsidR="000134A5" w:rsidRDefault="000134A5" w:rsidP="003C1AAB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259" w:right="1134"/>
        <w:jc w:val="both"/>
        <w:rPr>
          <w:color w:val="000000"/>
          <w:lang w:val="en-US" w:eastAsia="de-DE"/>
        </w:rPr>
      </w:pPr>
    </w:p>
    <w:p w14:paraId="54B224F1" w14:textId="7DEBEBB5" w:rsidR="000134A5" w:rsidRPr="00DC15EE" w:rsidRDefault="000134A5" w:rsidP="003C1AAB">
      <w:pPr>
        <w:numPr>
          <w:ilvl w:val="0"/>
          <w:numId w:val="46"/>
        </w:num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right="1134"/>
        <w:jc w:val="both"/>
        <w:rPr>
          <w:color w:val="000000"/>
          <w:lang w:val="en-US" w:eastAsia="de-DE"/>
        </w:rPr>
      </w:pPr>
      <w:r w:rsidRPr="00DC15EE">
        <w:rPr>
          <w:b/>
          <w:color w:val="000000"/>
          <w:lang w:val="en-US" w:eastAsia="de-DE"/>
        </w:rPr>
        <w:t xml:space="preserve">40 driving cycles with vehicle operation in </w:t>
      </w:r>
      <w:r w:rsidRPr="00DC15EE">
        <w:rPr>
          <w:b/>
          <w:lang w:val="en-US" w:eastAsia="de-DE"/>
        </w:rPr>
        <w:t>which</w:t>
      </w:r>
      <w:r w:rsidR="00C31F88">
        <w:rPr>
          <w:b/>
          <w:lang w:val="en-US" w:eastAsia="de-DE"/>
        </w:rPr>
        <w:t xml:space="preserve"> all</w:t>
      </w:r>
      <w:r w:rsidRPr="00DC15EE">
        <w:rPr>
          <w:b/>
          <w:lang w:val="en-US" w:eastAsia="de-DE"/>
        </w:rPr>
        <w:t xml:space="preserve"> </w:t>
      </w:r>
      <w:r w:rsidRPr="00DC15EE">
        <w:rPr>
          <w:b/>
          <w:bCs/>
          <w:lang w:val="en-US" w:eastAsia="de-DE"/>
        </w:rPr>
        <w:t>the following criteria</w:t>
      </w:r>
      <w:bookmarkStart w:id="0" w:name="_GoBack"/>
      <w:bookmarkEnd w:id="0"/>
      <w:r w:rsidRPr="00DC15EE">
        <w:rPr>
          <w:b/>
          <w:bCs/>
          <w:lang w:val="en-US" w:eastAsia="de-DE"/>
        </w:rPr>
        <w:t xml:space="preserve"> </w:t>
      </w:r>
      <w:r>
        <w:rPr>
          <w:b/>
          <w:lang w:val="en-US" w:eastAsia="de-DE"/>
        </w:rPr>
        <w:t>are satisfied</w:t>
      </w:r>
      <w:r w:rsidR="00154AD7">
        <w:rPr>
          <w:b/>
          <w:lang w:val="en-US" w:eastAsia="de-DE"/>
        </w:rPr>
        <w:t>:</w:t>
      </w:r>
    </w:p>
    <w:p w14:paraId="51400A7D" w14:textId="77777777" w:rsidR="000134A5" w:rsidRPr="00DC15EE" w:rsidRDefault="000134A5" w:rsidP="003C1AAB">
      <w:pPr>
        <w:tabs>
          <w:tab w:val="left" w:pos="2268"/>
        </w:tabs>
        <w:suppressAutoHyphens w:val="0"/>
        <w:autoSpaceDE w:val="0"/>
        <w:autoSpaceDN w:val="0"/>
        <w:adjustRightInd w:val="0"/>
        <w:spacing w:line="240" w:lineRule="auto"/>
        <w:ind w:left="2619" w:right="1134"/>
        <w:jc w:val="both"/>
        <w:rPr>
          <w:color w:val="000000"/>
          <w:lang w:val="en-US" w:eastAsia="de-DE"/>
        </w:rPr>
      </w:pPr>
    </w:p>
    <w:p w14:paraId="20DF4E8E" w14:textId="68798F1D" w:rsidR="000134A5" w:rsidRPr="00726E2E" w:rsidRDefault="00900459" w:rsidP="003C1AAB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t>(</w:t>
      </w:r>
      <w:r w:rsidR="000134A5" w:rsidRPr="00726E2E">
        <w:rPr>
          <w:b/>
          <w:color w:val="000000"/>
          <w:lang w:val="en-US" w:eastAsia="de-DE"/>
        </w:rPr>
        <w:t>a</w:t>
      </w:r>
      <w:r>
        <w:rPr>
          <w:b/>
          <w:color w:val="000000"/>
          <w:lang w:val="en-US" w:eastAsia="de-DE"/>
        </w:rPr>
        <w:t>)</w:t>
      </w:r>
      <w:r w:rsidR="00F556B2">
        <w:rPr>
          <w:b/>
          <w:color w:val="000000"/>
          <w:lang w:val="en-US" w:eastAsia="de-DE"/>
        </w:rPr>
        <w:tab/>
      </w:r>
      <w:r w:rsidR="000134A5" w:rsidRPr="00726E2E">
        <w:rPr>
          <w:b/>
          <w:color w:val="000000"/>
          <w:lang w:val="en-US" w:eastAsia="de-DE"/>
        </w:rPr>
        <w:t>Cumulative time since engine start is greater than or equal to</w:t>
      </w:r>
      <w:r w:rsidR="00F556B2">
        <w:rPr>
          <w:b/>
          <w:color w:val="000000"/>
          <w:lang w:val="en-US" w:eastAsia="de-DE"/>
        </w:rPr>
        <w:t xml:space="preserve"> </w:t>
      </w:r>
      <w:r w:rsidR="000134A5" w:rsidRPr="00726E2E">
        <w:rPr>
          <w:b/>
          <w:color w:val="000000"/>
          <w:lang w:val="en-US" w:eastAsia="de-DE"/>
        </w:rPr>
        <w:t>600 seconds;</w:t>
      </w:r>
    </w:p>
    <w:p w14:paraId="31D55BB4" w14:textId="65ADAA6D" w:rsidR="000134A5" w:rsidRPr="00726E2E" w:rsidRDefault="00900459" w:rsidP="003C1AAB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t>(</w:t>
      </w:r>
      <w:r w:rsidR="000134A5" w:rsidRPr="00726E2E">
        <w:rPr>
          <w:b/>
          <w:color w:val="000000"/>
          <w:lang w:val="en-US" w:eastAsia="de-DE"/>
        </w:rPr>
        <w:t>b</w:t>
      </w:r>
      <w:r>
        <w:rPr>
          <w:b/>
          <w:color w:val="000000"/>
          <w:lang w:val="en-US" w:eastAsia="de-DE"/>
        </w:rPr>
        <w:t>)</w:t>
      </w:r>
      <w:r w:rsidR="000134A5" w:rsidRPr="00726E2E">
        <w:rPr>
          <w:b/>
          <w:color w:val="000000"/>
          <w:lang w:val="en-US" w:eastAsia="de-DE"/>
        </w:rPr>
        <w:t xml:space="preserve"> </w:t>
      </w:r>
      <w:r w:rsidR="00F556B2">
        <w:rPr>
          <w:b/>
          <w:color w:val="000000"/>
          <w:lang w:val="en-US" w:eastAsia="de-DE"/>
        </w:rPr>
        <w:tab/>
      </w:r>
      <w:r w:rsidR="000134A5" w:rsidRPr="00726E2E">
        <w:rPr>
          <w:b/>
          <w:color w:val="000000"/>
          <w:lang w:val="en-US" w:eastAsia="de-DE"/>
        </w:rPr>
        <w:t>Cumulative vehicle operation at or above 40 km/h occurs for greater than or equal to 300 seconds;</w:t>
      </w:r>
    </w:p>
    <w:p w14:paraId="612BD21E" w14:textId="1FB9E26A" w:rsidR="000134A5" w:rsidRDefault="00900459" w:rsidP="003C1AAB">
      <w:pPr>
        <w:suppressAutoHyphens w:val="0"/>
        <w:autoSpaceDE w:val="0"/>
        <w:autoSpaceDN w:val="0"/>
        <w:adjustRightInd w:val="0"/>
        <w:spacing w:line="240" w:lineRule="auto"/>
        <w:ind w:left="3119" w:right="1134" w:hanging="567"/>
        <w:jc w:val="both"/>
        <w:rPr>
          <w:b/>
          <w:color w:val="000000"/>
          <w:lang w:val="en-US" w:eastAsia="de-DE"/>
        </w:rPr>
      </w:pPr>
      <w:r>
        <w:rPr>
          <w:b/>
          <w:color w:val="000000"/>
          <w:lang w:val="en-US" w:eastAsia="de-DE"/>
        </w:rPr>
        <w:t>(</w:t>
      </w:r>
      <w:r w:rsidR="000134A5" w:rsidRPr="00726E2E">
        <w:rPr>
          <w:b/>
          <w:color w:val="000000"/>
          <w:lang w:val="en-US" w:eastAsia="de-DE"/>
        </w:rPr>
        <w:t>c</w:t>
      </w:r>
      <w:r>
        <w:rPr>
          <w:b/>
          <w:color w:val="000000"/>
          <w:lang w:val="en-US" w:eastAsia="de-DE"/>
        </w:rPr>
        <w:t>)</w:t>
      </w:r>
      <w:r w:rsidR="00F556B2">
        <w:rPr>
          <w:b/>
          <w:color w:val="000000"/>
          <w:lang w:val="en-US" w:eastAsia="de-DE"/>
        </w:rPr>
        <w:tab/>
      </w:r>
      <w:r w:rsidR="000134A5" w:rsidRPr="00726E2E">
        <w:rPr>
          <w:b/>
          <w:color w:val="000000"/>
          <w:lang w:val="en-US" w:eastAsia="de-DE"/>
        </w:rPr>
        <w:t>Continuous vehicle operation at idle (i.e. accelerator pedal released by driver and vehicle speed less than or equal to 1.6 km/h) for greater than or equal to 30 seconds.</w:t>
      </w:r>
      <w:r w:rsidR="000134A5" w:rsidRPr="003C1AAB">
        <w:rPr>
          <w:b/>
          <w:color w:val="000000"/>
          <w:lang w:eastAsia="de-DE"/>
        </w:rPr>
        <w:t>"</w:t>
      </w:r>
    </w:p>
    <w:p w14:paraId="75A30A16" w14:textId="77777777" w:rsidR="008E4122" w:rsidRDefault="008E4122" w:rsidP="008E4122">
      <w:pPr>
        <w:keepNext/>
        <w:keepLines/>
        <w:tabs>
          <w:tab w:val="left" w:pos="3119"/>
        </w:tabs>
        <w:spacing w:after="120" w:line="240" w:lineRule="auto"/>
        <w:ind w:right="1134"/>
      </w:pPr>
    </w:p>
    <w:p w14:paraId="0AC6EBF3" w14:textId="77777777" w:rsidR="00C70CC9" w:rsidRPr="00A66D91" w:rsidRDefault="00C70CC9" w:rsidP="001D2F2F">
      <w:pPr>
        <w:pStyle w:val="HChG"/>
        <w:tabs>
          <w:tab w:val="clear" w:pos="851"/>
        </w:tabs>
        <w:ind w:hanging="567"/>
      </w:pPr>
      <w:r w:rsidRPr="007F7A9F">
        <w:rPr>
          <w:lang w:val="en-US"/>
        </w:rPr>
        <w:t>II.</w:t>
      </w:r>
      <w:r w:rsidRPr="007F7A9F">
        <w:rPr>
          <w:lang w:val="en-US"/>
        </w:rPr>
        <w:tab/>
        <w:t>Justification</w:t>
      </w:r>
    </w:p>
    <w:p w14:paraId="19E1A3E7" w14:textId="54C6FA15" w:rsidR="000134A5" w:rsidRPr="004234EC" w:rsidRDefault="000134A5" w:rsidP="000134A5">
      <w:pPr>
        <w:pStyle w:val="Paragraphedeliste"/>
        <w:numPr>
          <w:ilvl w:val="0"/>
          <w:numId w:val="48"/>
        </w:numPr>
        <w:spacing w:after="120"/>
        <w:ind w:left="1134" w:right="1179" w:firstLine="0"/>
        <w:rPr>
          <w:rFonts w:cs="Courier New"/>
          <w:sz w:val="20"/>
        </w:rPr>
      </w:pPr>
      <w:r w:rsidRPr="004234EC">
        <w:rPr>
          <w:rFonts w:cs="Courier New"/>
          <w:sz w:val="20"/>
        </w:rPr>
        <w:t xml:space="preserve">The current definitions (like paragraphs 7.5.1.(a)–(c) of Annex 11, Appendix 1) to erase fault codes in </w:t>
      </w:r>
      <w:r w:rsidR="00900459">
        <w:rPr>
          <w:rFonts w:cs="Courier New"/>
          <w:sz w:val="20"/>
        </w:rPr>
        <w:t>UN R</w:t>
      </w:r>
      <w:r w:rsidRPr="004234EC">
        <w:rPr>
          <w:rFonts w:cs="Courier New"/>
          <w:sz w:val="20"/>
        </w:rPr>
        <w:t xml:space="preserve">egulation </w:t>
      </w:r>
      <w:r w:rsidR="00900459">
        <w:rPr>
          <w:rFonts w:cs="Courier New"/>
          <w:sz w:val="20"/>
        </w:rPr>
        <w:t>No.</w:t>
      </w:r>
      <w:r w:rsidR="00C04283">
        <w:rPr>
          <w:rFonts w:cs="Courier New"/>
          <w:sz w:val="20"/>
        </w:rPr>
        <w:t xml:space="preserve"> </w:t>
      </w:r>
      <w:r w:rsidRPr="004234EC">
        <w:rPr>
          <w:rFonts w:cs="Courier New"/>
          <w:sz w:val="20"/>
        </w:rPr>
        <w:t>83 would not (or not sufficiently) allow fault code erasing in cold regions (&lt; -7°C) and high altitude (&gt; 2440m). Except for these two criteria the conditions to erase a fault code are identical.</w:t>
      </w:r>
    </w:p>
    <w:p w14:paraId="00598ED7" w14:textId="77777777" w:rsidR="000134A5" w:rsidRPr="004234EC" w:rsidRDefault="000134A5" w:rsidP="000134A5">
      <w:pPr>
        <w:spacing w:after="120"/>
        <w:ind w:left="1134" w:right="1179"/>
        <w:rPr>
          <w:rFonts w:cs="Courier New"/>
          <w:sz w:val="16"/>
        </w:rPr>
      </w:pPr>
    </w:p>
    <w:p w14:paraId="06C9913F" w14:textId="77777777" w:rsidR="000134A5" w:rsidRPr="004234EC" w:rsidRDefault="000134A5" w:rsidP="000134A5">
      <w:pPr>
        <w:pStyle w:val="Paragraphedeliste"/>
        <w:numPr>
          <w:ilvl w:val="0"/>
          <w:numId w:val="48"/>
        </w:numPr>
        <w:spacing w:after="120"/>
        <w:ind w:left="1134" w:right="1179" w:firstLine="0"/>
        <w:rPr>
          <w:rFonts w:cs="Courier New"/>
          <w:sz w:val="20"/>
        </w:rPr>
      </w:pPr>
      <w:r w:rsidRPr="004234EC">
        <w:rPr>
          <w:rFonts w:cs="Courier New"/>
          <w:sz w:val="20"/>
        </w:rPr>
        <w:t>Furthermore, a harmonisation with the definitions used in other legislations (China and US) will be achieved.</w:t>
      </w:r>
    </w:p>
    <w:p w14:paraId="11171158" w14:textId="77777777" w:rsidR="00C70CC9" w:rsidRPr="00540E1C" w:rsidRDefault="00C70CC9" w:rsidP="00540E1C">
      <w:pPr>
        <w:pStyle w:val="SingleTxtG"/>
        <w:spacing w:before="240" w:after="0"/>
        <w:ind w:left="567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C70CC9" w:rsidRPr="00540E1C" w:rsidSect="000C2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1974" w14:textId="77777777" w:rsidR="00484DBC" w:rsidRDefault="00484DBC"/>
  </w:endnote>
  <w:endnote w:type="continuationSeparator" w:id="0">
    <w:p w14:paraId="1D68AB59" w14:textId="77777777" w:rsidR="00484DBC" w:rsidRDefault="00484DBC"/>
  </w:endnote>
  <w:endnote w:type="continuationNotice" w:id="1">
    <w:p w14:paraId="430E22C0" w14:textId="77777777" w:rsidR="00484DBC" w:rsidRDefault="0048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Yu Gothic UI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23B2" w14:textId="77777777" w:rsidR="00484DBC" w:rsidRDefault="00484DBC" w:rsidP="003E02FC">
    <w:pPr>
      <w:pStyle w:val="Pieddepage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337C" w14:textId="77777777" w:rsidR="00484DBC" w:rsidRDefault="00484DBC" w:rsidP="003E02FC">
    <w:pPr>
      <w:pStyle w:val="Pieddepage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FCF7" w14:textId="77777777" w:rsidR="00484DBC" w:rsidRDefault="00484DBC" w:rsidP="00282C70">
    <w:pPr>
      <w:pStyle w:val="SingleTxtG"/>
      <w:ind w:left="0"/>
    </w:pPr>
  </w:p>
  <w:p w14:paraId="6ADC5197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134B" w14:textId="77777777" w:rsidR="00484DBC" w:rsidRPr="000B175B" w:rsidRDefault="00484DB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50583A" w14:textId="77777777" w:rsidR="00484DBC" w:rsidRPr="00FC68B7" w:rsidRDefault="00484DB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F371A9" w14:textId="77777777" w:rsidR="00484DBC" w:rsidRDefault="0048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5990" w14:textId="77777777" w:rsidR="00484DBC" w:rsidRPr="003E02FC" w:rsidRDefault="00484DBC" w:rsidP="00680887">
    <w:pPr>
      <w:pStyle w:val="En-tte"/>
      <w:rPr>
        <w:lang w:val="fr-CH"/>
      </w:rPr>
    </w:pPr>
    <w:r>
      <w:rPr>
        <w:lang w:val="fr-CH"/>
      </w:rPr>
      <w:t>GRPE-78-</w:t>
    </w:r>
    <w:r w:rsidR="0015017A">
      <w:rPr>
        <w:lang w:val="fr-CH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E974" w14:textId="77777777" w:rsidR="00484DBC" w:rsidRPr="004C4175" w:rsidRDefault="004C4175" w:rsidP="004C4175">
    <w:pPr>
      <w:pStyle w:val="En-tte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35238E" w14:paraId="50A816BC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0FBC1ED4" w14:textId="77777777" w:rsidR="00EE2605" w:rsidRPr="0035238E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>
            <w:rPr>
              <w:rFonts w:eastAsia="HGSGothicM"/>
              <w:kern w:val="2"/>
              <w:lang w:val="en-US" w:eastAsia="ja-JP"/>
            </w:rPr>
            <w:t>expert from OICA</w:t>
          </w:r>
        </w:p>
      </w:tc>
      <w:tc>
        <w:tcPr>
          <w:tcW w:w="4341" w:type="dxa"/>
          <w:shd w:val="clear" w:color="auto" w:fill="auto"/>
        </w:tcPr>
        <w:p w14:paraId="3EF76B4E" w14:textId="4030A7BF" w:rsidR="00EE2605" w:rsidRPr="007F7A9F" w:rsidRDefault="00EE2605" w:rsidP="00A143CD">
          <w:pPr>
            <w:jc w:val="right"/>
            <w:rPr>
              <w:lang w:val="en-US"/>
            </w:rPr>
          </w:pPr>
          <w:r w:rsidRPr="007F7A9F">
            <w:rPr>
              <w:lang w:val="en-US"/>
            </w:rPr>
            <w:t xml:space="preserve">Informal document </w:t>
          </w:r>
          <w:r w:rsidRPr="007F7A9F">
            <w:rPr>
              <w:b/>
              <w:lang w:val="en-US"/>
            </w:rPr>
            <w:t>GRPE-</w:t>
          </w:r>
          <w:r>
            <w:rPr>
              <w:b/>
              <w:lang w:val="en-US"/>
            </w:rPr>
            <w:t>7</w:t>
          </w:r>
          <w:r w:rsidR="00A143CD">
            <w:rPr>
              <w:b/>
              <w:lang w:val="en-US"/>
            </w:rPr>
            <w:t>9</w:t>
          </w:r>
          <w:r>
            <w:rPr>
              <w:b/>
              <w:lang w:val="en-US"/>
            </w:rPr>
            <w:t>-</w:t>
          </w:r>
          <w:r w:rsidR="00C31F88">
            <w:rPr>
              <w:b/>
              <w:lang w:val="en-US"/>
            </w:rPr>
            <w:t>16</w:t>
          </w:r>
        </w:p>
        <w:p w14:paraId="34DC6355" w14:textId="572379E0" w:rsidR="00EE2605" w:rsidRPr="007F7A9F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7F7A9F">
            <w:rPr>
              <w:rFonts w:eastAsia="HGSGothicM"/>
              <w:kern w:val="2"/>
              <w:lang w:val="en-US" w:eastAsia="ar-SA"/>
            </w:rPr>
            <w:t>7</w:t>
          </w:r>
          <w:r w:rsidR="00A143CD">
            <w:rPr>
              <w:rFonts w:eastAsia="HGSGothicM"/>
              <w:kern w:val="2"/>
              <w:lang w:val="en-US" w:eastAsia="ar-SA"/>
            </w:rPr>
            <w:t>9</w:t>
          </w:r>
          <w:r w:rsidRPr="005D7B0B">
            <w:rPr>
              <w:rFonts w:eastAsia="HGSGothicM"/>
              <w:kern w:val="2"/>
              <w:vertAlign w:val="superscript"/>
              <w:lang w:val="en-US" w:eastAsia="ar-SA"/>
            </w:rPr>
            <w:t>th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GRPE, </w:t>
          </w:r>
          <w:r w:rsidR="00A143CD">
            <w:rPr>
              <w:rFonts w:eastAsia="HGSGothicM"/>
              <w:kern w:val="2"/>
              <w:lang w:val="en-US" w:eastAsia="ja-JP"/>
            </w:rPr>
            <w:t>21</w:t>
          </w:r>
          <w:r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A143CD">
            <w:rPr>
              <w:rFonts w:eastAsia="HGSGothicM"/>
              <w:kern w:val="2"/>
              <w:lang w:val="en-US" w:eastAsia="ja-JP"/>
            </w:rPr>
            <w:t>24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</w:t>
          </w:r>
          <w:r w:rsidR="00A143CD">
            <w:rPr>
              <w:rFonts w:eastAsia="HGSGothicM"/>
              <w:kern w:val="2"/>
              <w:lang w:val="en-US" w:eastAsia="ar-SA"/>
            </w:rPr>
            <w:t>May</w:t>
          </w:r>
          <w:r w:rsidRPr="007F7A9F">
            <w:rPr>
              <w:rFonts w:eastAsia="HGSGothicM"/>
              <w:kern w:val="2"/>
              <w:lang w:val="en-US" w:eastAsia="ar-SA"/>
            </w:rPr>
            <w:t xml:space="preserve"> 201</w:t>
          </w:r>
          <w:r>
            <w:rPr>
              <w:rFonts w:eastAsia="HGSGothicM"/>
              <w:kern w:val="2"/>
              <w:lang w:val="en-US" w:eastAsia="ar-SA"/>
            </w:rPr>
            <w:t>9</w:t>
          </w:r>
          <w:r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05DB7F1C" w14:textId="77777777" w:rsidR="00EE2605" w:rsidRPr="0035238E" w:rsidRDefault="00EE2605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>
            <w:rPr>
              <w:rFonts w:eastAsia="HGSGothicM" w:hint="eastAsia"/>
              <w:kern w:val="2"/>
              <w:lang w:val="en-US" w:eastAsia="ja-JP"/>
            </w:rPr>
            <w:t>3(</w:t>
          </w:r>
          <w:r>
            <w:rPr>
              <w:rFonts w:eastAsia="HGSGothicM"/>
              <w:kern w:val="2"/>
              <w:lang w:val="en-US" w:eastAsia="ja-JP"/>
            </w:rPr>
            <w:t>a)</w:t>
          </w:r>
        </w:p>
      </w:tc>
    </w:tr>
  </w:tbl>
  <w:p w14:paraId="5B7D01A9" w14:textId="77777777" w:rsidR="00484DBC" w:rsidRPr="00A143CD" w:rsidRDefault="00484DBC" w:rsidP="00EE2605">
    <w:pPr>
      <w:pStyle w:val="En-tt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5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7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2EE3E59"/>
    <w:multiLevelType w:val="hybridMultilevel"/>
    <w:tmpl w:val="182C946E"/>
    <w:lvl w:ilvl="0" w:tplc="A67C57BC">
      <w:start w:val="3"/>
      <w:numFmt w:val="bullet"/>
      <w:lvlText w:val="-"/>
      <w:lvlJc w:val="left"/>
      <w:pPr>
        <w:ind w:left="261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33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29C4374"/>
    <w:multiLevelType w:val="hybridMultilevel"/>
    <w:tmpl w:val="76DEC35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40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1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66665"/>
    <w:multiLevelType w:val="hybridMultilevel"/>
    <w:tmpl w:val="350C888A"/>
    <w:lvl w:ilvl="0" w:tplc="7ABAD2A8">
      <w:start w:val="3"/>
      <w:numFmt w:val="bullet"/>
      <w:lvlText w:val="-"/>
      <w:lvlJc w:val="left"/>
      <w:pPr>
        <w:ind w:left="261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44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8"/>
  </w:num>
  <w:num w:numId="13">
    <w:abstractNumId w:val="14"/>
  </w:num>
  <w:num w:numId="14">
    <w:abstractNumId w:val="38"/>
  </w:num>
  <w:num w:numId="15">
    <w:abstractNumId w:val="42"/>
  </w:num>
  <w:num w:numId="16">
    <w:abstractNumId w:val="21"/>
  </w:num>
  <w:num w:numId="17">
    <w:abstractNumId w:val="46"/>
  </w:num>
  <w:num w:numId="18">
    <w:abstractNumId w:val="39"/>
  </w:num>
  <w:num w:numId="19">
    <w:abstractNumId w:val="27"/>
  </w:num>
  <w:num w:numId="20">
    <w:abstractNumId w:val="26"/>
  </w:num>
  <w:num w:numId="21">
    <w:abstractNumId w:val="23"/>
  </w:num>
  <w:num w:numId="22">
    <w:abstractNumId w:val="41"/>
  </w:num>
  <w:num w:numId="23">
    <w:abstractNumId w:val="47"/>
  </w:num>
  <w:num w:numId="24">
    <w:abstractNumId w:val="11"/>
  </w:num>
  <w:num w:numId="25">
    <w:abstractNumId w:val="45"/>
  </w:num>
  <w:num w:numId="26">
    <w:abstractNumId w:val="19"/>
  </w:num>
  <w:num w:numId="27">
    <w:abstractNumId w:val="13"/>
  </w:num>
  <w:num w:numId="28">
    <w:abstractNumId w:val="28"/>
  </w:num>
  <w:num w:numId="29">
    <w:abstractNumId w:val="17"/>
  </w:num>
  <w:num w:numId="30">
    <w:abstractNumId w:val="30"/>
  </w:num>
  <w:num w:numId="31">
    <w:abstractNumId w:val="34"/>
  </w:num>
  <w:num w:numId="32">
    <w:abstractNumId w:val="25"/>
  </w:num>
  <w:num w:numId="33">
    <w:abstractNumId w:val="15"/>
  </w:num>
  <w:num w:numId="34">
    <w:abstractNumId w:val="24"/>
  </w:num>
  <w:num w:numId="35">
    <w:abstractNumId w:val="37"/>
  </w:num>
  <w:num w:numId="36">
    <w:abstractNumId w:val="29"/>
  </w:num>
  <w:num w:numId="37">
    <w:abstractNumId w:val="40"/>
  </w:num>
  <w:num w:numId="38">
    <w:abstractNumId w:val="16"/>
  </w:num>
  <w:num w:numId="39">
    <w:abstractNumId w:val="22"/>
  </w:num>
  <w:num w:numId="40">
    <w:abstractNumId w:val="20"/>
  </w:num>
  <w:num w:numId="41">
    <w:abstractNumId w:val="10"/>
  </w:num>
  <w:num w:numId="42">
    <w:abstractNumId w:val="31"/>
  </w:num>
  <w:num w:numId="43">
    <w:abstractNumId w:val="44"/>
  </w:num>
  <w:num w:numId="44">
    <w:abstractNumId w:val="33"/>
  </w:num>
  <w:num w:numId="45">
    <w:abstractNumId w:val="12"/>
  </w:num>
  <w:num w:numId="46">
    <w:abstractNumId w:val="43"/>
  </w:num>
  <w:num w:numId="47">
    <w:abstractNumId w:val="32"/>
  </w:num>
  <w:num w:numId="48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34A5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4AD7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53DC"/>
    <w:rsid w:val="002B5A65"/>
    <w:rsid w:val="002B66AC"/>
    <w:rsid w:val="002B6D65"/>
    <w:rsid w:val="002B7C94"/>
    <w:rsid w:val="002C0600"/>
    <w:rsid w:val="002C1557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1AA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2039F"/>
    <w:rsid w:val="00421A40"/>
    <w:rsid w:val="00421DAB"/>
    <w:rsid w:val="00422AF5"/>
    <w:rsid w:val="00422E03"/>
    <w:rsid w:val="004234EC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078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459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38BE"/>
    <w:rsid w:val="009A4BBE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3CD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1AC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283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1F88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56B2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B7FDA98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sid w:val="00F60CD5"/>
    <w:rPr>
      <w:rFonts w:cs="Courier New"/>
    </w:rPr>
  </w:style>
  <w:style w:type="paragraph" w:styleId="Corpsdetexte">
    <w:name w:val="Body Text"/>
    <w:basedOn w:val="Normal"/>
    <w:next w:val="Normal"/>
    <w:semiHidden/>
    <w:rsid w:val="00F60CD5"/>
  </w:style>
  <w:style w:type="paragraph" w:styleId="Retraitcorpsdetexte">
    <w:name w:val="Body Text Indent"/>
    <w:basedOn w:val="Normal"/>
    <w:semiHidden/>
    <w:rsid w:val="00F60CD5"/>
    <w:pPr>
      <w:spacing w:after="120"/>
      <w:ind w:left="283"/>
    </w:pPr>
  </w:style>
  <w:style w:type="paragraph" w:styleId="Normalcentr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uiPriority w:val="99"/>
    <w:rsid w:val="00F60CD5"/>
    <w:rPr>
      <w:sz w:val="6"/>
    </w:rPr>
  </w:style>
  <w:style w:type="paragraph" w:styleId="Commentaire">
    <w:name w:val="annotation text"/>
    <w:basedOn w:val="Normal"/>
    <w:link w:val="CommentaireCar"/>
    <w:uiPriority w:val="99"/>
    <w:rsid w:val="00F60CD5"/>
    <w:rPr>
      <w:lang w:val="x-none"/>
    </w:rPr>
  </w:style>
  <w:style w:type="character" w:styleId="Numrodeligne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ar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PieddepageCar">
    <w:name w:val="Pied de page Car"/>
    <w:aliases w:val="3_G Car"/>
    <w:link w:val="Pieddepage"/>
    <w:uiPriority w:val="99"/>
    <w:rsid w:val="00DA77C0"/>
    <w:rPr>
      <w:sz w:val="16"/>
      <w:lang w:val="en-GB" w:eastAsia="en-US" w:bidi="ar-SA"/>
    </w:rPr>
  </w:style>
  <w:style w:type="paragraph" w:styleId="Paragraphedeliste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Titre1Car">
    <w:name w:val="Titre 1 Car"/>
    <w:aliases w:val="Table_G Car"/>
    <w:link w:val="Titre1"/>
    <w:rsid w:val="00790AED"/>
    <w:rPr>
      <w:lang w:val="en-GB" w:eastAsia="en-US" w:bidi="ar-SA"/>
    </w:rPr>
  </w:style>
  <w:style w:type="character" w:customStyle="1" w:styleId="NormalWebCar">
    <w:name w:val="Normal (Web) C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NotedebasdepageCar">
    <w:name w:val="Note de bas de page Car"/>
    <w:aliases w:val="5_G Car,PP Car,Footnote Text Char Car"/>
    <w:link w:val="Notedebasdepage"/>
    <w:rsid w:val="00837CC7"/>
    <w:rPr>
      <w:sz w:val="18"/>
      <w:lang w:val="en-GB" w:eastAsia="en-US" w:bidi="ar-SA"/>
    </w:rPr>
  </w:style>
  <w:style w:type="character" w:customStyle="1" w:styleId="En-tteCar">
    <w:name w:val="En-tête Car"/>
    <w:aliases w:val="6_G Car"/>
    <w:link w:val="En-tte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7C4E68"/>
    <w:pPr>
      <w:spacing w:line="240" w:lineRule="auto"/>
    </w:pPr>
    <w:rPr>
      <w:b/>
      <w:bCs/>
    </w:rPr>
  </w:style>
  <w:style w:type="character" w:customStyle="1" w:styleId="CommentaireCar">
    <w:name w:val="Commentaire Car"/>
    <w:link w:val="Commentaire"/>
    <w:uiPriority w:val="99"/>
    <w:rsid w:val="007C4E68"/>
    <w:rPr>
      <w:lang w:eastAsia="en-US"/>
    </w:rPr>
  </w:style>
  <w:style w:type="character" w:customStyle="1" w:styleId="ObjetducommentaireCar">
    <w:name w:val="Objet du commentaire Car"/>
    <w:link w:val="Objetducommentaire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">
    <w:name w:val="Table Grid2"/>
    <w:basedOn w:val="TableauNormal"/>
    <w:next w:val="Grilledutableau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next w:val="Grilledutableau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auNormal"/>
    <w:next w:val="Grilledutableau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auNormal"/>
    <w:next w:val="Grilledutableau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Textedelespacerserv">
    <w:name w:val="Placeholder Text"/>
    <w:basedOn w:val="Policepardfaut"/>
    <w:uiPriority w:val="99"/>
    <w:semiHidden/>
    <w:rsid w:val="008E4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0111-3635-4D93-9AD0-CACEADF7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Francois Cuenot</cp:lastModifiedBy>
  <cp:revision>3</cp:revision>
  <cp:lastPrinted>2018-08-29T09:38:00Z</cp:lastPrinted>
  <dcterms:created xsi:type="dcterms:W3CDTF">2019-05-21T09:44:00Z</dcterms:created>
  <dcterms:modified xsi:type="dcterms:W3CDTF">2019-05-21T18:13:00Z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